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0A18" w:rsidP="00750824" w:rsidRDefault="00D90A18" w14:paraId="5A9BF215" w14:textId="77777777">
      <w:pPr>
        <w:jc w:val="both"/>
      </w:pPr>
    </w:p>
    <w:p w:rsidR="00BD3FB5" w:rsidP="00750824" w:rsidRDefault="00D90A18" w14:paraId="2BA2F456" w14:textId="375C769E">
      <w:pPr>
        <w:pStyle w:val="Naslov"/>
        <w:jc w:val="center"/>
        <w:rPr>
          <w:rStyle w:val="Intenzivensklic"/>
          <w:b w:val="0"/>
          <w:bCs w:val="0"/>
          <w:i/>
          <w:iCs/>
          <w:u w:val="single"/>
        </w:rPr>
      </w:pPr>
      <w:r>
        <w:rPr>
          <w:rStyle w:val="Intenzivensklic"/>
          <w:b w:val="0"/>
          <w:bCs w:val="0"/>
          <w:i/>
          <w:iCs/>
          <w:u w:val="single"/>
        </w:rPr>
        <w:t xml:space="preserve">Empfehlungen zur Umsetzung der Richtlinie (EU) 2024/2831</w:t>
      </w:r>
    </w:p>
    <w:p w:rsidR="00D90A18" w:rsidP="00750824" w:rsidRDefault="00D90A18" w14:paraId="25843F84" w14:textId="77777777">
      <w:pPr>
        <w:pStyle w:val="Naslov"/>
        <w:jc w:val="center"/>
        <w:rPr>
          <w:rStyle w:val="Intenzivensklic"/>
          <w:b w:val="0"/>
          <w:bCs w:val="0"/>
          <w:i/>
          <w:iCs/>
          <w:u w:val="single"/>
        </w:rPr>
      </w:pPr>
      <w:r>
        <w:rPr>
          <w:rStyle w:val="Intenzivensklic"/>
          <w:b w:val="0"/>
          <w:bCs w:val="0"/>
          <w:i/>
          <w:iCs/>
          <w:u w:val="single"/>
        </w:rPr>
        <w:t xml:space="preserve">zur Verbesserung der Arbeitsbedingungen in </w:t>
      </w:r>
      <w:r>
        <w:rPr>
          <w:rStyle w:val="Intenzivensklic"/>
          <w:b w:val="0"/>
          <w:bCs w:val="0"/>
          <w:i/>
          <w:iCs/>
          <w:u w:val="single"/>
        </w:rPr>
        <w:t xml:space="preserve">der Plattformarbeit</w:t>
      </w:r>
    </w:p>
    <w:p w:rsidRPr="00BD3FB5" w:rsidR="00A60CFC" w:rsidP="00750824" w:rsidRDefault="00A60CFC" w14:paraId="12B3F942" w14:textId="77777777">
      <w:pPr>
        <w:pStyle w:val="Naslov"/>
        <w:jc w:val="center"/>
        <w:rPr>
          <w:rStyle w:val="Intenzivensklic"/>
          <w:b w:val="0"/>
          <w:bCs w:val="0"/>
          <w:i/>
          <w:iCs/>
          <w:u w:val="single"/>
        </w:rPr>
      </w:pPr>
    </w:p>
    <w:p w:rsidRPr="00D90A18" w:rsidR="00D90A18" w:rsidP="00750824" w:rsidRDefault="00D90A18" w14:paraId="5D856E3D" w14:textId="77777777">
      <w:pPr>
        <w:pStyle w:val="Naslov"/>
        <w:jc w:val="center"/>
        <w:rPr>
          <w:rStyle w:val="Intenzivensklic"/>
        </w:rPr>
      </w:pPr>
    </w:p>
    <w:p w:rsidR="00D90A18" w:rsidP="00750824" w:rsidRDefault="00D90A18" w14:paraId="62E2F858" w14:textId="3725485B">
      <w:pPr>
        <w:pStyle w:val="Author"/>
      </w:pPr>
      <w:r>
        <w:t xml:space="preserve">SDDP-Konsortium </w:t>
      </w:r>
      <w:r w:rsidR="00D7386B">
        <w:t xml:space="preserve">– </w:t>
      </w:r>
      <w:r>
        <w:t xml:space="preserve">ZSSS, ÖGB, CGIL, OPZZ, ABVV-FTB, in Zusammenarbeit mit dem EGB</w:t>
      </w:r>
    </w:p>
    <w:p w:rsidR="00D90A18" w:rsidP="00750824" w:rsidRDefault="00D90A18" w14:paraId="2C3A4E1A" w14:textId="5D40D7A6">
      <w:pPr>
        <w:pStyle w:val="Datum"/>
      </w:pPr>
      <w:r>
        <w:t xml:space="preserve">Februar 2026</w:t>
      </w:r>
    </w:p>
    <w:p w:rsidR="00A60CFC" w:rsidP="00750824" w:rsidRDefault="00A60CFC" w14:paraId="4DEA4B84" w14:textId="77777777">
      <w:pPr>
        <w:pStyle w:val="Telobesedila"/>
        <w:jc w:val="both"/>
        <w:rPr>
          <w:lang w:val="sl" w:eastAsia="en-US"/>
        </w:rPr>
      </w:pPr>
    </w:p>
    <w:p w:rsidR="00A60CFC" w:rsidP="00750824" w:rsidRDefault="00A60CFC" w14:paraId="69341DEF" w14:textId="77777777">
      <w:pPr>
        <w:pStyle w:val="Telobesedila"/>
        <w:jc w:val="both"/>
        <w:rPr>
          <w:lang w:val="sl" w:eastAsia="en-US"/>
        </w:rPr>
      </w:pPr>
    </w:p>
    <w:p w:rsidRPr="00A60CFC" w:rsidR="00A60CFC" w:rsidP="00750824" w:rsidRDefault="00A60CFC" w14:paraId="6DCAF6C0" w14:textId="77777777">
      <w:pPr>
        <w:pStyle w:val="Telobesedila"/>
        <w:jc w:val="both"/>
        <w:rPr>
          <w:lang w:val="sl" w:eastAsia="en-US"/>
        </w:rPr>
      </w:pPr>
    </w:p>
    <w:p w:rsidR="00D90A18" w:rsidP="00750824" w:rsidRDefault="00D90A18" w14:paraId="53D301A7" w14:textId="77777777">
      <w:pPr>
        <w:pStyle w:val="Telobesedila"/>
        <w:jc w:val="both"/>
        <w:rPr>
          <w:lang w:val="sl" w:eastAsia="en-US"/>
        </w:rPr>
      </w:pPr>
    </w:p>
    <w:p w:rsidR="00D90A18" w:rsidP="00750824" w:rsidRDefault="00D90A18" w14:paraId="60F34513" w14:textId="77777777">
      <w:pPr>
        <w:pStyle w:val="Naslov1"/>
        <w:jc w:val="both"/>
      </w:pPr>
      <w:bookmarkStart w:name="_Toc233699476" w:id="0"/>
      <w:r>
        <w:t xml:space="preserve">Zusammenfassung</w:t>
      </w:r>
      <w:bookmarkEnd w:id="0"/>
    </w:p>
    <w:p w:rsidR="00FC19E2" w:rsidP="00750824" w:rsidRDefault="00000000" w14:paraId="6FADC8D5" w14:textId="7889377D">
      <w:pPr>
        <w:jc w:val="both"/>
      </w:pPr>
      <w:r>
        <w:t xml:space="preserve">Dieses Dokument enthält Empfehlungen zur Umsetzung der Richtlinie (EU) 2024/2831 </w:t>
      </w:r>
      <w:r w:rsidR="0013617B">
        <w:t xml:space="preserve">(im Folgenden: Richtlinie) </w:t>
      </w:r>
      <w:r>
        <w:t xml:space="preserve">zur Verbesserung der Arbeitsbedingungen in </w:t>
      </w:r>
      <w:r>
        <w:t xml:space="preserve">der Plattformarbeit in die nationalen Rechtsvorschriften der EU-Mitgliedstaaten. Die Empfehlungen wurden </w:t>
      </w:r>
      <w:r w:rsidR="0013617B">
        <w:t xml:space="preserve">vom</w:t>
      </w:r>
      <w:r>
        <w:t xml:space="preserve"> Projektkonsortium </w:t>
      </w:r>
      <w:r w:rsidR="00DB0B6E">
        <w:t xml:space="preserve">„Establishing </w:t>
      </w:r>
      <w:r w:rsidR="00DB0B6E">
        <w:t xml:space="preserve">and </w:t>
      </w:r>
      <w:r w:rsidR="00DB0B6E">
        <w:t xml:space="preserve">Strengthening </w:t>
      </w:r>
      <w:r w:rsidR="00DB0B6E">
        <w:t xml:space="preserve">Social </w:t>
      </w:r>
      <w:r w:rsidR="00DB0B6E">
        <w:t xml:space="preserve">Dialogue </w:t>
      </w:r>
      <w:r w:rsidR="00DB0B6E">
        <w:t xml:space="preserve">in </w:t>
      </w:r>
      <w:r w:rsidR="00DB0B6E">
        <w:t xml:space="preserve">Digital </w:t>
      </w:r>
      <w:r w:rsidR="00DB0B6E">
        <w:t xml:space="preserve">Platforms“ </w:t>
      </w:r>
      <w:r w:rsidR="0013617B">
        <w:t xml:space="preserve">(</w:t>
      </w:r>
      <w:r>
        <w:t xml:space="preserve">SDDP</w:t>
      </w:r>
      <w:r w:rsidR="0013617B">
        <w:t xml:space="preserve">) </w:t>
      </w:r>
      <w:r>
        <w:t xml:space="preserve">(ZSSS, ÖGB, CGIL, OPZZ, ABVV-FTB, in Zusammenarbeit mit dem EGB) auf der Grundlage </w:t>
      </w:r>
      <w:r>
        <w:t xml:space="preserve">eines</w:t>
      </w:r>
      <w:r w:rsidR="0013617B">
        <w:t xml:space="preserve"> zweijährigen </w:t>
      </w:r>
      <w:r>
        <w:t xml:space="preserve">Projekts</w:t>
      </w:r>
      <w:r w:rsidR="0013617B">
        <w:t xml:space="preserve">, das </w:t>
      </w:r>
      <w:r>
        <w:t xml:space="preserve">in fünf Partnerländern (Slowenien, Österreich, Italien, Belgien, Polen) </w:t>
      </w:r>
      <w:r w:rsidR="0013617B">
        <w:t xml:space="preserve">durchgeführt wurde</w:t>
      </w:r>
      <w:r>
        <w:t xml:space="preserve">. Das Dokument umfasst zehn thematische Kapitel: Geltungsbereich und Definitionen, rechtliche Vermutung </w:t>
      </w:r>
      <w:r w:rsidR="00CF3B80">
        <w:t xml:space="preserve">eines Arbeitsverhältnisses </w:t>
      </w:r>
      <w:r>
        <w:t xml:space="preserve">(</w:t>
      </w:r>
      <w:r>
        <w:t xml:space="preserve">„legal </w:t>
      </w:r>
      <w:r>
        <w:t xml:space="preserve">presumption </w:t>
      </w:r>
      <w:r>
        <w:t xml:space="preserve">of </w:t>
      </w:r>
      <w:r w:rsidR="0013617B">
        <w:t xml:space="preserve">employment“</w:t>
      </w:r>
      <w:r>
        <w:t xml:space="preserve">), algorithmisches Management (</w:t>
      </w:r>
      <w:r>
        <w:t xml:space="preserve">„algorithmic </w:t>
      </w:r>
      <w:r>
        <w:t xml:space="preserve">management </w:t>
      </w:r>
      <w:r w:rsidR="0013617B">
        <w:t xml:space="preserve">(AM)“</w:t>
      </w:r>
      <w:r>
        <w:t xml:space="preserve">), Schutz </w:t>
      </w:r>
      <w:r w:rsidR="0013617B">
        <w:t xml:space="preserve">personenbezogener </w:t>
      </w:r>
      <w:r>
        <w:t xml:space="preserve">Daten und Privatsphäre, kollektive Rechte und sozialer Dialog, Durchsetzung der Richtlinie, erweiterter Geltungsbereich sowie Herausforderungen bei der Umsetzung.</w:t>
      </w:r>
      <w:r w:rsidR="0013617B">
        <w:t xml:space="preserve"> Die Frist für die Umsetzung in nationales Recht ist der 2. Dezember 2026.</w:t>
      </w:r>
    </w:p>
    <w:p w:rsidR="00A60CFC" w:rsidP="00750824" w:rsidRDefault="00A60CFC" w14:paraId="7F54D8C2" w14:textId="77777777">
      <w:pPr>
        <w:jc w:val="both"/>
      </w:pPr>
    </w:p>
    <w:p w:rsidR="00750824" w:rsidP="00750824" w:rsidRDefault="00000000" w14:paraId="78FE98E6" w14:textId="2F072ADA">
      <w:pPr>
        <w:jc w:val="both"/>
      </w:pPr>
      <w:r>
        <w:t xml:space="preserve">Der rote Faden des Dokuments ist der soziale Dialog als Brücke zwischen der Verabschiedung der Richtlinie und ihrer tatsächlichen Umsetzung. Fünf entscheidende Elemente, ohne die die Umsetzung den Zweck der Richtlinie nicht erfüllen wird</w:t>
      </w:r>
      <w:r w:rsidR="0013617B">
        <w:t xml:space="preserve">, sind</w:t>
      </w:r>
      <w:r>
        <w:t xml:space="preserve">: (1) die rechtliche Vermutung </w:t>
      </w:r>
      <w:r w:rsidR="00CF3B80">
        <w:t xml:space="preserve">eines Arbeitsverhältnisses </w:t>
      </w:r>
      <w:r>
        <w:t xml:space="preserve">ohne zusätzliche Kriterien; (2) gestärkte Arbeitsaufsichtsbehörden (</w:t>
      </w:r>
      <w:r>
        <w:t xml:space="preserve">„labour </w:t>
      </w:r>
      <w:r w:rsidR="0013617B">
        <w:t xml:space="preserve">inspectorates“</w:t>
      </w:r>
      <w:r>
        <w:t xml:space="preserve">) mit Zugriff auf algorithmische Systeme in </w:t>
      </w:r>
      <w:r>
        <w:t xml:space="preserve">Echtzeit; (3) ein Mechanismus des vorübergehenden kollektiven Schutzes für die Dauer des Verfahrens zur Feststellung des Beschäftigungsstatus; (4) </w:t>
      </w:r>
      <w:r>
        <w:t xml:space="preserve">die </w:t>
      </w:r>
      <w:r>
        <w:t xml:space="preserve">obligatorische </w:t>
      </w:r>
      <w:r w:rsidR="00A25A76">
        <w:t xml:space="preserve">gesamtschuldnerische </w:t>
      </w:r>
      <w:r>
        <w:t xml:space="preserve">Haftung (</w:t>
      </w:r>
      <w:r>
        <w:t xml:space="preserve">„joint </w:t>
      </w:r>
      <w:r w:rsidR="0013617B">
        <w:t xml:space="preserve">liability“</w:t>
      </w:r>
      <w:r>
        <w:t xml:space="preserve">) der Plattformen für die Verpflichtungen von Subunternehmern und Vermittlern; (5) kollektive Verfahren zur Durchsetzung von Rechten ohne individuelle Zustimmung des einzelnen Arbeitnehmers. </w:t>
      </w:r>
    </w:p>
    <w:p w:rsidR="009B7FA3" w:rsidP="00750824" w:rsidRDefault="00000000" w14:paraId="00CC0001" w14:textId="4B261084">
      <w:pPr>
        <w:pStyle w:val="Naslov1"/>
        <w:jc w:val="both"/>
      </w:pPr>
      <w:bookmarkStart w:name="_Toc233699477" w:id="1"/>
      <w:r>
        <w:lastRenderedPageBreak/>
      </w:r>
      <w:r>
        <w:t xml:space="preserve">10 zentrale Empfehlungen</w:t>
      </w:r>
      <w:bookmarkEnd w:id="1"/>
    </w:p>
    <w:p w:rsidR="009B7FA3" w:rsidP="00750824" w:rsidRDefault="00000000" w14:paraId="00CC0002" w14:textId="7D23F4BB">
      <w:pPr>
        <w:pStyle w:val="Telobesedila"/>
        <w:jc w:val="both"/>
      </w:pPr>
      <w:r>
        <w:t xml:space="preserve">Dieses Dokument enthält 44 Empfehlungen, die in zehn thematische Kapitel gegliedert sind. Die folgende Liste fasst </w:t>
      </w:r>
      <w:r>
        <w:t xml:space="preserve">die zehn</w:t>
      </w:r>
      <w:r w:rsidR="0013617B">
        <w:t xml:space="preserve"> wichtigsten</w:t>
      </w:r>
      <w:r>
        <w:t xml:space="preserve"> zusammen</w:t>
      </w:r>
      <w:r>
        <w:t xml:space="preserve">, ohne die die Umsetzung der Richtlinie ihren Zweck nicht erfüllen wird </w:t>
      </w:r>
      <w:r w:rsidR="00D7386B">
        <w:t xml:space="preserve">– </w:t>
      </w:r>
      <w:r>
        <w:t xml:space="preserve">unabhängig davon, wie </w:t>
      </w:r>
      <w:r w:rsidR="0013617B">
        <w:t xml:space="preserve">angemessen </w:t>
      </w:r>
      <w:r>
        <w:t xml:space="preserve">der Gesetzestext sein mag. Es handelt sich um Empfehlungen, die die größten strukturellen Lücken zwischen dem Wortlaut der Richtlinie und ihrer Umsetzung </w:t>
      </w:r>
      <w:r w:rsidR="0013617B">
        <w:t xml:space="preserve">in der Praxis </w:t>
      </w:r>
      <w:r>
        <w:t xml:space="preserve">schließen</w:t>
      </w:r>
      <w:r>
        <w:t xml:space="preserve">. Jede davon wird im entsprechenden Kapitel näher erläutert.</w:t>
      </w:r>
    </w:p>
    <w:p w:rsidR="009B7FA3" w:rsidP="00750824" w:rsidRDefault="009B7FA3" w14:paraId="00CC0003" w14:textId="77777777">
      <w:pPr>
        <w:jc w:val="both"/>
      </w:pPr>
    </w:p>
    <w:p w:rsidR="009B7FA3" w:rsidP="00750824" w:rsidRDefault="00000000" w14:paraId="00CC0010" w14:textId="7E5E0AD7">
      <w:pPr>
        <w:pStyle w:val="Naslov3"/>
        <w:jc w:val="both"/>
      </w:pPr>
      <w:r>
        <w:t xml:space="preserve">1. Rechtsvermutung </w:t>
      </w:r>
      <w:r w:rsidR="00CF3B80">
        <w:t xml:space="preserve">eines Arbeitsverhältnisses </w:t>
      </w:r>
      <w:r>
        <w:t xml:space="preserve">ohne zusätzliche Kriterien (Empfehlung 3.1)</w:t>
      </w:r>
    </w:p>
    <w:p w:rsidR="009B7FA3" w:rsidP="00750824" w:rsidRDefault="0013617B" w14:paraId="00CC0011" w14:textId="7B05AD2F">
      <w:pPr>
        <w:pStyle w:val="Telobesedila"/>
        <w:jc w:val="both"/>
      </w:pPr>
      <w:r>
        <w:t xml:space="preserve">Die rechtliche Vermutung </w:t>
      </w:r>
      <w:r w:rsidR="00CF3B80">
        <w:t xml:space="preserve">eines Arbeitsverhältnisses </w:t>
      </w:r>
      <w:r>
        <w:t xml:space="preserve">ist die Grundlage, auf der die Richtlinie beruht. </w:t>
      </w:r>
      <w:r>
        <w:t xml:space="preserve">Nationale Gesetze dürfen nicht die Erfüllung zusätzlicher Kriterien verlangen; ein sogenannter faktischer Indikator reicht aus, da die Richtlinie auf dem Grundsatz der Vorrangigkeit der Tatsachen (</w:t>
      </w:r>
      <w:r>
        <w:t xml:space="preserve">„primacy </w:t>
      </w:r>
      <w:r>
        <w:t xml:space="preserve">of </w:t>
      </w:r>
      <w:r>
        <w:t xml:space="preserve">facts“) </w:t>
      </w:r>
      <w:r>
        <w:t xml:space="preserve">beruht</w:t>
      </w:r>
      <w:r>
        <w:t xml:space="preserve">. </w:t>
      </w:r>
      <w:r w:rsidR="00D7386B">
        <w:t xml:space="preserve">Wenn die Tatsache vorliegt, dass der Arbeitnehmer beaufsichtigt wird und Anweisungen erhält, reicht dies aus, um ein Verfahren zur Geltendmachung </w:t>
      </w:r>
      <w:r w:rsidR="00CF3B80">
        <w:t xml:space="preserve">eines Arbeitsverhältnisses</w:t>
      </w:r>
      <w:r w:rsidR="00D7386B">
        <w:t xml:space="preserve"> einzuleiten</w:t>
      </w:r>
      <w:r w:rsidR="00D7386B">
        <w:t xml:space="preserve">. Jegliche zusätzlichen Kriterien würden es den Plattformen ermöglichen, den Weg der Unklarheiten und Gerichtsverfahren einzuschlagen, anstatt die Richtlinie einzuhalten. </w:t>
      </w:r>
    </w:p>
    <w:p w:rsidR="009B7FA3" w:rsidP="00750824" w:rsidRDefault="009B7FA3" w14:paraId="00CC0012" w14:textId="77777777">
      <w:pPr>
        <w:jc w:val="both"/>
      </w:pPr>
    </w:p>
    <w:p w:rsidR="009B7FA3" w:rsidP="00750824" w:rsidRDefault="00000000" w14:paraId="00CC0020" w14:textId="03CB63AC">
      <w:pPr>
        <w:pStyle w:val="Naslov3"/>
        <w:jc w:val="both"/>
      </w:pPr>
      <w:r>
        <w:t xml:space="preserve">2. Die Aufsichtsbehörde als </w:t>
      </w:r>
      <w:r w:rsidR="00D7386B">
        <w:t xml:space="preserve">erster </w:t>
      </w:r>
      <w:r>
        <w:t xml:space="preserve">Weg </w:t>
      </w:r>
      <w:r w:rsidR="00D7386B">
        <w:t xml:space="preserve">– </w:t>
      </w:r>
      <w:r>
        <w:t xml:space="preserve">nicht das Gericht (Empfehlung 3.2)</w:t>
      </w:r>
    </w:p>
    <w:p w:rsidR="009B7FA3" w:rsidP="00750824" w:rsidRDefault="00000000" w14:paraId="00CC0021" w14:textId="793F41BE">
      <w:pPr>
        <w:pStyle w:val="Telobesedila"/>
        <w:jc w:val="both"/>
      </w:pPr>
      <w:r>
        <w:t xml:space="preserve">Die Feststellung des arbeitsrechtlichen Status muss im Rahmen eines Verwaltungsverfahrens vor der Arbeitsaufsichtsbehörde (</w:t>
      </w:r>
      <w:r>
        <w:t xml:space="preserve">„labour </w:t>
      </w:r>
      <w:r w:rsidR="00D7386B">
        <w:t xml:space="preserve">inspectorate“</w:t>
      </w:r>
      <w:r>
        <w:t xml:space="preserve">) </w:t>
      </w:r>
      <w:r>
        <w:t xml:space="preserve">möglich sein </w:t>
      </w:r>
      <w:r w:rsidR="00D7386B">
        <w:t xml:space="preserve">– </w:t>
      </w:r>
      <w:r>
        <w:t xml:space="preserve">schnell, zugänglich und ohne Vorabkosten für den Arbeitnehmer. Ein Arbeitnehmer, der zu einem langwierigen Gerichtsverfahren gezwungen ist, hat den Kampf bereits verloren, unabhängig vom Ausgang.</w:t>
      </w:r>
    </w:p>
    <w:p w:rsidR="009B7FA3" w:rsidP="00750824" w:rsidRDefault="009B7FA3" w14:paraId="00CC0022" w14:textId="77777777">
      <w:pPr>
        <w:jc w:val="both"/>
      </w:pPr>
    </w:p>
    <w:p w:rsidR="009B7FA3" w:rsidP="00750824" w:rsidRDefault="00000000" w14:paraId="00CC0030" w14:textId="1FD00F05">
      <w:pPr>
        <w:pStyle w:val="Naslov3"/>
        <w:jc w:val="both"/>
      </w:pPr>
      <w:r>
        <w:t xml:space="preserve">3. Vorläufiger kollektiver Schutz während der Anfechtung </w:t>
      </w:r>
      <w:r w:rsidR="00CF3B80">
        <w:t xml:space="preserve">des Arbeitsverhältnisses </w:t>
      </w:r>
      <w:r>
        <w:t xml:space="preserve">(Empfehlung 6.5)</w:t>
      </w:r>
    </w:p>
    <w:p w:rsidR="009B7FA3" w:rsidP="00750824" w:rsidRDefault="00000000" w14:paraId="00CC0031" w14:textId="599C4D71">
      <w:pPr>
        <w:pStyle w:val="Telobesedila"/>
        <w:jc w:val="both"/>
      </w:pPr>
      <w:r>
        <w:t xml:space="preserve">Stellt die Arbeitsaufsichtsbehörde fest, dass die Plattform der Arbeitgeber ist, </w:t>
      </w:r>
      <w:r w:rsidR="00D7386B">
        <w:t xml:space="preserve">kann </w:t>
      </w:r>
      <w:r>
        <w:t xml:space="preserve">die Plattform dies </w:t>
      </w:r>
      <w:r>
        <w:t xml:space="preserve">vor Gericht anfechten. </w:t>
      </w:r>
      <w:r w:rsidR="00D7386B">
        <w:t xml:space="preserve">Gerichtsverfahren </w:t>
      </w:r>
      <w:r>
        <w:t xml:space="preserve">dauern</w:t>
      </w:r>
      <w:r w:rsidR="00D7386B">
        <w:t xml:space="preserve"> in den meisten Ländern </w:t>
      </w:r>
      <w:r>
        <w:t xml:space="preserve">Jahre. Während dieser Zeit </w:t>
      </w:r>
      <w:r>
        <w:t xml:space="preserve">dürfen </w:t>
      </w:r>
      <w:r w:rsidR="00D7386B">
        <w:t xml:space="preserve">die Arbeitnehmer </w:t>
      </w:r>
      <w:r>
        <w:t xml:space="preserve">nicht schutzlos bleiben: Löhne und Sozialabgaben </w:t>
      </w:r>
      <w:r w:rsidR="00D7386B">
        <w:t xml:space="preserve">müssen gemäß den Rechtsvorschriften, die </w:t>
      </w:r>
      <w:r w:rsidR="00CF3B80">
        <w:t xml:space="preserve">die Arbeitnehmerrechte</w:t>
      </w:r>
      <w:r w:rsidR="00D7386B">
        <w:t xml:space="preserve"> regeln</w:t>
      </w:r>
      <w:r>
        <w:t xml:space="preserve">,</w:t>
      </w:r>
      <w:r w:rsidR="00D7386B">
        <w:t xml:space="preserve"> abgeführt werden</w:t>
      </w:r>
      <w:r>
        <w:t xml:space="preserve">, bis das Gericht anders entscheidet. Das Risiko einer falschen Feststellung trägt der Staat </w:t>
      </w:r>
      <w:r w:rsidR="00D7386B">
        <w:t xml:space="preserve">– </w:t>
      </w:r>
      <w:r>
        <w:t xml:space="preserve">nicht der Arbeitnehmer. Ohne diesen Mechanismus ist jede Rechtsvermutung nur </w:t>
      </w:r>
      <w:r w:rsidR="00D7386B">
        <w:t xml:space="preserve">ein toter Buchstabe auf dem Papier.</w:t>
      </w:r>
    </w:p>
    <w:p w:rsidR="009B7FA3" w:rsidP="00750824" w:rsidRDefault="009B7FA3" w14:paraId="00CC0032" w14:textId="77777777">
      <w:pPr>
        <w:jc w:val="both"/>
      </w:pPr>
    </w:p>
    <w:p w:rsidR="009B7FA3" w:rsidP="00750824" w:rsidRDefault="00000000" w14:paraId="00CC0040" w14:textId="3E6E5823">
      <w:pPr>
        <w:pStyle w:val="Naslov3"/>
        <w:jc w:val="both"/>
      </w:pPr>
      <w:r>
        <w:t xml:space="preserve">4. Kollektive Geltendmachung ohne individuelle Zustimmung (Empfehlung 3.5)</w:t>
      </w:r>
    </w:p>
    <w:p w:rsidR="009B7FA3" w:rsidP="00750824" w:rsidRDefault="00000000" w14:paraId="00CC0041" w14:textId="27EB57C4">
      <w:pPr>
        <w:pStyle w:val="Telobesedila"/>
        <w:jc w:val="both"/>
      </w:pPr>
      <w:r>
        <w:t xml:space="preserve">Eine Gewerkschaft muss </w:t>
      </w:r>
      <w:r w:rsidR="00D7386B">
        <w:t xml:space="preserve">die Möglichkeit haben, </w:t>
      </w:r>
      <w:r>
        <w:t xml:space="preserve">ein Verfahren zur Feststellung </w:t>
      </w:r>
      <w:r>
        <w:t xml:space="preserve">des </w:t>
      </w:r>
      <w:r w:rsidR="00D7386B">
        <w:t xml:space="preserve">arbeitsrechtlichen </w:t>
      </w:r>
      <w:r>
        <w:t xml:space="preserve">Status </w:t>
      </w:r>
      <w:r>
        <w:t xml:space="preserve">einzuleiten </w:t>
      </w:r>
      <w:r>
        <w:t xml:space="preserve">oder einen Verstoß gegen die Richtlinie im Namen einer Gruppe von Arbeitnehmern geltend zu machen </w:t>
      </w:r>
      <w:r w:rsidR="00D7386B">
        <w:t xml:space="preserve">– </w:t>
      </w:r>
      <w:r>
        <w:t xml:space="preserve">ohne die Verpflichtung, die schriftliche Zustimmung jedes Einzelnen einzuholen. </w:t>
      </w:r>
      <w:r>
        <w:t xml:space="preserve">Plattformarbeiter, die </w:t>
      </w:r>
      <w:r>
        <w:t xml:space="preserve">eine Deaktivierung </w:t>
      </w:r>
      <w:r>
        <w:t xml:space="preserve">ihres Kontos </w:t>
      </w:r>
      <w:r w:rsidR="00D7386B">
        <w:t xml:space="preserve">und den damit verbundenen Verlust ihres Arbeitsplatzes </w:t>
      </w:r>
      <w:r>
        <w:t xml:space="preserve">befürchten</w:t>
      </w:r>
      <w:r>
        <w:t xml:space="preserve">, </w:t>
      </w:r>
      <w:r w:rsidR="00D7386B">
        <w:t xml:space="preserve">werden</w:t>
      </w:r>
      <w:r>
        <w:t xml:space="preserve"> keine </w:t>
      </w:r>
      <w:r w:rsidR="00D7386B">
        <w:t xml:space="preserve">Beschwerden oder Einwilligungen zur Einleitung von Verfahren unterzeichnen</w:t>
      </w:r>
      <w:r>
        <w:t xml:space="preserve">. Die Individualität als Verfahrensvoraussetzung </w:t>
      </w:r>
      <w:r w:rsidR="00D7386B">
        <w:t xml:space="preserve">stellt keinen Schutz dar, sondern lediglich einen Ausweichmechanismus für die Plattformen. </w:t>
      </w:r>
    </w:p>
    <w:p w:rsidR="009B7FA3" w:rsidP="00750824" w:rsidRDefault="009B7FA3" w14:paraId="00CC0042" w14:textId="77777777">
      <w:pPr>
        <w:jc w:val="both"/>
      </w:pPr>
    </w:p>
    <w:p w:rsidR="009B7FA3" w:rsidP="00750824" w:rsidRDefault="00000000" w14:paraId="00CC0050" w14:textId="225BD1D1">
      <w:pPr>
        <w:pStyle w:val="Naslov3"/>
        <w:jc w:val="both"/>
      </w:pPr>
      <w:r>
        <w:t xml:space="preserve">5. </w:t>
      </w:r>
      <w:r w:rsidR="00A25A76">
        <w:t xml:space="preserve">Solidarische </w:t>
      </w:r>
      <w:r>
        <w:t xml:space="preserve">Haftung als Verpflichtung, nicht als </w:t>
      </w:r>
      <w:r w:rsidR="00061B6E">
        <w:t xml:space="preserve">Option </w:t>
      </w:r>
      <w:r>
        <w:t xml:space="preserve">(Empfehlung 3.4)</w:t>
      </w:r>
    </w:p>
    <w:p w:rsidR="009B7FA3" w:rsidP="00750824" w:rsidRDefault="00000000" w14:paraId="00CC0051" w14:textId="56E3F0B5">
      <w:pPr>
        <w:pStyle w:val="Telobesedila"/>
        <w:jc w:val="both"/>
      </w:pPr>
      <w:r>
        <w:lastRenderedPageBreak/>
      </w:r>
      <w:r>
        <w:t xml:space="preserve">Die Formulierung der Richtlinie </w:t>
      </w:r>
      <w:r w:rsidR="00792F1C">
        <w:t xml:space="preserve">„</w:t>
      </w:r>
      <w:r>
        <w:t xml:space="preserve">soweit </w:t>
      </w:r>
      <w:r w:rsidR="00792F1C">
        <w:t xml:space="preserve">angemessen“ </w:t>
      </w:r>
      <w:r w:rsidR="00061B6E">
        <w:t xml:space="preserve">muss </w:t>
      </w:r>
      <w:r>
        <w:t xml:space="preserve">ein Mindeststandard</w:t>
      </w:r>
      <w:r w:rsidR="00061B6E">
        <w:t xml:space="preserve"> sein</w:t>
      </w:r>
      <w:r>
        <w:t xml:space="preserve">, keine Einschränkung </w:t>
      </w:r>
      <w:r w:rsidR="00061B6E">
        <w:t xml:space="preserve">bei der Umsetzung</w:t>
      </w:r>
      <w:r>
        <w:t xml:space="preserve">. </w:t>
      </w:r>
      <w:r>
        <w:t xml:space="preserve">Die </w:t>
      </w:r>
      <w:r w:rsidR="00A25A76">
        <w:t xml:space="preserve">gesamtschuldnerische </w:t>
      </w:r>
      <w:r>
        <w:t xml:space="preserve">Haftung (</w:t>
      </w:r>
      <w:r>
        <w:t xml:space="preserve">„joint </w:t>
      </w:r>
      <w:r w:rsidR="00061B6E">
        <w:t xml:space="preserve">liability</w:t>
      </w:r>
      <w:r>
        <w:t xml:space="preserve">“) der Plattform für </w:t>
      </w:r>
      <w:r w:rsidR="00061B6E">
        <w:t xml:space="preserve">die Auszahlung </w:t>
      </w:r>
      <w:r>
        <w:t xml:space="preserve">von Löhnen, </w:t>
      </w:r>
      <w:r w:rsidR="00061B6E">
        <w:t xml:space="preserve">die Zahlung von Sozialabgaben </w:t>
      </w:r>
      <w:r>
        <w:t xml:space="preserve">und </w:t>
      </w:r>
      <w:r w:rsidR="00061B6E">
        <w:t xml:space="preserve">die Gewährleistung der Rechte der Arbeitnehmer </w:t>
      </w:r>
      <w:r>
        <w:t xml:space="preserve">in </w:t>
      </w:r>
      <w:r>
        <w:t xml:space="preserve">der</w:t>
      </w:r>
      <w:r>
        <w:t xml:space="preserve"> gesamten </w:t>
      </w:r>
      <w:r w:rsidR="00061B6E">
        <w:t xml:space="preserve">von der Plattform genutzten </w:t>
      </w:r>
      <w:r>
        <w:t xml:space="preserve">Unterauftragnehmerkette </w:t>
      </w:r>
      <w:r>
        <w:t xml:space="preserve">muss eine zwingende gesetzliche Bestimmung sein </w:t>
      </w:r>
      <w:r w:rsidR="00D7386B">
        <w:t xml:space="preserve">– </w:t>
      </w:r>
      <w:r>
        <w:t xml:space="preserve">keine Ermessensfrage. Das „Flotten-System“ (</w:t>
      </w:r>
      <w:r>
        <w:t xml:space="preserve">„fleet </w:t>
      </w:r>
      <w:r w:rsidR="00061B6E">
        <w:t xml:space="preserve">system“</w:t>
      </w:r>
      <w:r>
        <w:t xml:space="preserve">) und „Scheinfirmen“ (</w:t>
      </w:r>
      <w:r>
        <w:t xml:space="preserve">„shell </w:t>
      </w:r>
      <w:r w:rsidR="00061B6E">
        <w:t xml:space="preserve">companies“</w:t>
      </w:r>
      <w:r>
        <w:t xml:space="preserve">) sind heute die wichtigsten Instrumente zur Umgehung von Vorschriften</w:t>
      </w:r>
      <w:r w:rsidR="00061B6E">
        <w:t xml:space="preserve">.</w:t>
      </w:r>
    </w:p>
    <w:p w:rsidR="009B7FA3" w:rsidP="00750824" w:rsidRDefault="009B7FA3" w14:paraId="00CC0052" w14:textId="77777777">
      <w:pPr>
        <w:jc w:val="both"/>
      </w:pPr>
    </w:p>
    <w:p w:rsidR="009B7FA3" w:rsidP="00750824" w:rsidRDefault="00000000" w14:paraId="00CC0060" w14:textId="1CBE7E42">
      <w:pPr>
        <w:pStyle w:val="Naslov3"/>
        <w:jc w:val="both"/>
      </w:pPr>
      <w:r>
        <w:t xml:space="preserve">6. Strafen, die sich nach dem Umsatz richten, nicht nach einem abstrakten Höchstbetrag (Empfehlung 7.1)</w:t>
      </w:r>
    </w:p>
    <w:p w:rsidR="009B7FA3" w:rsidP="00750824" w:rsidRDefault="00000000" w14:paraId="00CC0061" w14:textId="33764FDC">
      <w:pPr>
        <w:pStyle w:val="Telobesedila"/>
        <w:jc w:val="both"/>
      </w:pPr>
      <w:r>
        <w:t xml:space="preserve">Eine feste gesetzliche Obergrenze für Geldbußen (z. B. 50.000</w:t>
      </w:r>
      <w:r w:rsidR="00061B6E">
        <w:t xml:space="preserve">,00 </w:t>
      </w:r>
      <w:r>
        <w:t xml:space="preserve">EUR) ist für eine Plattform mit Milliardenumsätzen </w:t>
      </w:r>
      <w:r>
        <w:t xml:space="preserve">eine </w:t>
      </w:r>
      <w:r>
        <w:t xml:space="preserve">unglaubwürdige </w:t>
      </w:r>
      <w:r>
        <w:t xml:space="preserve">Drohung. Die Strafen müssen als Prozentsatz des Jahresumsatzes der Plattform im jeweiligen Land berechnet werden: 2 % für Verstöße gegen die algorithmische Steuerung, 4 % für Verstöße </w:t>
      </w:r>
      <w:r w:rsidR="00061B6E">
        <w:t xml:space="preserve">im Zusammenhang mit </w:t>
      </w:r>
      <w:r w:rsidR="00061B6E">
        <w:t xml:space="preserve">dem</w:t>
      </w:r>
      <w:r w:rsidR="00061B6E">
        <w:t xml:space="preserve"> arbeitsrechtlichen </w:t>
      </w:r>
      <w:r w:rsidR="00061B6E">
        <w:t xml:space="preserve">Status</w:t>
      </w:r>
      <w:r>
        <w:t xml:space="preserve">, bis zu 6 % für systematische, wiederholte Verstöße. Nur </w:t>
      </w:r>
      <w:r w:rsidR="00061B6E">
        <w:t xml:space="preserve">in diesem Fall </w:t>
      </w:r>
      <w:r w:rsidR="00061B6E">
        <w:t xml:space="preserve">erfüllen</w:t>
      </w:r>
      <w:r w:rsidR="00061B6E">
        <w:t xml:space="preserve"> die Strafen </w:t>
      </w:r>
      <w:r>
        <w:t xml:space="preserve">ihre Funktion </w:t>
      </w:r>
      <w:r w:rsidR="00061B6E">
        <w:t xml:space="preserve">als Abschreckung vor Verstößen</w:t>
      </w:r>
      <w:r>
        <w:t xml:space="preserve">.</w:t>
      </w:r>
    </w:p>
    <w:p w:rsidR="009B7FA3" w:rsidP="00750824" w:rsidRDefault="009B7FA3" w14:paraId="00CC0062" w14:textId="77777777">
      <w:pPr>
        <w:jc w:val="both"/>
      </w:pPr>
    </w:p>
    <w:p w:rsidR="009B7FA3" w:rsidP="00750824" w:rsidRDefault="00000000" w14:paraId="00CC0070" w14:textId="20DE727E">
      <w:pPr>
        <w:pStyle w:val="Naslov3"/>
        <w:jc w:val="both"/>
      </w:pPr>
      <w:r>
        <w:t xml:space="preserve">7. Echte menschliche Überprüfung </w:t>
      </w:r>
      <w:r w:rsidR="00D7386B">
        <w:t xml:space="preserve">– </w:t>
      </w:r>
      <w:r>
        <w:t xml:space="preserve">keine Bestätigung durch einen Algorithmus (Empfehlung 5.4)</w:t>
      </w:r>
    </w:p>
    <w:p w:rsidR="009B7FA3" w:rsidP="00750824" w:rsidRDefault="00000000" w14:paraId="00CC0071" w14:textId="2CA944E4">
      <w:pPr>
        <w:pStyle w:val="Telobesedila"/>
        <w:jc w:val="both"/>
      </w:pPr>
      <w:r>
        <w:t xml:space="preserve">Das Gesetz muss festlegen, dass die Überprüfung gemäß Artikel 11 </w:t>
      </w:r>
      <w:r w:rsidR="00084394">
        <w:t xml:space="preserve">der Richtlinie </w:t>
      </w:r>
      <w:r>
        <w:t xml:space="preserve">nicht </w:t>
      </w:r>
      <w:r w:rsidR="00084394">
        <w:t xml:space="preserve">nur </w:t>
      </w:r>
      <w:r>
        <w:t xml:space="preserve">ein</w:t>
      </w:r>
      <w:r w:rsidR="00084394">
        <w:t xml:space="preserve"> formales </w:t>
      </w:r>
      <w:r>
        <w:t xml:space="preserve">Verfahren </w:t>
      </w:r>
      <w:r>
        <w:t xml:space="preserve">ist</w:t>
      </w:r>
      <w:r>
        <w:t xml:space="preserve">, bei dem </w:t>
      </w:r>
      <w:r>
        <w:t xml:space="preserve">ein Mitarbeiter der Plattform </w:t>
      </w:r>
      <w:r>
        <w:t xml:space="preserve">das Ergebnis des Algorithmus </w:t>
      </w:r>
      <w:r w:rsidR="00084394">
        <w:t xml:space="preserve">bestätigt</w:t>
      </w:r>
      <w:r>
        <w:t xml:space="preserve">. Die Überprüfung muss von einer qualifizierten Person durchgeführt werden, die tatsächlich befugt ist, die Entscheidung zu ändern, und die nicht sanktioniert werden darf, weil sie diese geändert hat. Gleichzeitig muss die Überwachung gemäß Artikel 10 kontinuierlich erfolgen </w:t>
      </w:r>
      <w:r w:rsidR="00D7386B">
        <w:t xml:space="preserve">– </w:t>
      </w:r>
      <w:r>
        <w:t xml:space="preserve">nicht nur </w:t>
      </w:r>
      <w:r>
        <w:t xml:space="preserve">als</w:t>
      </w:r>
      <w:r>
        <w:t xml:space="preserve"> zweijährliche Überprüfung, die die Plattform </w:t>
      </w:r>
      <w:r>
        <w:t xml:space="preserve">als administrative Verpflichtung </w:t>
      </w:r>
      <w:r w:rsidR="00084394">
        <w:t xml:space="preserve">durchführt</w:t>
      </w:r>
      <w:r>
        <w:t xml:space="preserve">.</w:t>
      </w:r>
    </w:p>
    <w:p w:rsidR="009B7FA3" w:rsidP="00750824" w:rsidRDefault="009B7FA3" w14:paraId="00CC0072" w14:textId="77777777">
      <w:pPr>
        <w:jc w:val="both"/>
      </w:pPr>
    </w:p>
    <w:p w:rsidR="009B7FA3" w:rsidP="00750824" w:rsidRDefault="00000000" w14:paraId="00CC0080" w14:textId="0025CB50">
      <w:pPr>
        <w:pStyle w:val="Naslov3"/>
        <w:jc w:val="both"/>
      </w:pPr>
      <w:r>
        <w:t xml:space="preserve">8. Schutz vor Vergeltungsmaßnahmen mit umgekehrter Beweislast (Empfehlung 7.2)</w:t>
      </w:r>
    </w:p>
    <w:p w:rsidR="009B7FA3" w:rsidP="00750824" w:rsidRDefault="008F0A64" w14:paraId="00CC0081" w14:textId="6EEA69C0">
      <w:pPr>
        <w:pStyle w:val="Telobesedila"/>
        <w:jc w:val="both"/>
      </w:pPr>
      <w:r>
        <w:t xml:space="preserve">Vergeltungsmaßnahmen nach der Geltendmachung von Rechten werden höchstwahrscheinlich in Form von niedrigeren Bewertungen der Arbeitnehmer in den Apps, weniger zugewiesenen Aufträgen bzw. Arbeitsaufträgen und verstärkter </w:t>
      </w:r>
      <w:r w:rsidR="00D7386B">
        <w:t xml:space="preserve">Überwachung</w:t>
      </w:r>
      <w:r>
        <w:t xml:space="preserve"> erfolgen </w:t>
      </w:r>
      <w:r w:rsidR="00D7386B">
        <w:t xml:space="preserve">– </w:t>
      </w:r>
      <w:r>
        <w:t xml:space="preserve">und das Gesetz muss sie entsprechend definieren. Die Beweislast (</w:t>
      </w:r>
      <w:r>
        <w:t xml:space="preserve">„burden </w:t>
      </w:r>
      <w:r>
        <w:t xml:space="preserve">of </w:t>
      </w:r>
      <w:r>
        <w:t xml:space="preserve">proof“) muss umgekehrt werden: Der Arbeitnehmer weist einen wahrscheinlichen Kausalzusammenhang zwischen der Geltendmachung seiner Rechte und der nachteiligen Maßnahme nach, während die Plattform nachweisen muss, dass die Maßnahme auf objektive Faktoren zurückzuführen ist und nicht auf die Geltendmachung der Rechte durch den Arbeitnehmer. Ohne dies wird jeder formale Schutz in der Praxis unerreichbar bleiben.</w:t>
      </w:r>
    </w:p>
    <w:p w:rsidR="009B7FA3" w:rsidP="00750824" w:rsidRDefault="009B7FA3" w14:paraId="00CC0082" w14:textId="77777777">
      <w:pPr>
        <w:jc w:val="both"/>
      </w:pPr>
    </w:p>
    <w:p w:rsidR="009B7FA3" w:rsidP="00750824" w:rsidRDefault="00000000" w14:paraId="00CC0090" w14:textId="16EA3121">
      <w:pPr>
        <w:pStyle w:val="Naslov3"/>
        <w:jc w:val="both"/>
      </w:pPr>
      <w:r>
        <w:t xml:space="preserve">9. Offenlegung von Algorithmen in Gerichts- und Aufsichtsverfahren (Empfehlung 7.4)</w:t>
      </w:r>
    </w:p>
    <w:p w:rsidR="009B7FA3" w:rsidP="00750824" w:rsidRDefault="00000000" w14:paraId="00CC0091" w14:textId="3F12F3CB">
      <w:pPr>
        <w:pStyle w:val="Telobesedila"/>
        <w:jc w:val="both"/>
      </w:pPr>
      <w:r>
        <w:t xml:space="preserve">Gerichte und Aufsichtsbehörden müssen gesetzlich befugt sein</w:t>
      </w:r>
      <w:r w:rsidR="008F0A64">
        <w:t xml:space="preserve">, </w:t>
      </w:r>
      <w:r>
        <w:t xml:space="preserve">Einblick in die algorithmischen Parameter, die Entscheidungsprotokolle und </w:t>
      </w:r>
      <w:r w:rsidR="008F0A64">
        <w:t xml:space="preserve">die von den Anwendungen gesammelten </w:t>
      </w:r>
      <w:r>
        <w:t xml:space="preserve">Überwachungsdaten </w:t>
      </w:r>
      <w:r w:rsidR="008F0A64">
        <w:t xml:space="preserve">zu nehmen</w:t>
      </w:r>
      <w:r>
        <w:t xml:space="preserve">. Die Berufung auf das Geschäftsgeheimnis darf keine absolute Verteidigung darstellen</w:t>
      </w:r>
      <w:r w:rsidR="008F0A64">
        <w:t xml:space="preserve">. </w:t>
      </w:r>
      <w:r>
        <w:t xml:space="preserve">Das Gesetz muss Mechanismen für eine vertrauliche Überprüfung („in camera“-Verfahren) vorsehen. Ohne diese werden die Plattformen strukturell einen Informationsvorsprung gegenüber allen anderen Verfahrensbeteiligten haben.</w:t>
      </w:r>
    </w:p>
    <w:p w:rsidR="009B7FA3" w:rsidP="00750824" w:rsidRDefault="009B7FA3" w14:paraId="00CC0092" w14:textId="77777777">
      <w:pPr>
        <w:jc w:val="both"/>
      </w:pPr>
    </w:p>
    <w:p w:rsidR="009B7FA3" w:rsidP="00750824" w:rsidRDefault="00000000" w14:paraId="00CC00A0" w14:textId="16C92382">
      <w:pPr>
        <w:pStyle w:val="Naslov3"/>
        <w:jc w:val="both"/>
      </w:pPr>
      <w:r>
        <w:t xml:space="preserve">10. Verbot eines dritten Status: binärer </w:t>
      </w:r>
      <w:r w:rsidR="00CF3B80">
        <w:t xml:space="preserve">Beschäftigungstest </w:t>
      </w:r>
      <w:r>
        <w:t xml:space="preserve">(Empfehlung 9.1)</w:t>
      </w:r>
    </w:p>
    <w:p w:rsidR="009B7FA3" w:rsidP="00750824" w:rsidRDefault="00000000" w14:paraId="00CC00A1" w14:textId="57EC958A">
      <w:pPr>
        <w:pStyle w:val="Telobesedila"/>
        <w:jc w:val="both"/>
      </w:pPr>
      <w:r>
        <w:t xml:space="preserve">Das Gesetz darf keine Zwischenstatus zwischen Arbeitnehmern und Selbstständigen einführen </w:t>
      </w:r>
      <w:r w:rsidR="00D7386B">
        <w:t xml:space="preserve">– </w:t>
      </w:r>
      <w:r>
        <w:t xml:space="preserve">sogenannte </w:t>
      </w:r>
      <w:r>
        <w:t xml:space="preserve">„wirtschaftlich abhängige </w:t>
      </w:r>
      <w:r w:rsidR="008F0A64">
        <w:t xml:space="preserve">Arbeitnehmer“, </w:t>
      </w:r>
      <w:r w:rsidR="008F0A64">
        <w:t xml:space="preserve">„parasubordinierte“ </w:t>
      </w:r>
      <w:r>
        <w:t xml:space="preserve">oder ähnliche Kategorien mit</w:t>
      </w:r>
      <w:r>
        <w:lastRenderedPageBreak/>
      </w:r>
      <w:r>
        <w:t xml:space="preserve"> Teilrechten. Die Richtlinie basiert auf einem binären Test: entweder </w:t>
      </w:r>
      <w:r w:rsidR="00CF3B80">
        <w:t xml:space="preserve">ein Arbeitsverhältnis </w:t>
      </w:r>
      <w:r>
        <w:t xml:space="preserve">oder Selbstständigkeit. Ein dritter Status, der den Plattformen </w:t>
      </w:r>
      <w:r w:rsidR="008F0A64">
        <w:t xml:space="preserve">die Einhaltung der Richtlinie </w:t>
      </w:r>
      <w:r>
        <w:t xml:space="preserve">gewährleistet</w:t>
      </w:r>
      <w:r>
        <w:t xml:space="preserve">, </w:t>
      </w:r>
      <w:r>
        <w:t xml:space="preserve">ohne </w:t>
      </w:r>
      <w:r>
        <w:t xml:space="preserve">deren Inhalt </w:t>
      </w:r>
      <w:r w:rsidR="008F0A64">
        <w:t xml:space="preserve">zu berücksichtigen</w:t>
      </w:r>
      <w:r>
        <w:t xml:space="preserve">, ist </w:t>
      </w:r>
      <w:r>
        <w:t xml:space="preserve">der </w:t>
      </w:r>
      <w:r w:rsidR="008F0A64">
        <w:t xml:space="preserve">von den Plattformen </w:t>
      </w:r>
      <w:r>
        <w:t xml:space="preserve">am häufigsten empfohlene regulatorische Ausweg </w:t>
      </w:r>
      <w:r w:rsidR="00D7386B">
        <w:t xml:space="preserve">– </w:t>
      </w:r>
      <w:r>
        <w:t xml:space="preserve">und muss </w:t>
      </w:r>
      <w:r>
        <w:t xml:space="preserve">bereits im Gesetz </w:t>
      </w:r>
      <w:r w:rsidR="008F0A64">
        <w:t xml:space="preserve">zur Umsetzung der Richtlinie </w:t>
      </w:r>
      <w:r w:rsidR="008F0A64">
        <w:t xml:space="preserve">unterbunden</w:t>
      </w:r>
      <w:r>
        <w:t xml:space="preserve"> werden</w:t>
      </w:r>
      <w:r>
        <w:t xml:space="preserve">.</w:t>
      </w:r>
    </w:p>
    <w:p w:rsidR="009B7FA3" w:rsidP="00750824" w:rsidRDefault="009B7FA3" w14:paraId="00CC00A2" w14:textId="77777777">
      <w:pPr>
        <w:jc w:val="both"/>
      </w:pPr>
    </w:p>
    <w:p w:rsidR="009B7FA3" w:rsidP="00750824" w:rsidRDefault="00000000" w14:paraId="00CC0200" w14:textId="3E8A04C9">
      <w:pPr>
        <w:pStyle w:val="Telobesedila"/>
        <w:jc w:val="both"/>
      </w:pPr>
      <w:r>
        <w:t xml:space="preserve">Alle weiteren Empfehlungen in diesem Dokument sind entweder Erläuterungen und Konkretisierungen der oben genannten zehn Punkte </w:t>
      </w:r>
      <w:r>
        <w:t xml:space="preserve">oder ehrgeizigere Vorschläge, die über die Mindestanforderungen der Richtlinie hinausgehen. Die Hierarchie ist bewusst gewählt: </w:t>
      </w:r>
      <w:r w:rsidR="008F0A64">
        <w:t xml:space="preserve">Ein Staat</w:t>
      </w:r>
      <w:r>
        <w:t xml:space="preserve">, der zumindest diese zehn Punkte umsetzt, wird die Umsetzung </w:t>
      </w:r>
      <w:r>
        <w:t xml:space="preserve">so</w:t>
      </w:r>
      <w:r w:rsidR="008F0A64">
        <w:t xml:space="preserve"> gestalten</w:t>
      </w:r>
      <w:r>
        <w:t xml:space="preserve">, dass die Richtlinie die Arbeitsbedingungen auf den Plattformen tatsächlich </w:t>
      </w:r>
      <w:r w:rsidR="008F0A64">
        <w:t xml:space="preserve">zugunsten der Arbeitnehmer </w:t>
      </w:r>
      <w:r>
        <w:t xml:space="preserve">verändert </w:t>
      </w:r>
      <w:r w:rsidR="008F0A64">
        <w:t xml:space="preserve">und den Zweck der Richtlinie erfüllt</w:t>
      </w:r>
      <w:r>
        <w:t xml:space="preserve">.</w:t>
      </w:r>
    </w:p>
    <w:p w:rsidR="009B7FA3" w:rsidP="00750824" w:rsidRDefault="009B7FA3" w14:paraId="00CC0201" w14:textId="77777777">
      <w:pPr>
        <w:jc w:val="both"/>
      </w:pPr>
    </w:p>
    <w:p w:rsidR="00750824" w:rsidRDefault="00750824" w14:paraId="7F66102A" w14:textId="77777777">
      <w:pPr>
        <w:rPr>
          <w:b/>
          <w:bCs/>
          <w:color w:val="1F3864"/>
          <w:sz w:val="36"/>
          <w:szCs w:val="36"/>
        </w:rPr>
      </w:pPr>
      <w:r>
        <w:br w:type="page"/>
      </w:r>
    </w:p>
    <w:p w:rsidR="00D90A18" w:rsidP="00750824" w:rsidRDefault="00D90A18" w14:paraId="5A3CA3C4" w14:textId="7281FA23">
      <w:pPr>
        <w:pStyle w:val="Naslov1"/>
        <w:jc w:val="both"/>
      </w:pPr>
      <w:bookmarkStart w:name="_Toc233699478" w:id="2"/>
      <w:r>
        <w:lastRenderedPageBreak/>
      </w:r>
      <w:r>
        <w:t xml:space="preserve">Vorwort</w:t>
      </w:r>
      <w:bookmarkEnd w:id="2"/>
    </w:p>
    <w:p w:rsidR="00D90A18" w:rsidP="00750824" w:rsidRDefault="00D90A18" w14:paraId="63638BEA" w14:textId="77777777">
      <w:pPr>
        <w:jc w:val="both"/>
      </w:pPr>
      <w:r>
        <w:t xml:space="preserve">Dieses Dokument ist das Ergebnis des Projekts SDDP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das aus dem Programm der Europäischen Kommission für den sozialen Dialog (SOCPL-2022-SOC-DIAL) finanziert und aus dem Europäischen Sozialfonds (ESF) kofinanziert wurde. Das Projekt lief von April 2023 bis März 2026.</w:t>
      </w:r>
    </w:p>
    <w:p w:rsidR="00D90A18" w:rsidP="00750824" w:rsidRDefault="00D90A18" w14:paraId="7CFB778E" w14:textId="77777777">
      <w:pPr>
        <w:jc w:val="both"/>
      </w:pPr>
    </w:p>
    <w:p w:rsidR="00D90A18" w:rsidP="00750824" w:rsidRDefault="00D90A18" w14:paraId="562683D6" w14:textId="7CE76151">
      <w:pPr>
        <w:jc w:val="both"/>
      </w:pPr>
      <w:r>
        <w:t xml:space="preserve">Das Konsortium setzt sich zusammen aus: ZSSS </w:t>
      </w:r>
      <w:r w:rsidR="00D7386B">
        <w:t xml:space="preserve">– </w:t>
      </w:r>
      <w:r>
        <w:t xml:space="preserve">Verband der freien Gewerkschaften Sloweniens (Koordinator), ÖGB </w:t>
      </w:r>
      <w:r w:rsidR="00D7386B">
        <w:t xml:space="preserve">– </w:t>
      </w:r>
      <w:r>
        <w:t xml:space="preserve">Österreichischer Gewerkschaftsbund, CGIL </w:t>
      </w:r>
      <w:r w:rsidR="00D7386B">
        <w:t xml:space="preserve">– </w:t>
      </w:r>
      <w:r>
        <w:t xml:space="preserve">Allgemeiner Italienischer Gewerkschaftsbund, OPZZ und ABVV-FTB in Zusammenarbeit mit dem EGB. </w:t>
      </w:r>
    </w:p>
    <w:p w:rsidR="00DB0B6E" w:rsidP="00750824" w:rsidRDefault="00DB0B6E" w14:paraId="0E9BE49C" w14:textId="77777777">
      <w:pPr>
        <w:jc w:val="both"/>
      </w:pPr>
    </w:p>
    <w:p w:rsidR="00D90A18" w:rsidP="00750824" w:rsidRDefault="00D90A18" w14:paraId="1E9C8F52" w14:textId="0780E0D7">
      <w:pPr>
        <w:jc w:val="both"/>
      </w:pPr>
      <w:r>
        <w:t xml:space="preserve">Das Dokument basiert auf Beiträgen </w:t>
      </w:r>
      <w:r w:rsidR="00DB0B6E">
        <w:t xml:space="preserve">der Projektpartner</w:t>
      </w:r>
      <w:r>
        <w:t xml:space="preserve">, drei </w:t>
      </w:r>
      <w:r w:rsidR="00DB0B6E">
        <w:t xml:space="preserve">mit </w:t>
      </w:r>
      <w:r w:rsidR="00DB0B6E">
        <w:t xml:space="preserve">Plattformunternehmen</w:t>
      </w:r>
      <w:r w:rsidR="00DB0B6E">
        <w:t xml:space="preserve"> abgeschlossenen </w:t>
      </w:r>
      <w:r>
        <w:t xml:space="preserve">Tarifverträgen</w:t>
      </w:r>
      <w:r>
        <w:t xml:space="preserve">, dem Bericht der Expertengruppe der Europäischen Kommission zur Umsetzung der Richtlinie (Januar 2026) sowie den Diskussionen auf der Zwischenkonferenz in Ljubljana im Mai 2025.</w:t>
      </w:r>
    </w:p>
    <w:p w:rsidR="00D90A18" w:rsidP="00750824" w:rsidRDefault="00D90A18" w14:paraId="773309D0" w14:textId="77777777">
      <w:pPr>
        <w:jc w:val="both"/>
      </w:pPr>
      <w:r>
        <w:t xml:space="preserve">Die Empfehlungen richten sich an die Arbeitsministerien der EU-Mitgliedstaaten und an die Sozialpartner. Sie geben die Standpunkte des SDDP-Konsortiums wieder und entsprechen nicht unbedingt den Standpunkten der Europäischen Kommission oder einzelner Mitgliedstaaten.</w:t>
      </w:r>
    </w:p>
    <w:p w:rsidR="00D90A18" w:rsidP="00750824" w:rsidRDefault="00D90A18" w14:paraId="7C0C6646" w14:textId="77777777">
      <w:pPr>
        <w:jc w:val="both"/>
      </w:pPr>
    </w:p>
    <w:p w:rsidR="00D90A18" w:rsidP="00750824" w:rsidRDefault="00D90A18" w14:paraId="02BC730F" w14:textId="77777777">
      <w:pPr>
        <w:jc w:val="both"/>
      </w:pPr>
      <w:r>
        <w:t xml:space="preserve">Ljubljana, Februar 2026</w:t>
      </w:r>
    </w:p>
    <w:p w:rsidR="00750824" w:rsidRDefault="00750824" w14:paraId="43DF8F1C" w14:textId="77777777">
      <w:r>
        <w:br w:type="page"/>
      </w:r>
    </w:p>
    <w:sdt>
      <w:sdtPr>
        <w:id w:val="-1059785089"/>
        <w:docPartObj>
          <w:docPartGallery w:val="Table of Contents"/>
          <w:docPartUnique/>
        </w:docPartObj>
      </w:sdtPr>
      <w:sdtContent>
        <w:p w:rsidR="00983F19" w:rsidP="00750824" w:rsidRDefault="00D90A18" w14:paraId="032E0C10" w14:textId="33FE751C">
          <w:pPr>
            <w:jc w:val="both"/>
            <w:rPr>
              <w:b/>
              <w:bCs/>
              <w:color w:val="1F497D" w:themeColor="text2"/>
              <w:sz w:val="32"/>
              <w:szCs w:val="32"/>
            </w:rPr>
          </w:pPr>
          <w:r w:rsidRPr="00750824">
            <w:rPr>
              <w:b/>
              <w:bCs/>
              <w:color w:val="1F497D" w:themeColor="text2"/>
              <w:sz w:val="32"/>
              <w:szCs w:val="32"/>
            </w:rPr>
            <w:t xml:space="preserve">Inhaltsverzeichnis</w:t>
          </w:r>
        </w:p>
        <w:p w:rsidRPr="00750824" w:rsidR="00750824" w:rsidP="00750824" w:rsidRDefault="00750824" w14:paraId="2E64F756" w14:textId="77777777">
          <w:pPr>
            <w:jc w:val="both"/>
            <w:rPr>
              <w:b/>
              <w:bCs/>
              <w:color w:val="1F497D" w:themeColor="text2"/>
              <w:sz w:val="32"/>
              <w:szCs w:val="32"/>
            </w:rPr>
          </w:pPr>
        </w:p>
        <w:p w:rsidR="00615F18" w:rsidRDefault="00000000" w14:paraId="27C0A924" w14:textId="5B2FD599">
          <w:pPr>
            <w:pStyle w:val="Kazalovsebine1"/>
            <w:tabs>
              <w:tab w:val="right" w:leader="dot" w:pos="9016"/>
            </w:tabs>
            <w:rPr>
              <w:rFonts w:asciiTheme="minorHAnsi" w:hAnsiTheme="minorHAnsi" w:eastAsiaTheme="minorEastAsia" w:cstheme="minorBidi"/>
              <w:noProof/>
              <w:kern w:val="2"/>
              <w14:ligatures w14:val="standardContextual"/>
            </w:rPr>
          </w:pPr>
          <w:r>
            <w:fldChar w:fldCharType="begin"/>
          </w:r>
          <w:r>
            <w:instrText>TOC \o "1-2" \h \z \u</w:instrText>
          </w:r>
          <w:r>
            <w:fldChar w:fldCharType="separate"/>
          </w:r>
          <w:hyperlink w:history="1" w:anchor="_Toc233699476">
            <w:r w:rsidRPr="00C7164C" w:rsidR="00615F18">
              <w:rPr>
                <w:rStyle w:val="Hiperpovezava"/>
                <w:noProof/>
              </w:rPr>
              <w:t xml:space="preserve">Zusammenfassung</w:t>
            </w:r>
            <w:r w:rsidR="00615F18">
              <w:rPr>
                <w:noProof/>
                <w:webHidden/>
              </w:rPr>
              <w:tab/>
            </w:r>
            <w:r w:rsidR="00615F18">
              <w:rPr>
                <w:noProof/>
                <w:webHidden/>
              </w:rPr>
              <w:fldChar w:fldCharType="begin"/>
            </w:r>
            <w:r w:rsidR="00615F18">
              <w:rPr>
                <w:noProof/>
                <w:webHidden/>
              </w:rPr>
              <w:instrText xml:space="preserve"> PAGEREF _Toc233699476 \h </w:instrText>
            </w:r>
            <w:r w:rsidR="00615F18">
              <w:rPr>
                <w:noProof/>
                <w:webHidden/>
              </w:rPr>
              <w:fldChar w:fldCharType="separate"/>
            </w:r>
            <w:r w:rsidR="00615F18">
              <w:rPr>
                <w:noProof/>
                <w:webHidden/>
              </w:rPr>
              <w:t>1</w:t>
            </w:r>
            <w:r w:rsidR="00615F18">
              <w:rPr>
                <w:noProof/>
                <w:webHidden/>
              </w:rPr>
              <w:fldChar w:fldCharType="end"/>
            </w:r>
          </w:hyperlink>
        </w:p>
        <w:p w:rsidR="00615F18" w:rsidRDefault="00615F18" w14:paraId="2525978E" w14:textId="1BCB9985">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7">
            <w:r w:rsidRPr="00C7164C">
              <w:rPr>
                <w:rStyle w:val="Hiperpovezava"/>
                <w:noProof/>
              </w:rPr>
              <w:t xml:space="preserve">10 zentrale Empfehlungen</w:t>
            </w:r>
            <w:r>
              <w:rPr>
                <w:noProof/>
                <w:webHidden/>
              </w:rPr>
              <w:tab/>
            </w:r>
            <w:r>
              <w:rPr>
                <w:noProof/>
                <w:webHidden/>
              </w:rPr>
              <w:fldChar w:fldCharType="begin"/>
            </w:r>
            <w:r>
              <w:rPr>
                <w:noProof/>
                <w:webHidden/>
              </w:rPr>
              <w:instrText xml:space="preserve"> PAGEREF _Toc233699477 \h </w:instrText>
            </w:r>
            <w:r>
              <w:rPr>
                <w:noProof/>
                <w:webHidden/>
              </w:rPr>
              <w:fldChar w:fldCharType="separate"/>
            </w:r>
            <w:r>
              <w:rPr>
                <w:noProof/>
                <w:webHidden/>
              </w:rPr>
              <w:t>2</w:t>
            </w:r>
            <w:r>
              <w:rPr>
                <w:noProof/>
                <w:webHidden/>
              </w:rPr>
              <w:fldChar w:fldCharType="end"/>
            </w:r>
          </w:hyperlink>
        </w:p>
        <w:p w:rsidR="00615F18" w:rsidRDefault="00615F18" w14:paraId="2E33F562" w14:textId="18E9ADD7">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8">
            <w:r w:rsidRPr="00C7164C">
              <w:rPr>
                <w:rStyle w:val="Hiperpovezava"/>
                <w:noProof/>
              </w:rPr>
              <w:t xml:space="preserve">Vorwort</w:t>
            </w:r>
            <w:r>
              <w:rPr>
                <w:noProof/>
                <w:webHidden/>
              </w:rPr>
              <w:tab/>
            </w:r>
            <w:r>
              <w:rPr>
                <w:noProof/>
                <w:webHidden/>
              </w:rPr>
              <w:fldChar w:fldCharType="begin"/>
            </w:r>
            <w:r>
              <w:rPr>
                <w:noProof/>
                <w:webHidden/>
              </w:rPr>
              <w:instrText xml:space="preserve"> PAGEREF _Toc233699478 \h </w:instrText>
            </w:r>
            <w:r>
              <w:rPr>
                <w:noProof/>
                <w:webHidden/>
              </w:rPr>
              <w:fldChar w:fldCharType="separate"/>
            </w:r>
            <w:r>
              <w:rPr>
                <w:noProof/>
                <w:webHidden/>
              </w:rPr>
              <w:t>5</w:t>
            </w:r>
            <w:r>
              <w:rPr>
                <w:noProof/>
                <w:webHidden/>
              </w:rPr>
              <w:fldChar w:fldCharType="end"/>
            </w:r>
          </w:hyperlink>
        </w:p>
        <w:p w:rsidR="00615F18" w:rsidRDefault="00615F18" w14:paraId="1A597F6E" w14:textId="509EAABA">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9">
            <w:r w:rsidRPr="00C7164C">
              <w:rPr>
                <w:rStyle w:val="Hiperpovezava"/>
                <w:noProof/>
              </w:rPr>
              <w:t xml:space="preserve">Kapitel 1: Einleitung</w:t>
            </w:r>
            <w:r>
              <w:rPr>
                <w:noProof/>
                <w:webHidden/>
              </w:rPr>
              <w:tab/>
            </w:r>
            <w:r>
              <w:rPr>
                <w:noProof/>
                <w:webHidden/>
              </w:rPr>
              <w:fldChar w:fldCharType="begin"/>
            </w:r>
            <w:r>
              <w:rPr>
                <w:noProof/>
                <w:webHidden/>
              </w:rPr>
              <w:instrText xml:space="preserve"> PAGEREF _Toc233699479 \h </w:instrText>
            </w:r>
            <w:r>
              <w:rPr>
                <w:noProof/>
                <w:webHidden/>
              </w:rPr>
              <w:fldChar w:fldCharType="separate"/>
            </w:r>
            <w:r>
              <w:rPr>
                <w:noProof/>
                <w:webHidden/>
              </w:rPr>
              <w:t>8</w:t>
            </w:r>
            <w:r>
              <w:rPr>
                <w:noProof/>
                <w:webHidden/>
              </w:rPr>
              <w:fldChar w:fldCharType="end"/>
            </w:r>
          </w:hyperlink>
        </w:p>
        <w:p w:rsidR="00615F18" w:rsidRDefault="00615F18" w14:paraId="767A55BB" w14:textId="49CC8451">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0">
            <w:r w:rsidRPr="00C7164C">
              <w:rPr>
                <w:rStyle w:val="Hiperpovezava"/>
                <w:noProof/>
              </w:rPr>
              <w:t xml:space="preserve">Kapitel 2: Geltungsbereich und Begriffsbestimmungen</w:t>
            </w:r>
            <w:r>
              <w:rPr>
                <w:noProof/>
                <w:webHidden/>
              </w:rPr>
              <w:tab/>
            </w:r>
            <w:r>
              <w:rPr>
                <w:noProof/>
                <w:webHidden/>
              </w:rPr>
              <w:fldChar w:fldCharType="begin"/>
            </w:r>
            <w:r>
              <w:rPr>
                <w:noProof/>
                <w:webHidden/>
              </w:rPr>
              <w:instrText xml:space="preserve"> PAGEREF _Toc233699480 \h </w:instrText>
            </w:r>
            <w:r>
              <w:rPr>
                <w:noProof/>
                <w:webHidden/>
              </w:rPr>
              <w:fldChar w:fldCharType="separate"/>
            </w:r>
            <w:r>
              <w:rPr>
                <w:noProof/>
                <w:webHidden/>
              </w:rPr>
              <w:t>11</w:t>
            </w:r>
            <w:r>
              <w:rPr>
                <w:noProof/>
                <w:webHidden/>
              </w:rPr>
              <w:fldChar w:fldCharType="end"/>
            </w:r>
          </w:hyperlink>
        </w:p>
        <w:p w:rsidR="00615F18" w:rsidRDefault="00615F18" w14:paraId="4E37DEAB" w14:textId="150280E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1">
            <w:r w:rsidRPr="00C7164C">
              <w:rPr>
                <w:rStyle w:val="Hiperpovezava"/>
                <w:noProof/>
              </w:rPr>
              <w:t xml:space="preserve">2.1 Anforderungen der Richtlinie</w:t>
            </w:r>
            <w:r>
              <w:rPr>
                <w:noProof/>
                <w:webHidden/>
              </w:rPr>
              <w:tab/>
            </w:r>
            <w:r>
              <w:rPr>
                <w:noProof/>
                <w:webHidden/>
              </w:rPr>
              <w:fldChar w:fldCharType="begin"/>
            </w:r>
            <w:r>
              <w:rPr>
                <w:noProof/>
                <w:webHidden/>
              </w:rPr>
              <w:instrText xml:space="preserve"> PAGEREF _Toc233699481 \h </w:instrText>
            </w:r>
            <w:r>
              <w:rPr>
                <w:noProof/>
                <w:webHidden/>
              </w:rPr>
              <w:fldChar w:fldCharType="separate"/>
            </w:r>
            <w:r>
              <w:rPr>
                <w:noProof/>
                <w:webHidden/>
              </w:rPr>
              <w:t>11</w:t>
            </w:r>
            <w:r>
              <w:rPr>
                <w:noProof/>
                <w:webHidden/>
              </w:rPr>
              <w:fldChar w:fldCharType="end"/>
            </w:r>
          </w:hyperlink>
        </w:p>
        <w:p w:rsidR="00615F18" w:rsidRDefault="00615F18" w14:paraId="50662A26" w14:textId="4D0A28A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2">
            <w:r w:rsidRPr="00C7164C">
              <w:rPr>
                <w:rStyle w:val="Hiperpovezava"/>
                <w:noProof/>
              </w:rPr>
              <w:t xml:space="preserve">2.2 Erkenntnisse aus der Praxis</w:t>
            </w:r>
            <w:r>
              <w:rPr>
                <w:noProof/>
                <w:webHidden/>
              </w:rPr>
              <w:tab/>
            </w:r>
            <w:r>
              <w:rPr>
                <w:noProof/>
                <w:webHidden/>
              </w:rPr>
              <w:fldChar w:fldCharType="begin"/>
            </w:r>
            <w:r>
              <w:rPr>
                <w:noProof/>
                <w:webHidden/>
              </w:rPr>
              <w:instrText xml:space="preserve"> PAGEREF _Toc233699482 \h </w:instrText>
            </w:r>
            <w:r>
              <w:rPr>
                <w:noProof/>
                <w:webHidden/>
              </w:rPr>
              <w:fldChar w:fldCharType="separate"/>
            </w:r>
            <w:r>
              <w:rPr>
                <w:noProof/>
                <w:webHidden/>
              </w:rPr>
              <w:t>12</w:t>
            </w:r>
            <w:r>
              <w:rPr>
                <w:noProof/>
                <w:webHidden/>
              </w:rPr>
              <w:fldChar w:fldCharType="end"/>
            </w:r>
          </w:hyperlink>
        </w:p>
        <w:p w:rsidR="00615F18" w:rsidRDefault="00615F18" w14:paraId="7A6BE073" w14:textId="56AA867A">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3">
            <w:r w:rsidRPr="00C7164C">
              <w:rPr>
                <w:rStyle w:val="Hiperpovezava"/>
                <w:noProof/>
              </w:rPr>
              <w:t xml:space="preserve">2.3 Empfehlungen</w:t>
            </w:r>
            <w:r>
              <w:rPr>
                <w:noProof/>
                <w:webHidden/>
              </w:rPr>
              <w:tab/>
            </w:r>
            <w:r>
              <w:rPr>
                <w:noProof/>
                <w:webHidden/>
              </w:rPr>
              <w:fldChar w:fldCharType="begin"/>
            </w:r>
            <w:r>
              <w:rPr>
                <w:noProof/>
                <w:webHidden/>
              </w:rPr>
              <w:instrText xml:space="preserve"> PAGEREF _Toc233699483 \h </w:instrText>
            </w:r>
            <w:r>
              <w:rPr>
                <w:noProof/>
                <w:webHidden/>
              </w:rPr>
              <w:fldChar w:fldCharType="separate"/>
            </w:r>
            <w:r>
              <w:rPr>
                <w:noProof/>
                <w:webHidden/>
              </w:rPr>
              <w:t>13</w:t>
            </w:r>
            <w:r>
              <w:rPr>
                <w:noProof/>
                <w:webHidden/>
              </w:rPr>
              <w:fldChar w:fldCharType="end"/>
            </w:r>
          </w:hyperlink>
        </w:p>
        <w:p w:rsidR="00615F18" w:rsidRDefault="00615F18" w14:paraId="178E8428" w14:textId="02FF9B60">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4">
            <w:r w:rsidRPr="00C7164C">
              <w:rPr>
                <w:rStyle w:val="Hiperpovezava"/>
                <w:noProof/>
              </w:rPr>
              <w:t xml:space="preserve">Kapitel 3: Rechtsvermutung des Arbeitsverhältnisses und Feststellung des arbeitsrechtlichen Status</w:t>
            </w:r>
            <w:r>
              <w:rPr>
                <w:noProof/>
                <w:webHidden/>
              </w:rPr>
              <w:tab/>
            </w:r>
            <w:r>
              <w:rPr>
                <w:noProof/>
                <w:webHidden/>
              </w:rPr>
              <w:fldChar w:fldCharType="begin"/>
            </w:r>
            <w:r>
              <w:rPr>
                <w:noProof/>
                <w:webHidden/>
              </w:rPr>
              <w:instrText xml:space="preserve"> PAGEREF _Toc233699484 \h </w:instrText>
            </w:r>
            <w:r>
              <w:rPr>
                <w:noProof/>
                <w:webHidden/>
              </w:rPr>
              <w:fldChar w:fldCharType="separate"/>
            </w:r>
            <w:r>
              <w:rPr>
                <w:noProof/>
                <w:webHidden/>
              </w:rPr>
              <w:t>17</w:t>
            </w:r>
            <w:r>
              <w:rPr>
                <w:noProof/>
                <w:webHidden/>
              </w:rPr>
              <w:fldChar w:fldCharType="end"/>
            </w:r>
          </w:hyperlink>
        </w:p>
        <w:p w:rsidR="00615F18" w:rsidRDefault="00615F18" w14:paraId="5170A70E" w14:textId="2EF5F821">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5">
            <w:r w:rsidRPr="00C7164C">
              <w:rPr>
                <w:rStyle w:val="Hiperpovezava"/>
                <w:noProof/>
              </w:rPr>
              <w:t xml:space="preserve">3.1 Anforderungen der Richtlinie</w:t>
            </w:r>
            <w:r>
              <w:rPr>
                <w:noProof/>
                <w:webHidden/>
              </w:rPr>
              <w:tab/>
            </w:r>
            <w:r>
              <w:rPr>
                <w:noProof/>
                <w:webHidden/>
              </w:rPr>
              <w:fldChar w:fldCharType="begin"/>
            </w:r>
            <w:r>
              <w:rPr>
                <w:noProof/>
                <w:webHidden/>
              </w:rPr>
              <w:instrText xml:space="preserve"> PAGEREF _Toc233699485 \h </w:instrText>
            </w:r>
            <w:r>
              <w:rPr>
                <w:noProof/>
                <w:webHidden/>
              </w:rPr>
              <w:fldChar w:fldCharType="separate"/>
            </w:r>
            <w:r>
              <w:rPr>
                <w:noProof/>
                <w:webHidden/>
              </w:rPr>
              <w:t>17</w:t>
            </w:r>
            <w:r>
              <w:rPr>
                <w:noProof/>
                <w:webHidden/>
              </w:rPr>
              <w:fldChar w:fldCharType="end"/>
            </w:r>
          </w:hyperlink>
        </w:p>
        <w:p w:rsidR="00615F18" w:rsidRDefault="00615F18" w14:paraId="69C5AA96" w14:textId="11878A0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6">
            <w:r w:rsidRPr="00C7164C">
              <w:rPr>
                <w:rStyle w:val="Hiperpovezava"/>
                <w:noProof/>
              </w:rPr>
              <w:t xml:space="preserve">3.2 Erkenntnisse aus der Praxis</w:t>
            </w:r>
            <w:r>
              <w:rPr>
                <w:noProof/>
                <w:webHidden/>
              </w:rPr>
              <w:tab/>
            </w:r>
            <w:r>
              <w:rPr>
                <w:noProof/>
                <w:webHidden/>
              </w:rPr>
              <w:fldChar w:fldCharType="begin"/>
            </w:r>
            <w:r>
              <w:rPr>
                <w:noProof/>
                <w:webHidden/>
              </w:rPr>
              <w:instrText xml:space="preserve"> PAGEREF _Toc233699486 \h </w:instrText>
            </w:r>
            <w:r>
              <w:rPr>
                <w:noProof/>
                <w:webHidden/>
              </w:rPr>
              <w:fldChar w:fldCharType="separate"/>
            </w:r>
            <w:r>
              <w:rPr>
                <w:noProof/>
                <w:webHidden/>
              </w:rPr>
              <w:t>18</w:t>
            </w:r>
            <w:r>
              <w:rPr>
                <w:noProof/>
                <w:webHidden/>
              </w:rPr>
              <w:fldChar w:fldCharType="end"/>
            </w:r>
          </w:hyperlink>
        </w:p>
        <w:p w:rsidR="00615F18" w:rsidRDefault="00615F18" w14:paraId="5F2E28E9" w14:textId="2FCEB25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7">
            <w:r w:rsidRPr="00C7164C">
              <w:rPr>
                <w:rStyle w:val="Hiperpovezava"/>
                <w:noProof/>
              </w:rPr>
              <w:t xml:space="preserve">3.3 Empfehlungen</w:t>
            </w:r>
            <w:r>
              <w:rPr>
                <w:noProof/>
                <w:webHidden/>
              </w:rPr>
              <w:tab/>
            </w:r>
            <w:r>
              <w:rPr>
                <w:noProof/>
                <w:webHidden/>
              </w:rPr>
              <w:fldChar w:fldCharType="begin"/>
            </w:r>
            <w:r>
              <w:rPr>
                <w:noProof/>
                <w:webHidden/>
              </w:rPr>
              <w:instrText xml:space="preserve"> PAGEREF _Toc233699487 \h </w:instrText>
            </w:r>
            <w:r>
              <w:rPr>
                <w:noProof/>
                <w:webHidden/>
              </w:rPr>
              <w:fldChar w:fldCharType="separate"/>
            </w:r>
            <w:r>
              <w:rPr>
                <w:noProof/>
                <w:webHidden/>
              </w:rPr>
              <w:t>20</w:t>
            </w:r>
            <w:r>
              <w:rPr>
                <w:noProof/>
                <w:webHidden/>
              </w:rPr>
              <w:fldChar w:fldCharType="end"/>
            </w:r>
          </w:hyperlink>
        </w:p>
        <w:p w:rsidR="00615F18" w:rsidRDefault="00615F18" w14:paraId="08E46C7B" w14:textId="34A753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8">
            <w:r w:rsidRPr="00C7164C">
              <w:rPr>
                <w:rStyle w:val="Hiperpovezava"/>
                <w:noProof/>
              </w:rPr>
              <w:t xml:space="preserve">Kapitel 4: Algorithmisches Management und menschliche Kontrolle</w:t>
            </w:r>
            <w:r>
              <w:rPr>
                <w:noProof/>
                <w:webHidden/>
              </w:rPr>
              <w:tab/>
            </w:r>
            <w:r>
              <w:rPr>
                <w:noProof/>
                <w:webHidden/>
              </w:rPr>
              <w:fldChar w:fldCharType="begin"/>
            </w:r>
            <w:r>
              <w:rPr>
                <w:noProof/>
                <w:webHidden/>
              </w:rPr>
              <w:instrText xml:space="preserve"> PAGEREF _Toc233699488 \h </w:instrText>
            </w:r>
            <w:r>
              <w:rPr>
                <w:noProof/>
                <w:webHidden/>
              </w:rPr>
              <w:fldChar w:fldCharType="separate"/>
            </w:r>
            <w:r>
              <w:rPr>
                <w:noProof/>
                <w:webHidden/>
              </w:rPr>
              <w:t>23</w:t>
            </w:r>
            <w:r>
              <w:rPr>
                <w:noProof/>
                <w:webHidden/>
              </w:rPr>
              <w:fldChar w:fldCharType="end"/>
            </w:r>
          </w:hyperlink>
        </w:p>
        <w:p w:rsidR="00615F18" w:rsidRDefault="00615F18" w14:paraId="3E226B7F" w14:textId="01D45BA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9">
            <w:r w:rsidRPr="00C7164C">
              <w:rPr>
                <w:rStyle w:val="Hiperpovezava"/>
                <w:noProof/>
              </w:rPr>
              <w:t xml:space="preserve">4.1 Anforderungen der Richtlinie</w:t>
            </w:r>
            <w:r>
              <w:rPr>
                <w:noProof/>
                <w:webHidden/>
              </w:rPr>
              <w:tab/>
            </w:r>
            <w:r>
              <w:rPr>
                <w:noProof/>
                <w:webHidden/>
              </w:rPr>
              <w:fldChar w:fldCharType="begin"/>
            </w:r>
            <w:r>
              <w:rPr>
                <w:noProof/>
                <w:webHidden/>
              </w:rPr>
              <w:instrText xml:space="preserve"> PAGEREF _Toc233699489 \h </w:instrText>
            </w:r>
            <w:r>
              <w:rPr>
                <w:noProof/>
                <w:webHidden/>
              </w:rPr>
              <w:fldChar w:fldCharType="separate"/>
            </w:r>
            <w:r>
              <w:rPr>
                <w:noProof/>
                <w:webHidden/>
              </w:rPr>
              <w:t>23</w:t>
            </w:r>
            <w:r>
              <w:rPr>
                <w:noProof/>
                <w:webHidden/>
              </w:rPr>
              <w:fldChar w:fldCharType="end"/>
            </w:r>
          </w:hyperlink>
        </w:p>
        <w:p w:rsidR="00615F18" w:rsidRDefault="00615F18" w14:paraId="4982C58C" w14:textId="1C3387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0">
            <w:r w:rsidRPr="00C7164C">
              <w:rPr>
                <w:rStyle w:val="Hiperpovezava"/>
                <w:noProof/>
              </w:rPr>
              <w:t xml:space="preserve">4.2 Erkenntnisse aus der Praxis</w:t>
            </w:r>
            <w:r>
              <w:rPr>
                <w:noProof/>
                <w:webHidden/>
              </w:rPr>
              <w:tab/>
            </w:r>
            <w:r>
              <w:rPr>
                <w:noProof/>
                <w:webHidden/>
              </w:rPr>
              <w:fldChar w:fldCharType="begin"/>
            </w:r>
            <w:r>
              <w:rPr>
                <w:noProof/>
                <w:webHidden/>
              </w:rPr>
              <w:instrText xml:space="preserve"> PAGEREF _Toc233699490 \h </w:instrText>
            </w:r>
            <w:r>
              <w:rPr>
                <w:noProof/>
                <w:webHidden/>
              </w:rPr>
              <w:fldChar w:fldCharType="separate"/>
            </w:r>
            <w:r>
              <w:rPr>
                <w:noProof/>
                <w:webHidden/>
              </w:rPr>
              <w:t>24</w:t>
            </w:r>
            <w:r>
              <w:rPr>
                <w:noProof/>
                <w:webHidden/>
              </w:rPr>
              <w:fldChar w:fldCharType="end"/>
            </w:r>
          </w:hyperlink>
        </w:p>
        <w:p w:rsidR="00615F18" w:rsidRDefault="00615F18" w14:paraId="38E1609B" w14:textId="334264C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1">
            <w:r w:rsidRPr="00C7164C">
              <w:rPr>
                <w:rStyle w:val="Hiperpovezava"/>
                <w:noProof/>
              </w:rPr>
              <w:t xml:space="preserve">4.3 Empfehlungen</w:t>
            </w:r>
            <w:r>
              <w:rPr>
                <w:noProof/>
                <w:webHidden/>
              </w:rPr>
              <w:tab/>
            </w:r>
            <w:r>
              <w:rPr>
                <w:noProof/>
                <w:webHidden/>
              </w:rPr>
              <w:fldChar w:fldCharType="begin"/>
            </w:r>
            <w:r>
              <w:rPr>
                <w:noProof/>
                <w:webHidden/>
              </w:rPr>
              <w:instrText xml:space="preserve"> PAGEREF _Toc233699491 \h </w:instrText>
            </w:r>
            <w:r>
              <w:rPr>
                <w:noProof/>
                <w:webHidden/>
              </w:rPr>
              <w:fldChar w:fldCharType="separate"/>
            </w:r>
            <w:r>
              <w:rPr>
                <w:noProof/>
                <w:webHidden/>
              </w:rPr>
              <w:t>26</w:t>
            </w:r>
            <w:r>
              <w:rPr>
                <w:noProof/>
                <w:webHidden/>
              </w:rPr>
              <w:fldChar w:fldCharType="end"/>
            </w:r>
          </w:hyperlink>
        </w:p>
        <w:p w:rsidR="00615F18" w:rsidRDefault="00615F18" w14:paraId="3943DE7E" w14:textId="58F37BFF">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2">
            <w:r w:rsidRPr="00C7164C">
              <w:rPr>
                <w:rStyle w:val="Hiperpovezava"/>
                <w:noProof/>
              </w:rPr>
              <w:t xml:space="preserve">Kapitel 5: Datenschutz und Privatsphäre</w:t>
            </w:r>
            <w:r>
              <w:rPr>
                <w:noProof/>
                <w:webHidden/>
              </w:rPr>
              <w:tab/>
            </w:r>
            <w:r>
              <w:rPr>
                <w:noProof/>
                <w:webHidden/>
              </w:rPr>
              <w:fldChar w:fldCharType="begin"/>
            </w:r>
            <w:r>
              <w:rPr>
                <w:noProof/>
                <w:webHidden/>
              </w:rPr>
              <w:instrText xml:space="preserve"> PAGEREF _Toc233699492 \h </w:instrText>
            </w:r>
            <w:r>
              <w:rPr>
                <w:noProof/>
                <w:webHidden/>
              </w:rPr>
              <w:fldChar w:fldCharType="separate"/>
            </w:r>
            <w:r>
              <w:rPr>
                <w:noProof/>
                <w:webHidden/>
              </w:rPr>
              <w:t>29</w:t>
            </w:r>
            <w:r>
              <w:rPr>
                <w:noProof/>
                <w:webHidden/>
              </w:rPr>
              <w:fldChar w:fldCharType="end"/>
            </w:r>
          </w:hyperlink>
        </w:p>
        <w:p w:rsidR="00615F18" w:rsidRDefault="00615F18" w14:paraId="7BBB6CD9" w14:textId="72AF92D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3">
            <w:r w:rsidRPr="00C7164C">
              <w:rPr>
                <w:rStyle w:val="Hiperpovezava"/>
                <w:noProof/>
              </w:rPr>
              <w:t xml:space="preserve">5.1 Anforderungen der Richtlinie</w:t>
            </w:r>
            <w:r>
              <w:rPr>
                <w:noProof/>
                <w:webHidden/>
              </w:rPr>
              <w:tab/>
            </w:r>
            <w:r>
              <w:rPr>
                <w:noProof/>
                <w:webHidden/>
              </w:rPr>
              <w:fldChar w:fldCharType="begin"/>
            </w:r>
            <w:r>
              <w:rPr>
                <w:noProof/>
                <w:webHidden/>
              </w:rPr>
              <w:instrText xml:space="preserve"> PAGEREF _Toc233699493 \h </w:instrText>
            </w:r>
            <w:r>
              <w:rPr>
                <w:noProof/>
                <w:webHidden/>
              </w:rPr>
              <w:fldChar w:fldCharType="separate"/>
            </w:r>
            <w:r>
              <w:rPr>
                <w:noProof/>
                <w:webHidden/>
              </w:rPr>
              <w:t>29</w:t>
            </w:r>
            <w:r>
              <w:rPr>
                <w:noProof/>
                <w:webHidden/>
              </w:rPr>
              <w:fldChar w:fldCharType="end"/>
            </w:r>
          </w:hyperlink>
        </w:p>
        <w:p w:rsidR="00615F18" w:rsidRDefault="00615F18" w14:paraId="604BC24E" w14:textId="380C6B2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4">
            <w:r w:rsidRPr="00C7164C">
              <w:rPr>
                <w:rStyle w:val="Hiperpovezava"/>
                <w:noProof/>
              </w:rPr>
              <w:t xml:space="preserve">5.2 Erkenntnisse aus der Praxis</w:t>
            </w:r>
            <w:r>
              <w:rPr>
                <w:noProof/>
                <w:webHidden/>
              </w:rPr>
              <w:tab/>
            </w:r>
            <w:r>
              <w:rPr>
                <w:noProof/>
                <w:webHidden/>
              </w:rPr>
              <w:fldChar w:fldCharType="begin"/>
            </w:r>
            <w:r>
              <w:rPr>
                <w:noProof/>
                <w:webHidden/>
              </w:rPr>
              <w:instrText xml:space="preserve"> PAGEREF _Toc233699494 \h </w:instrText>
            </w:r>
            <w:r>
              <w:rPr>
                <w:noProof/>
                <w:webHidden/>
              </w:rPr>
              <w:fldChar w:fldCharType="separate"/>
            </w:r>
            <w:r>
              <w:rPr>
                <w:noProof/>
                <w:webHidden/>
              </w:rPr>
              <w:t>30</w:t>
            </w:r>
            <w:r>
              <w:rPr>
                <w:noProof/>
                <w:webHidden/>
              </w:rPr>
              <w:fldChar w:fldCharType="end"/>
            </w:r>
          </w:hyperlink>
        </w:p>
        <w:p w:rsidR="00615F18" w:rsidRDefault="00615F18" w14:paraId="556A25BE" w14:textId="43DE6E5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5">
            <w:r w:rsidRPr="00C7164C">
              <w:rPr>
                <w:rStyle w:val="Hiperpovezava"/>
                <w:noProof/>
              </w:rPr>
              <w:t xml:space="preserve">5.3 Empfehlungen</w:t>
            </w:r>
            <w:r>
              <w:rPr>
                <w:noProof/>
                <w:webHidden/>
              </w:rPr>
              <w:tab/>
            </w:r>
            <w:r>
              <w:rPr>
                <w:noProof/>
                <w:webHidden/>
              </w:rPr>
              <w:fldChar w:fldCharType="begin"/>
            </w:r>
            <w:r>
              <w:rPr>
                <w:noProof/>
                <w:webHidden/>
              </w:rPr>
              <w:instrText xml:space="preserve"> PAGEREF _Toc233699495 \h </w:instrText>
            </w:r>
            <w:r>
              <w:rPr>
                <w:noProof/>
                <w:webHidden/>
              </w:rPr>
              <w:fldChar w:fldCharType="separate"/>
            </w:r>
            <w:r>
              <w:rPr>
                <w:noProof/>
                <w:webHidden/>
              </w:rPr>
              <w:t>31</w:t>
            </w:r>
            <w:r>
              <w:rPr>
                <w:noProof/>
                <w:webHidden/>
              </w:rPr>
              <w:fldChar w:fldCharType="end"/>
            </w:r>
          </w:hyperlink>
        </w:p>
        <w:p w:rsidR="00615F18" w:rsidRDefault="00615F18" w14:paraId="6436CA14" w14:textId="5EB594B6">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6">
            <w:r w:rsidRPr="00C7164C">
              <w:rPr>
                <w:rStyle w:val="Hiperpovezava"/>
                <w:noProof/>
              </w:rPr>
              <w:t xml:space="preserve">Kapitel 6: Kollektive Rechte und sozialer Dialog</w:t>
            </w:r>
            <w:r>
              <w:rPr>
                <w:noProof/>
                <w:webHidden/>
              </w:rPr>
              <w:tab/>
            </w:r>
            <w:r>
              <w:rPr>
                <w:noProof/>
                <w:webHidden/>
              </w:rPr>
              <w:fldChar w:fldCharType="begin"/>
            </w:r>
            <w:r>
              <w:rPr>
                <w:noProof/>
                <w:webHidden/>
              </w:rPr>
              <w:instrText xml:space="preserve"> PAGEREF _Toc233699496 \h </w:instrText>
            </w:r>
            <w:r>
              <w:rPr>
                <w:noProof/>
                <w:webHidden/>
              </w:rPr>
              <w:fldChar w:fldCharType="separate"/>
            </w:r>
            <w:r>
              <w:rPr>
                <w:noProof/>
                <w:webHidden/>
              </w:rPr>
              <w:t>34</w:t>
            </w:r>
            <w:r>
              <w:rPr>
                <w:noProof/>
                <w:webHidden/>
              </w:rPr>
              <w:fldChar w:fldCharType="end"/>
            </w:r>
          </w:hyperlink>
        </w:p>
        <w:p w:rsidR="00615F18" w:rsidRDefault="00615F18" w14:paraId="24F35C3A" w14:textId="492D6662">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7">
            <w:r w:rsidRPr="00C7164C">
              <w:rPr>
                <w:rStyle w:val="Hiperpovezava"/>
                <w:noProof/>
              </w:rPr>
              <w:t xml:space="preserve">6.1 Anforderungen der Richtlinie</w:t>
            </w:r>
            <w:r>
              <w:rPr>
                <w:noProof/>
                <w:webHidden/>
              </w:rPr>
              <w:tab/>
            </w:r>
            <w:r>
              <w:rPr>
                <w:noProof/>
                <w:webHidden/>
              </w:rPr>
              <w:fldChar w:fldCharType="begin"/>
            </w:r>
            <w:r>
              <w:rPr>
                <w:noProof/>
                <w:webHidden/>
              </w:rPr>
              <w:instrText xml:space="preserve"> PAGEREF _Toc233699497 \h </w:instrText>
            </w:r>
            <w:r>
              <w:rPr>
                <w:noProof/>
                <w:webHidden/>
              </w:rPr>
              <w:fldChar w:fldCharType="separate"/>
            </w:r>
            <w:r>
              <w:rPr>
                <w:noProof/>
                <w:webHidden/>
              </w:rPr>
              <w:t>34</w:t>
            </w:r>
            <w:r>
              <w:rPr>
                <w:noProof/>
                <w:webHidden/>
              </w:rPr>
              <w:fldChar w:fldCharType="end"/>
            </w:r>
          </w:hyperlink>
        </w:p>
        <w:p w:rsidR="00615F18" w:rsidRDefault="00615F18" w14:paraId="2725D352" w14:textId="1FB7C1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8">
            <w:r w:rsidRPr="00C7164C">
              <w:rPr>
                <w:rStyle w:val="Hiperpovezava"/>
                <w:noProof/>
              </w:rPr>
              <w:t xml:space="preserve">6.2 Erkenntnisse aus der Praxis</w:t>
            </w:r>
            <w:r>
              <w:rPr>
                <w:noProof/>
                <w:webHidden/>
              </w:rPr>
              <w:tab/>
            </w:r>
            <w:r>
              <w:rPr>
                <w:noProof/>
                <w:webHidden/>
              </w:rPr>
              <w:fldChar w:fldCharType="begin"/>
            </w:r>
            <w:r>
              <w:rPr>
                <w:noProof/>
                <w:webHidden/>
              </w:rPr>
              <w:instrText xml:space="preserve"> PAGEREF _Toc233699498 \h </w:instrText>
            </w:r>
            <w:r>
              <w:rPr>
                <w:noProof/>
                <w:webHidden/>
              </w:rPr>
              <w:fldChar w:fldCharType="separate"/>
            </w:r>
            <w:r>
              <w:rPr>
                <w:noProof/>
                <w:webHidden/>
              </w:rPr>
              <w:t>35</w:t>
            </w:r>
            <w:r>
              <w:rPr>
                <w:noProof/>
                <w:webHidden/>
              </w:rPr>
              <w:fldChar w:fldCharType="end"/>
            </w:r>
          </w:hyperlink>
        </w:p>
        <w:p w:rsidR="00615F18" w:rsidRDefault="00615F18" w14:paraId="7128B7BE" w14:textId="5EBD029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9">
            <w:r w:rsidRPr="00C7164C">
              <w:rPr>
                <w:rStyle w:val="Hiperpovezava"/>
                <w:noProof/>
              </w:rPr>
              <w:t xml:space="preserve">6.3 Empfehlungen</w:t>
            </w:r>
            <w:r>
              <w:rPr>
                <w:noProof/>
                <w:webHidden/>
              </w:rPr>
              <w:tab/>
            </w:r>
            <w:r>
              <w:rPr>
                <w:noProof/>
                <w:webHidden/>
              </w:rPr>
              <w:fldChar w:fldCharType="begin"/>
            </w:r>
            <w:r>
              <w:rPr>
                <w:noProof/>
                <w:webHidden/>
              </w:rPr>
              <w:instrText xml:space="preserve"> PAGEREF _Toc233699499 \h </w:instrText>
            </w:r>
            <w:r>
              <w:rPr>
                <w:noProof/>
                <w:webHidden/>
              </w:rPr>
              <w:fldChar w:fldCharType="separate"/>
            </w:r>
            <w:r>
              <w:rPr>
                <w:noProof/>
                <w:webHidden/>
              </w:rPr>
              <w:t>37</w:t>
            </w:r>
            <w:r>
              <w:rPr>
                <w:noProof/>
                <w:webHidden/>
              </w:rPr>
              <w:fldChar w:fldCharType="end"/>
            </w:r>
          </w:hyperlink>
        </w:p>
        <w:p w:rsidR="00615F18" w:rsidRDefault="00615F18" w14:paraId="421DF4C0" w14:textId="132FFB59">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0">
            <w:r w:rsidRPr="00C7164C">
              <w:rPr>
                <w:rStyle w:val="Hiperpovezava"/>
                <w:noProof/>
              </w:rPr>
              <w:t xml:space="preserve">Kapitel 7: Durchsetzung und Rechtsbehelfe</w:t>
            </w:r>
            <w:r>
              <w:rPr>
                <w:noProof/>
                <w:webHidden/>
              </w:rPr>
              <w:tab/>
            </w:r>
            <w:r>
              <w:rPr>
                <w:noProof/>
                <w:webHidden/>
              </w:rPr>
              <w:fldChar w:fldCharType="begin"/>
            </w:r>
            <w:r>
              <w:rPr>
                <w:noProof/>
                <w:webHidden/>
              </w:rPr>
              <w:instrText xml:space="preserve"> PAGEREF _Toc233699500 \h </w:instrText>
            </w:r>
            <w:r>
              <w:rPr>
                <w:noProof/>
                <w:webHidden/>
              </w:rPr>
              <w:fldChar w:fldCharType="separate"/>
            </w:r>
            <w:r>
              <w:rPr>
                <w:noProof/>
                <w:webHidden/>
              </w:rPr>
              <w:t>40</w:t>
            </w:r>
            <w:r>
              <w:rPr>
                <w:noProof/>
                <w:webHidden/>
              </w:rPr>
              <w:fldChar w:fldCharType="end"/>
            </w:r>
          </w:hyperlink>
        </w:p>
        <w:p w:rsidR="00615F18" w:rsidRDefault="00615F18" w14:paraId="124345FD" w14:textId="14569ED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1">
            <w:r w:rsidRPr="00C7164C">
              <w:rPr>
                <w:rStyle w:val="Hiperpovezava"/>
                <w:noProof/>
              </w:rPr>
              <w:t xml:space="preserve">7.1 Anforderungen der Richtlinie</w:t>
            </w:r>
            <w:r>
              <w:rPr>
                <w:noProof/>
                <w:webHidden/>
              </w:rPr>
              <w:tab/>
            </w:r>
            <w:r>
              <w:rPr>
                <w:noProof/>
                <w:webHidden/>
              </w:rPr>
              <w:fldChar w:fldCharType="begin"/>
            </w:r>
            <w:r>
              <w:rPr>
                <w:noProof/>
                <w:webHidden/>
              </w:rPr>
              <w:instrText xml:space="preserve"> PAGEREF _Toc233699501 \h </w:instrText>
            </w:r>
            <w:r>
              <w:rPr>
                <w:noProof/>
                <w:webHidden/>
              </w:rPr>
              <w:fldChar w:fldCharType="separate"/>
            </w:r>
            <w:r>
              <w:rPr>
                <w:noProof/>
                <w:webHidden/>
              </w:rPr>
              <w:t>40</w:t>
            </w:r>
            <w:r>
              <w:rPr>
                <w:noProof/>
                <w:webHidden/>
              </w:rPr>
              <w:fldChar w:fldCharType="end"/>
            </w:r>
          </w:hyperlink>
        </w:p>
        <w:p w:rsidR="00615F18" w:rsidRDefault="00615F18" w14:paraId="39E0C564" w14:textId="7015E8C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2">
            <w:r w:rsidRPr="00C7164C">
              <w:rPr>
                <w:rStyle w:val="Hiperpovezava"/>
                <w:noProof/>
              </w:rPr>
              <w:t xml:space="preserve">7.2 Erkenntnisse aus der Praxis</w:t>
            </w:r>
            <w:r>
              <w:rPr>
                <w:noProof/>
                <w:webHidden/>
              </w:rPr>
              <w:tab/>
            </w:r>
            <w:r>
              <w:rPr>
                <w:noProof/>
                <w:webHidden/>
              </w:rPr>
              <w:fldChar w:fldCharType="begin"/>
            </w:r>
            <w:r>
              <w:rPr>
                <w:noProof/>
                <w:webHidden/>
              </w:rPr>
              <w:instrText xml:space="preserve"> PAGEREF _Toc233699502 \h </w:instrText>
            </w:r>
            <w:r>
              <w:rPr>
                <w:noProof/>
                <w:webHidden/>
              </w:rPr>
              <w:fldChar w:fldCharType="separate"/>
            </w:r>
            <w:r>
              <w:rPr>
                <w:noProof/>
                <w:webHidden/>
              </w:rPr>
              <w:t>41</w:t>
            </w:r>
            <w:r>
              <w:rPr>
                <w:noProof/>
                <w:webHidden/>
              </w:rPr>
              <w:fldChar w:fldCharType="end"/>
            </w:r>
          </w:hyperlink>
        </w:p>
        <w:p w:rsidR="00615F18" w:rsidRDefault="00615F18" w14:paraId="7F0155EE" w14:textId="2184F91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3">
            <w:r w:rsidRPr="00C7164C">
              <w:rPr>
                <w:rStyle w:val="Hiperpovezava"/>
                <w:noProof/>
              </w:rPr>
              <w:t xml:space="preserve">7.3 Empfehlungen</w:t>
            </w:r>
            <w:r>
              <w:rPr>
                <w:noProof/>
                <w:webHidden/>
              </w:rPr>
              <w:tab/>
            </w:r>
            <w:r>
              <w:rPr>
                <w:noProof/>
                <w:webHidden/>
              </w:rPr>
              <w:fldChar w:fldCharType="begin"/>
            </w:r>
            <w:r>
              <w:rPr>
                <w:noProof/>
                <w:webHidden/>
              </w:rPr>
              <w:instrText xml:space="preserve"> PAGEREF _Toc233699503 \h </w:instrText>
            </w:r>
            <w:r>
              <w:rPr>
                <w:noProof/>
                <w:webHidden/>
              </w:rPr>
              <w:fldChar w:fldCharType="separate"/>
            </w:r>
            <w:r>
              <w:rPr>
                <w:noProof/>
                <w:webHidden/>
              </w:rPr>
              <w:t>42</w:t>
            </w:r>
            <w:r>
              <w:rPr>
                <w:noProof/>
                <w:webHidden/>
              </w:rPr>
              <w:fldChar w:fldCharType="end"/>
            </w:r>
          </w:hyperlink>
        </w:p>
        <w:p w:rsidR="00615F18" w:rsidRDefault="00615F18" w14:paraId="714A8C09" w14:textId="446CE3B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4">
            <w:r w:rsidRPr="00C7164C">
              <w:rPr>
                <w:rStyle w:val="Hiperpovezava"/>
                <w:noProof/>
              </w:rPr>
              <w:t xml:space="preserve">Kapitel 8: Ausweitung des Anwendungsbereichs der Richtlinie über die Plattformarbeit hinaus</w:t>
            </w:r>
            <w:r>
              <w:rPr>
                <w:noProof/>
                <w:webHidden/>
              </w:rPr>
              <w:tab/>
            </w:r>
            <w:r>
              <w:rPr>
                <w:noProof/>
                <w:webHidden/>
              </w:rPr>
              <w:fldChar w:fldCharType="begin"/>
            </w:r>
            <w:r>
              <w:rPr>
                <w:noProof/>
                <w:webHidden/>
              </w:rPr>
              <w:instrText xml:space="preserve"> PAGEREF _Toc233699504 \h </w:instrText>
            </w:r>
            <w:r>
              <w:rPr>
                <w:noProof/>
                <w:webHidden/>
              </w:rPr>
              <w:fldChar w:fldCharType="separate"/>
            </w:r>
            <w:r>
              <w:rPr>
                <w:noProof/>
                <w:webHidden/>
              </w:rPr>
              <w:t>46</w:t>
            </w:r>
            <w:r>
              <w:rPr>
                <w:noProof/>
                <w:webHidden/>
              </w:rPr>
              <w:fldChar w:fldCharType="end"/>
            </w:r>
          </w:hyperlink>
        </w:p>
        <w:p w:rsidR="00615F18" w:rsidRDefault="00615F18" w14:paraId="53EB29C8" w14:textId="14D3DC1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5">
            <w:r w:rsidRPr="00C7164C">
              <w:rPr>
                <w:rStyle w:val="Hiperpovezava"/>
                <w:noProof/>
              </w:rPr>
              <w:t xml:space="preserve">8.1 Was die Richtlinie über die Plattformarbeit hinaus zulässt</w:t>
            </w:r>
            <w:r>
              <w:rPr>
                <w:noProof/>
                <w:webHidden/>
              </w:rPr>
              <w:tab/>
            </w:r>
            <w:r>
              <w:rPr>
                <w:noProof/>
                <w:webHidden/>
              </w:rPr>
              <w:fldChar w:fldCharType="begin"/>
            </w:r>
            <w:r>
              <w:rPr>
                <w:noProof/>
                <w:webHidden/>
              </w:rPr>
              <w:instrText xml:space="preserve"> PAGEREF _Toc233699505 \h </w:instrText>
            </w:r>
            <w:r>
              <w:rPr>
                <w:noProof/>
                <w:webHidden/>
              </w:rPr>
              <w:fldChar w:fldCharType="separate"/>
            </w:r>
            <w:r>
              <w:rPr>
                <w:noProof/>
                <w:webHidden/>
              </w:rPr>
              <w:t>46</w:t>
            </w:r>
            <w:r>
              <w:rPr>
                <w:noProof/>
                <w:webHidden/>
              </w:rPr>
              <w:fldChar w:fldCharType="end"/>
            </w:r>
          </w:hyperlink>
        </w:p>
        <w:p w:rsidR="00615F18" w:rsidRDefault="00615F18" w14:paraId="7FAEC8E0" w14:textId="25B499C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6">
            <w:r w:rsidRPr="00C7164C">
              <w:rPr>
                <w:rStyle w:val="Hiperpovezava"/>
                <w:noProof/>
              </w:rPr>
              <w:t xml:space="preserve">8.2 Erkenntnisse aus der Praxis</w:t>
            </w:r>
            <w:r>
              <w:rPr>
                <w:noProof/>
                <w:webHidden/>
              </w:rPr>
              <w:tab/>
            </w:r>
            <w:r>
              <w:rPr>
                <w:noProof/>
                <w:webHidden/>
              </w:rPr>
              <w:fldChar w:fldCharType="begin"/>
            </w:r>
            <w:r>
              <w:rPr>
                <w:noProof/>
                <w:webHidden/>
              </w:rPr>
              <w:instrText xml:space="preserve"> PAGEREF _Toc233699506 \h </w:instrText>
            </w:r>
            <w:r>
              <w:rPr>
                <w:noProof/>
                <w:webHidden/>
              </w:rPr>
              <w:fldChar w:fldCharType="separate"/>
            </w:r>
            <w:r>
              <w:rPr>
                <w:noProof/>
                <w:webHidden/>
              </w:rPr>
              <w:t>46</w:t>
            </w:r>
            <w:r>
              <w:rPr>
                <w:noProof/>
                <w:webHidden/>
              </w:rPr>
              <w:fldChar w:fldCharType="end"/>
            </w:r>
          </w:hyperlink>
        </w:p>
        <w:p w:rsidR="00615F18" w:rsidRDefault="00615F18" w14:paraId="6F5D36CD" w14:textId="52C7C2B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7">
            <w:r w:rsidRPr="00C7164C">
              <w:rPr>
                <w:rStyle w:val="Hiperpovezava"/>
                <w:noProof/>
              </w:rPr>
              <w:t xml:space="preserve">8.3 Empfehlungen</w:t>
            </w:r>
            <w:r>
              <w:rPr>
                <w:noProof/>
                <w:webHidden/>
              </w:rPr>
              <w:tab/>
            </w:r>
            <w:r>
              <w:rPr>
                <w:noProof/>
                <w:webHidden/>
              </w:rPr>
              <w:fldChar w:fldCharType="begin"/>
            </w:r>
            <w:r>
              <w:rPr>
                <w:noProof/>
                <w:webHidden/>
              </w:rPr>
              <w:instrText xml:space="preserve"> PAGEREF _Toc233699507 \h </w:instrText>
            </w:r>
            <w:r>
              <w:rPr>
                <w:noProof/>
                <w:webHidden/>
              </w:rPr>
              <w:fldChar w:fldCharType="separate"/>
            </w:r>
            <w:r>
              <w:rPr>
                <w:noProof/>
                <w:webHidden/>
              </w:rPr>
              <w:t>48</w:t>
            </w:r>
            <w:r>
              <w:rPr>
                <w:noProof/>
                <w:webHidden/>
              </w:rPr>
              <w:fldChar w:fldCharType="end"/>
            </w:r>
          </w:hyperlink>
        </w:p>
        <w:p w:rsidR="00615F18" w:rsidRDefault="00615F18" w14:paraId="660C595F" w14:textId="5B0AC8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8">
            <w:r w:rsidRPr="00C7164C">
              <w:rPr>
                <w:rStyle w:val="Hiperpovezava"/>
                <w:noProof/>
              </w:rPr>
              <w:t xml:space="preserve">Kapitel 9: Herausforderungen bei der Umsetzung und Strategien zur Umgehung</w:t>
            </w:r>
            <w:r>
              <w:rPr>
                <w:noProof/>
                <w:webHidden/>
              </w:rPr>
              <w:tab/>
            </w:r>
            <w:r>
              <w:rPr>
                <w:noProof/>
                <w:webHidden/>
              </w:rPr>
              <w:fldChar w:fldCharType="begin"/>
            </w:r>
            <w:r>
              <w:rPr>
                <w:noProof/>
                <w:webHidden/>
              </w:rPr>
              <w:instrText xml:space="preserve"> PAGEREF _Toc233699508 \h </w:instrText>
            </w:r>
            <w:r>
              <w:rPr>
                <w:noProof/>
                <w:webHidden/>
              </w:rPr>
              <w:fldChar w:fldCharType="separate"/>
            </w:r>
            <w:r>
              <w:rPr>
                <w:noProof/>
                <w:webHidden/>
              </w:rPr>
              <w:t>50</w:t>
            </w:r>
            <w:r>
              <w:rPr>
                <w:noProof/>
                <w:webHidden/>
              </w:rPr>
              <w:fldChar w:fldCharType="end"/>
            </w:r>
          </w:hyperlink>
        </w:p>
        <w:p w:rsidR="00615F18" w:rsidRDefault="00615F18" w14:paraId="02CD77F1" w14:textId="64A72F70">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9">
            <w:r w:rsidRPr="00C7164C">
              <w:rPr>
                <w:rStyle w:val="Hiperpovezava"/>
                <w:noProof/>
              </w:rPr>
              <w:t xml:space="preserve">9.1 Strukturelle Herausforderungen bei der Umsetzung</w:t>
            </w:r>
            <w:r>
              <w:rPr>
                <w:noProof/>
                <w:webHidden/>
              </w:rPr>
              <w:tab/>
            </w:r>
            <w:r>
              <w:rPr>
                <w:noProof/>
                <w:webHidden/>
              </w:rPr>
              <w:fldChar w:fldCharType="begin"/>
            </w:r>
            <w:r>
              <w:rPr>
                <w:noProof/>
                <w:webHidden/>
              </w:rPr>
              <w:instrText xml:space="preserve"> PAGEREF _Toc233699509 \h </w:instrText>
            </w:r>
            <w:r>
              <w:rPr>
                <w:noProof/>
                <w:webHidden/>
              </w:rPr>
              <w:fldChar w:fldCharType="separate"/>
            </w:r>
            <w:r>
              <w:rPr>
                <w:noProof/>
                <w:webHidden/>
              </w:rPr>
              <w:t>50</w:t>
            </w:r>
            <w:r>
              <w:rPr>
                <w:noProof/>
                <w:webHidden/>
              </w:rPr>
              <w:fldChar w:fldCharType="end"/>
            </w:r>
          </w:hyperlink>
        </w:p>
        <w:p w:rsidR="00615F18" w:rsidRDefault="00615F18" w14:paraId="1F7F17A5" w14:textId="62325ED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0">
            <w:r w:rsidRPr="00C7164C">
              <w:rPr>
                <w:rStyle w:val="Hiperpovezava"/>
                <w:noProof/>
              </w:rPr>
              <w:t xml:space="preserve">9.2 Strategien zur Umgehung von Plattformen</w:t>
            </w:r>
            <w:r>
              <w:rPr>
                <w:noProof/>
                <w:webHidden/>
              </w:rPr>
              <w:tab/>
            </w:r>
            <w:r>
              <w:rPr>
                <w:noProof/>
                <w:webHidden/>
              </w:rPr>
              <w:fldChar w:fldCharType="begin"/>
            </w:r>
            <w:r>
              <w:rPr>
                <w:noProof/>
                <w:webHidden/>
              </w:rPr>
              <w:instrText xml:space="preserve"> PAGEREF _Toc233699510 \h </w:instrText>
            </w:r>
            <w:r>
              <w:rPr>
                <w:noProof/>
                <w:webHidden/>
              </w:rPr>
              <w:fldChar w:fldCharType="separate"/>
            </w:r>
            <w:r>
              <w:rPr>
                <w:noProof/>
                <w:webHidden/>
              </w:rPr>
              <w:t>50</w:t>
            </w:r>
            <w:r>
              <w:rPr>
                <w:noProof/>
                <w:webHidden/>
              </w:rPr>
              <w:fldChar w:fldCharType="end"/>
            </w:r>
          </w:hyperlink>
        </w:p>
        <w:p w:rsidR="00615F18" w:rsidRDefault="00615F18" w14:paraId="69BAC62B" w14:textId="19B1266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1">
            <w:r w:rsidRPr="00C7164C">
              <w:rPr>
                <w:rStyle w:val="Hiperpovezava"/>
                <w:noProof/>
              </w:rPr>
              <w:t xml:space="preserve">9.3 Empfehlungen</w:t>
            </w:r>
            <w:r>
              <w:rPr>
                <w:noProof/>
                <w:webHidden/>
              </w:rPr>
              <w:tab/>
            </w:r>
            <w:r>
              <w:rPr>
                <w:noProof/>
                <w:webHidden/>
              </w:rPr>
              <w:fldChar w:fldCharType="begin"/>
            </w:r>
            <w:r>
              <w:rPr>
                <w:noProof/>
                <w:webHidden/>
              </w:rPr>
              <w:instrText xml:space="preserve"> PAGEREF _Toc233699511 \h </w:instrText>
            </w:r>
            <w:r>
              <w:rPr>
                <w:noProof/>
                <w:webHidden/>
              </w:rPr>
              <w:fldChar w:fldCharType="separate"/>
            </w:r>
            <w:r>
              <w:rPr>
                <w:noProof/>
                <w:webHidden/>
              </w:rPr>
              <w:t>53</w:t>
            </w:r>
            <w:r>
              <w:rPr>
                <w:noProof/>
                <w:webHidden/>
              </w:rPr>
              <w:fldChar w:fldCharType="end"/>
            </w:r>
          </w:hyperlink>
        </w:p>
        <w:p w:rsidR="00615F18" w:rsidRDefault="00615F18" w14:paraId="3D515D6D" w14:textId="18A8856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12">
            <w:r w:rsidRPr="00C7164C">
              <w:rPr>
                <w:rStyle w:val="Hiperpovezava"/>
                <w:noProof/>
              </w:rPr>
              <w:t xml:space="preserve">Kapitel 10: Schlussfolgerung</w:t>
            </w:r>
            <w:r>
              <w:rPr>
                <w:noProof/>
                <w:webHidden/>
              </w:rPr>
              <w:tab/>
            </w:r>
            <w:r>
              <w:rPr>
                <w:noProof/>
                <w:webHidden/>
              </w:rPr>
              <w:fldChar w:fldCharType="begin"/>
            </w:r>
            <w:r>
              <w:rPr>
                <w:noProof/>
                <w:webHidden/>
              </w:rPr>
              <w:instrText xml:space="preserve"> PAGEREF _Toc233699512 \h </w:instrText>
            </w:r>
            <w:r>
              <w:rPr>
                <w:noProof/>
                <w:webHidden/>
              </w:rPr>
              <w:fldChar w:fldCharType="separate"/>
            </w:r>
            <w:r>
              <w:rPr>
                <w:noProof/>
                <w:webHidden/>
              </w:rPr>
              <w:t>55</w:t>
            </w:r>
            <w:r>
              <w:rPr>
                <w:noProof/>
                <w:webHidden/>
              </w:rPr>
              <w:fldChar w:fldCharType="end"/>
            </w:r>
          </w:hyperlink>
        </w:p>
        <w:p w:rsidR="00983F19" w:rsidP="00750824" w:rsidRDefault="00000000" w14:paraId="50005A1E" w14:textId="7579F776">
          <w:pPr>
            <w:jc w:val="both"/>
          </w:pPr>
          <w:r>
            <w:fldChar w:fldCharType="end"/>
          </w:r>
        </w:p>
      </w:sdtContent>
    </w:sdt>
    <w:p w:rsidR="00983F19" w:rsidP="00750824" w:rsidRDefault="00983F19" w14:paraId="388E2317" w14:textId="77777777">
      <w:pPr>
        <w:jc w:val="both"/>
      </w:pPr>
      <w:bookmarkStart w:name="predgovor" w:id="3"/>
    </w:p>
    <w:p w:rsidR="00D90A18" w:rsidP="00750824" w:rsidRDefault="00D90A18" w14:paraId="3FE4FC4D" w14:textId="77777777">
      <w:pPr>
        <w:pStyle w:val="Naslov1"/>
        <w:jc w:val="both"/>
      </w:pPr>
      <w:bookmarkStart w:name="poglavje-2-izvršni-povzetek" w:id="4"/>
      <w:bookmarkEnd w:id="3"/>
    </w:p>
    <w:p w:rsidR="00750824" w:rsidRDefault="00750824" w14:paraId="03C58A13" w14:textId="77777777">
      <w:pPr>
        <w:rPr>
          <w:b/>
          <w:bCs/>
          <w:color w:val="1F3864"/>
          <w:sz w:val="36"/>
          <w:szCs w:val="36"/>
        </w:rPr>
      </w:pPr>
      <w:r>
        <w:br w:type="page"/>
      </w:r>
    </w:p>
    <w:p w:rsidR="00983F19" w:rsidP="00750824" w:rsidRDefault="00000000" w14:paraId="4EAFF2BC" w14:textId="72716891">
      <w:pPr>
        <w:pStyle w:val="Naslov1"/>
        <w:jc w:val="both"/>
      </w:pPr>
      <w:bookmarkStart w:name="_Toc233699479" w:id="5"/>
      <w:r>
        <w:lastRenderedPageBreak/>
      </w:r>
      <w:r>
        <w:t xml:space="preserve">Kapitel 1: Einleitung</w:t>
      </w:r>
      <w:bookmarkEnd w:id="5"/>
    </w:p>
    <w:p w:rsidR="00983F19" w:rsidP="00750824" w:rsidRDefault="00000000" w14:paraId="4EFFEB31" w14:textId="677BFD55">
      <w:pPr>
        <w:jc w:val="both"/>
      </w:pPr>
      <w:r>
        <w:t xml:space="preserve">Die Richtlinie (EU) 2024/2831 zur Verbesserung der Arbeitsbedingungen in </w:t>
      </w:r>
      <w:r>
        <w:t xml:space="preserve">der Plattformwirtschaft wurde am 23. Oktober 2024 verabschiedet und muss von den Mitgliedstaaten bis zum 2. Dezember 2026 in nationales Recht umgesetzt werden. Sie ist die erste legislative Reaktion der Europäischen Union auf ein Geschäftsmodell, das in den letzten fünfzehn Jahren eine neue Form </w:t>
      </w:r>
      <w:r>
        <w:t xml:space="preserve">prekärer </w:t>
      </w:r>
      <w:r>
        <w:t xml:space="preserve">Arbeit </w:t>
      </w:r>
      <w:r>
        <w:t xml:space="preserve">hervorgebracht hat</w:t>
      </w:r>
      <w:r>
        <w:t xml:space="preserve">.</w:t>
      </w:r>
      <w:r w:rsidR="00DC6DE9">
        <w:t xml:space="preserve"> Für mehr als 28 Millionen Menschen in der EU </w:t>
      </w:r>
      <w:r w:rsidR="00DC6DE9">
        <w:t xml:space="preserve">wird die Arbeit </w:t>
      </w:r>
      <w:r>
        <w:t xml:space="preserve">mithilfe von algorithmischem Management (</w:t>
      </w:r>
      <w:r w:rsidR="008920C5">
        <w:t xml:space="preserve">„</w:t>
      </w:r>
      <w:r>
        <w:t xml:space="preserve">algorithmic </w:t>
      </w:r>
      <w:r>
        <w:t xml:space="preserve">management </w:t>
      </w:r>
      <w:r w:rsidR="008920C5">
        <w:t xml:space="preserve">(</w:t>
      </w:r>
      <w:r>
        <w:t xml:space="preserve">AM</w:t>
      </w:r>
      <w:r w:rsidR="008920C5">
        <w:t xml:space="preserve">)“</w:t>
      </w:r>
      <w:r>
        <w:t xml:space="preserve">) über digitale Plattformen </w:t>
      </w:r>
      <w:r w:rsidR="00DC6DE9">
        <w:t xml:space="preserve">organisiert</w:t>
      </w:r>
      <w:r>
        <w:t xml:space="preserve">, jedoch ohne grundlegende Schutzmaßnahmen: ohne Mindestlohn, ohne Sozialversicherungsbeiträge, ohne das Recht auf eine Begründung </w:t>
      </w:r>
      <w:r w:rsidR="00DC6DE9">
        <w:t xml:space="preserve">der Entscheidungen algorithmischer Modelle</w:t>
      </w:r>
      <w:r>
        <w:t xml:space="preserve">. Das Projekt SDDP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hat über einen Zeitraum von zwei Jahren in fünf Partnerländern (Österreich, Italien, Belgien, Slowenien, Polen) und in Zusammenarbeit mit dem EGB untersucht, wie die Richtlinie </w:t>
      </w:r>
      <w:r>
        <w:t xml:space="preserve">so </w:t>
      </w:r>
      <w:r w:rsidR="00DC6DE9">
        <w:t xml:space="preserve">in nationales Recht </w:t>
      </w:r>
      <w:r>
        <w:t xml:space="preserve">umgesetzt werden kann, dass sie die Arbeitsbedingungen </w:t>
      </w:r>
      <w:r w:rsidR="00DC6DE9">
        <w:t xml:space="preserve">der Beschäftigten in </w:t>
      </w:r>
      <w:r w:rsidR="00DC6DE9">
        <w:t xml:space="preserve">Plattformunternehmen </w:t>
      </w:r>
      <w:r>
        <w:t xml:space="preserve">tatsächlich verändert und verbessert</w:t>
      </w:r>
      <w:r>
        <w:t xml:space="preserve">. Dieses Dokument ist das Ergebnis dieser Arbeit: Empfehlungen für Arbeitsministerien und Sozialpartner, die auf den Erfahrungen aus den fünf Partnerländern sowie im Dialog mit Vergleichspartnern aus Spanien (</w:t>
      </w:r>
      <w:r>
        <w:t xml:space="preserve">Observatorio </w:t>
      </w:r>
      <w:r>
        <w:t xml:space="preserve">de </w:t>
      </w:r>
      <w:r>
        <w:t xml:space="preserve">trabajo </w:t>
      </w:r>
      <w:r>
        <w:t xml:space="preserve">algorítmico </w:t>
      </w:r>
      <w:r>
        <w:t xml:space="preserve">y </w:t>
      </w:r>
      <w:r>
        <w:t xml:space="preserve">sociedad </w:t>
      </w:r>
      <w:r w:rsidR="00D7386B">
        <w:t xml:space="preserve">– </w:t>
      </w:r>
      <w:r>
        <w:t xml:space="preserve">Observatorio </w:t>
      </w:r>
      <w:r>
        <w:t xml:space="preserve">TAS) und Deutschland (</w:t>
      </w:r>
      <w:r>
        <w:t xml:space="preserve">Lieferando </w:t>
      </w:r>
      <w:r>
        <w:t xml:space="preserve">Workers </w:t>
      </w:r>
      <w:r>
        <w:t xml:space="preserve">Collective</w:t>
      </w:r>
      <w:r>
        <w:t xml:space="preserve">) </w:t>
      </w:r>
      <w:r>
        <w:t xml:space="preserve">basieren</w:t>
      </w:r>
      <w:r>
        <w:t xml:space="preserve">.</w:t>
      </w:r>
    </w:p>
    <w:p w:rsidR="00D90A18" w:rsidP="00750824" w:rsidRDefault="00D90A18" w14:paraId="4AEE88EC" w14:textId="77777777">
      <w:pPr>
        <w:jc w:val="both"/>
      </w:pPr>
    </w:p>
    <w:p w:rsidR="00983F19" w:rsidP="00750824" w:rsidRDefault="00000000" w14:paraId="3C07A292" w14:textId="23D1CD6D">
      <w:pPr>
        <w:jc w:val="both"/>
      </w:pPr>
      <w:r>
        <w:t xml:space="preserve">Die Richtlinie verlangt von den Mitgliedstaaten drei Dinge. Erstens die Einführung einer Rechtsvermutung </w:t>
      </w:r>
      <w:r>
        <w:t xml:space="preserve">für</w:t>
      </w:r>
      <w:r w:rsidR="00CF3B80">
        <w:t xml:space="preserve"> ein Arbeitsverhältnis </w:t>
      </w:r>
      <w:r>
        <w:t xml:space="preserve">bei Plattformarbeitern</w:t>
      </w:r>
      <w:r w:rsidR="00DC6DE9">
        <w:t xml:space="preserve">: </w:t>
      </w:r>
      <w:r>
        <w:t xml:space="preserve">Wenn die Fakten darauf hindeuten</w:t>
      </w:r>
      <w:r w:rsidR="00DC6DE9">
        <w:t xml:space="preserve">, dass ein Arbeitnehmer </w:t>
      </w:r>
      <w:r>
        <w:t xml:space="preserve">Anweisungen </w:t>
      </w:r>
      <w:r w:rsidR="00DC6DE9">
        <w:t xml:space="preserve">für seine Arbeit erhält </w:t>
      </w:r>
      <w:r>
        <w:t xml:space="preserve">und </w:t>
      </w:r>
      <w:r w:rsidR="00DC6DE9">
        <w:t xml:space="preserve">unter </w:t>
      </w:r>
      <w:r w:rsidR="00DC6DE9">
        <w:t xml:space="preserve">Aufsicht </w:t>
      </w:r>
      <w:r w:rsidR="00DC6DE9">
        <w:t xml:space="preserve">steht</w:t>
      </w:r>
      <w:r>
        <w:t xml:space="preserve">, wird das Verhältnis als </w:t>
      </w:r>
      <w:r w:rsidR="00CF3B80">
        <w:t xml:space="preserve">Arbeitsverhältnis</w:t>
      </w:r>
      <w:r>
        <w:t xml:space="preserve"> betrachtet</w:t>
      </w:r>
      <w:r>
        <w:t xml:space="preserve">, und </w:t>
      </w:r>
      <w:r w:rsidR="00DC6DE9">
        <w:t xml:space="preserve">die</w:t>
      </w:r>
      <w:r>
        <w:t xml:space="preserve"> Plattform </w:t>
      </w:r>
      <w:r>
        <w:t xml:space="preserve">muss im Falle </w:t>
      </w:r>
      <w:r w:rsidR="00DC6DE9">
        <w:t xml:space="preserve">von Uneinigkeit </w:t>
      </w:r>
      <w:r>
        <w:t xml:space="preserve">das Gegenteil beweisen.</w:t>
      </w:r>
    </w:p>
    <w:p w:rsidR="00D90A18" w:rsidP="00750824" w:rsidRDefault="00D90A18" w14:paraId="0BF496E8" w14:textId="77777777">
      <w:pPr>
        <w:jc w:val="both"/>
      </w:pPr>
    </w:p>
    <w:p w:rsidR="00983F19" w:rsidP="00750824" w:rsidRDefault="00000000" w14:paraId="414DE9EB" w14:textId="2F8E2726">
      <w:pPr>
        <w:jc w:val="both"/>
      </w:pPr>
      <w:r>
        <w:t xml:space="preserve">Zweitens die Regulierung des algorithmischen Managements (</w:t>
      </w:r>
      <w:r>
        <w:t xml:space="preserve">„algorithmic </w:t>
      </w:r>
      <w:r>
        <w:t xml:space="preserve">management </w:t>
      </w:r>
      <w:r w:rsidR="00DC6DE9">
        <w:t xml:space="preserve">(</w:t>
      </w:r>
      <w:r>
        <w:t xml:space="preserve">AM</w:t>
      </w:r>
      <w:r w:rsidR="00DC6DE9">
        <w:t xml:space="preserve">)“</w:t>
      </w:r>
      <w:r>
        <w:t xml:space="preserve">): Plattformen müssen offenlegen, wie </w:t>
      </w:r>
      <w:r w:rsidR="00DC6DE9">
        <w:t xml:space="preserve">der</w:t>
      </w:r>
      <w:r>
        <w:t xml:space="preserve"> Algorithmus funktioniert</w:t>
      </w:r>
      <w:r>
        <w:t xml:space="preserve">, der Aufgaben zuweist, die Vergütung festlegt und </w:t>
      </w:r>
      <w:r>
        <w:t xml:space="preserve">Arbeitnehmer</w:t>
      </w:r>
      <w:r w:rsidR="00DC6DE9">
        <w:t xml:space="preserve"> sanktioniert</w:t>
      </w:r>
      <w:r w:rsidR="00DC6DE9">
        <w:t xml:space="preserve">. </w:t>
      </w:r>
      <w:r>
        <w:t xml:space="preserve">Das Sammeln von Daten über den emotionalen Zustand, die Gewerkschaftszugehörigkeit oder private Gespräche ist strengstens verboten.</w:t>
      </w:r>
    </w:p>
    <w:p w:rsidR="00D90A18" w:rsidP="00750824" w:rsidRDefault="00D90A18" w14:paraId="6513B994" w14:textId="77777777">
      <w:pPr>
        <w:jc w:val="both"/>
      </w:pPr>
    </w:p>
    <w:p w:rsidR="00983F19" w:rsidP="00750824" w:rsidRDefault="00000000" w14:paraId="40C36178" w14:textId="77777777">
      <w:pPr>
        <w:jc w:val="both"/>
      </w:pPr>
      <w:r>
        <w:t xml:space="preserve">Drittens: Gewährleistung von Rechtsbehelfen und kollektiven Rechten: Gewerkschaften müssen Verfahren einleiten können, ohne die Zustimmung jedes einzelnen Arbeitnehmers einzuholen, und die Arbeitnehmer müssen Zugang zu Kommunikationskanälen haben, die unabhängig von der Plattform sind. Das ist das Minimum. Wenn ein Mitgliedstaat diese Bestimmungen lediglich in nationales Recht umsetzt, ohne Durchsetzungsmechanismen vorzusehen, wird er die Erfahrungen Belgiens wiederholen, wo das Gesetz über </w:t>
      </w:r>
      <w:r>
        <w:t xml:space="preserve">die Plattformarbeit seit 2023 wirkungslos geblieben </w:t>
      </w:r>
      <w:r>
        <w:t xml:space="preserve">ist</w:t>
      </w:r>
      <w:r>
        <w:t xml:space="preserve">, weil das Arbeitsministerium über keine Verfahren zu dessen Durchsetzung verfügte.</w:t>
      </w:r>
    </w:p>
    <w:p w:rsidR="00D90A18" w:rsidP="00750824" w:rsidRDefault="00D90A18" w14:paraId="227F185B" w14:textId="77777777">
      <w:pPr>
        <w:jc w:val="both"/>
      </w:pPr>
    </w:p>
    <w:p w:rsidR="00983F19" w:rsidP="00750824" w:rsidRDefault="00000000" w14:paraId="00D613C9" w14:textId="77777777">
      <w:pPr>
        <w:jc w:val="both"/>
      </w:pPr>
      <w:r>
        <w:t xml:space="preserve">Dieses Dokument empfiehlt, dass die Mitgliedstaaten in fünf Schlüsselbereichen über das Minimum hinausgehen:</w:t>
      </w:r>
    </w:p>
    <w:p w:rsidR="00D90A18" w:rsidP="00750824" w:rsidRDefault="00D90A18" w14:paraId="2FC1A664" w14:textId="77777777">
      <w:pPr>
        <w:jc w:val="both"/>
      </w:pPr>
    </w:p>
    <w:p w:rsidR="00983F19" w:rsidP="00750824" w:rsidRDefault="00000000" w14:paraId="33190FCA" w14:textId="532FEADF">
      <w:pPr>
        <w:jc w:val="both"/>
      </w:pPr>
      <w:r>
        <w:t xml:space="preserve">Erstens dürfen sie bei der Umsetzung der Rechtsvermutung keine eigenen Kriterien hinzufügen, die es den Plattformen ermöglichen würden, diese formal zu umgehen</w:t>
      </w:r>
      <w:r w:rsidR="00DC6DE9">
        <w:t xml:space="preserve">: </w:t>
      </w:r>
      <w:r>
        <w:t xml:space="preserve">Der Maßstab muss auf </w:t>
      </w:r>
      <w:r>
        <w:rPr>
          <w:b/>
          <w:bCs/>
        </w:rPr>
        <w:t xml:space="preserve">Tatsachen</w:t>
      </w:r>
      <w:r>
        <w:t xml:space="preserve"> beruhen</w:t>
      </w:r>
      <w:r>
        <w:rPr>
          <w:b/>
          <w:bCs/>
        </w:rPr>
        <w:t xml:space="preserve">, die auf Weisungen und Kontrolle </w:t>
      </w:r>
      <w:r w:rsidR="00DC6DE9">
        <w:rPr>
          <w:b/>
          <w:bCs/>
        </w:rPr>
        <w:t xml:space="preserve">bei der Ausführung der Arbeit </w:t>
      </w:r>
      <w:r>
        <w:rPr>
          <w:b/>
          <w:bCs/>
        </w:rPr>
        <w:t xml:space="preserve">hindeuten </w:t>
      </w:r>
      <w:r>
        <w:t xml:space="preserve">(prima </w:t>
      </w:r>
      <w:r>
        <w:t xml:space="preserve">facie</w:t>
      </w:r>
      <w:r>
        <w:t xml:space="preserve">), ohne zusätzliche Bedingungen</w:t>
      </w:r>
      <w:r w:rsidR="00DC6DE9">
        <w:t xml:space="preserve">.</w:t>
      </w:r>
    </w:p>
    <w:p w:rsidR="00D90A18" w:rsidP="00750824" w:rsidRDefault="00D90A18" w14:paraId="637F85F8" w14:textId="77777777">
      <w:pPr>
        <w:jc w:val="both"/>
      </w:pPr>
    </w:p>
    <w:p w:rsidR="00983F19" w:rsidP="00750824" w:rsidRDefault="00000000" w14:paraId="2E436B86" w14:textId="77C901B7">
      <w:pPr>
        <w:jc w:val="both"/>
      </w:pPr>
      <w:r>
        <w:t xml:space="preserve">Zweitens müssen die Verfahren zur Feststellung des korrekten Beschäftigungsstatus effizient und in erster Linie administrativer, nicht gerichtlicher Natur sein: Gerichtsverfahren würden Jahre dauern, die Arbeitnehmer</w:t>
      </w:r>
      <w:r>
        <w:lastRenderedPageBreak/>
      </w:r>
      <w:r>
        <w:t xml:space="preserve"> benötigen </w:t>
      </w:r>
      <w:r>
        <w:t xml:space="preserve">jedoch </w:t>
      </w:r>
      <w:r>
        <w:t xml:space="preserve">jetzt eine Klärung ihres Status </w:t>
      </w:r>
      <w:r w:rsidR="00D7386B">
        <w:t xml:space="preserve">– </w:t>
      </w:r>
      <w:r>
        <w:t xml:space="preserve">die verstärkten Arbeitsaufsichtsbehörden müssen die Befugnis und die Pflicht haben, den Status durch einen Bescheid festzustellen, ohne auf ein Gerichtsverfahren zu warten.</w:t>
      </w:r>
    </w:p>
    <w:p w:rsidR="00DC6DE9" w:rsidP="00750824" w:rsidRDefault="00DC6DE9" w14:paraId="7FE5F913" w14:textId="77777777">
      <w:pPr>
        <w:jc w:val="both"/>
      </w:pPr>
    </w:p>
    <w:p w:rsidR="00983F19" w:rsidP="00750824" w:rsidRDefault="00000000" w14:paraId="6B80CF8A" w14:textId="60893ECA">
      <w:pPr>
        <w:jc w:val="both"/>
      </w:pPr>
      <w:r>
        <w:t xml:space="preserve">Drittens muss ein Mechanismus für vorübergehenden kollektiven Schutz eingerichtet werden: Sobald die Arbeitsaufsichtsbehörde feststellt, dass die Plattform ein Arbeitgeber ist, soll spätestens innerhalb von fünfzehn Tagen </w:t>
      </w:r>
      <w:r w:rsidR="00D7386B">
        <w:t xml:space="preserve">– </w:t>
      </w:r>
      <w:r>
        <w:t xml:space="preserve">oder innerhalb einer kürzeren, durch die nationale Rechtsordnung zugelassenen Frist </w:t>
      </w:r>
      <w:r w:rsidR="00D7386B">
        <w:t xml:space="preserve">– </w:t>
      </w:r>
      <w:r>
        <w:t xml:space="preserve">ein obligatorischer dreigliedriger Dialog eingeleitet werden, der für die Dauer des Gerichtsverfahrens einen Mindestlohn und soziale Sicherheit gewährleistet </w:t>
      </w:r>
      <w:r w:rsidR="00D7386B">
        <w:t xml:space="preserve">– </w:t>
      </w:r>
      <w:r>
        <w:t xml:space="preserve">andernfalls würden die Arbeitnehmer jahrelang ohne jeglichen Schutz auf ein rechtskräftiges Urteil warten.</w:t>
      </w:r>
    </w:p>
    <w:p w:rsidR="00D90A18" w:rsidP="00750824" w:rsidRDefault="00D90A18" w14:paraId="47A6D57F" w14:textId="77777777">
      <w:pPr>
        <w:jc w:val="both"/>
      </w:pPr>
    </w:p>
    <w:p w:rsidR="00983F19" w:rsidP="00750824" w:rsidRDefault="00000000" w14:paraId="6659466C" w14:textId="3AC3790E">
      <w:pPr>
        <w:jc w:val="both"/>
      </w:pPr>
      <w:r>
        <w:t xml:space="preserve">Viertens </w:t>
      </w:r>
      <w:r>
        <w:t xml:space="preserve">muss die </w:t>
      </w:r>
      <w:r w:rsidR="00A25A76">
        <w:t xml:space="preserve">gesamtschuldnerische </w:t>
      </w:r>
      <w:r>
        <w:t xml:space="preserve">Haftung entlang der gesamten Vermittlerkette verpflichtend sein, nicht nur zulässig: Das </w:t>
      </w:r>
      <w:r>
        <w:t xml:space="preserve">„Fleet-System“, bei dem Plattformen das Risiko auf </w:t>
      </w:r>
      <w:r w:rsidR="00DC6DE9">
        <w:t xml:space="preserve">Subunternehmer und </w:t>
      </w:r>
      <w:r>
        <w:t xml:space="preserve">Briefkastenfirmen (</w:t>
      </w:r>
      <w:r>
        <w:t xml:space="preserve">„shell </w:t>
      </w:r>
      <w:r w:rsidR="00DC6DE9">
        <w:t xml:space="preserve">companies“</w:t>
      </w:r>
      <w:r>
        <w:t xml:space="preserve">) </w:t>
      </w:r>
      <w:r>
        <w:t xml:space="preserve">abwälzen</w:t>
      </w:r>
      <w:r>
        <w:t xml:space="preserve">, ist bei fast der Hälfte der analysierten Plattformen vorhanden und genau darauf ausgelegt, die Durchsetzung </w:t>
      </w:r>
      <w:r w:rsidR="00DC6DE9">
        <w:t xml:space="preserve">der Arbeitnehmerrechte direkt gegenüber der Plattform </w:t>
      </w:r>
      <w:r>
        <w:t xml:space="preserve">zu verhindern </w:t>
      </w:r>
      <w:r w:rsidR="00DC6DE9">
        <w:t xml:space="preserve">und die Plattform im Falle von Gesetzesverstößen vor Sanktionen zu bewahren</w:t>
      </w:r>
      <w:r>
        <w:t xml:space="preserve">.</w:t>
      </w:r>
    </w:p>
    <w:p w:rsidR="00D90A18" w:rsidP="00750824" w:rsidRDefault="00D90A18" w14:paraId="09EF7C8C" w14:textId="77777777">
      <w:pPr>
        <w:jc w:val="both"/>
      </w:pPr>
    </w:p>
    <w:p w:rsidR="00983F19" w:rsidP="00750824" w:rsidRDefault="00000000" w14:paraId="4389BC22" w14:textId="76814AC7">
      <w:pPr>
        <w:jc w:val="both"/>
      </w:pPr>
      <w:r>
        <w:t xml:space="preserve">Fünftens müssen die Transparenz der Algorithmen und alle anderen Rechte der Richtlinie durch Durchsetzungsmechanismen gestützt werden</w:t>
      </w:r>
      <w:r w:rsidR="00DC6DE9">
        <w:t xml:space="preserve">: </w:t>
      </w:r>
      <w:r>
        <w:t xml:space="preserve">verstärkte und für algorithmische Systeme geschulte Arbeitsaufsichtsbehörden, klare Sanktionen und die Möglichkeit kollektiver Verfahren, die in mehreren Mitgliedstaaten derzeit gesetzlich nicht zulässig sind.</w:t>
      </w:r>
    </w:p>
    <w:p w:rsidR="00D90A18" w:rsidP="00750824" w:rsidRDefault="00D90A18" w14:paraId="160343D0" w14:textId="77777777">
      <w:pPr>
        <w:jc w:val="both"/>
      </w:pPr>
    </w:p>
    <w:p w:rsidR="00D90A18" w:rsidP="00750824" w:rsidRDefault="00000000" w14:paraId="164D45C7" w14:textId="476C2080">
      <w:pPr>
        <w:jc w:val="both"/>
      </w:pPr>
      <w:r>
        <w:t xml:space="preserve">Der rote Faden des Dokuments ist nicht eine einzelne Empfehlung, sondern die Rolle des sozialen Dialogs mit einer proaktiven Rolle des Staates und der Institutionen als Brücke zwischen der Verabschiedung der Richtlinie und ihrer tatsächlichen Umsetzung. Erfahrungen aus allen Partnerländern zeigen, dass ein Gesetz allein die Praxis nicht verändert: Das spanische Gesetz für Lieferfahrer (</w:t>
      </w:r>
      <w:r>
        <w:rPr>
          <w:i/>
          <w:iCs/>
        </w:rPr>
        <w:t xml:space="preserve">„Ley </w:t>
      </w:r>
      <w:r w:rsidR="00DC6DE9">
        <w:rPr>
          <w:i/>
          <w:iCs/>
        </w:rPr>
        <w:t xml:space="preserve">Rider“</w:t>
      </w:r>
      <w:r>
        <w:t xml:space="preserve">) hat </w:t>
      </w:r>
      <w:r>
        <w:t xml:space="preserve">Glovo</w:t>
      </w:r>
      <w:r>
        <w:t xml:space="preserve"> nicht daran gehindert, </w:t>
      </w:r>
      <w:r>
        <w:t xml:space="preserve">sein gesamtes Geschäftsmodell auf ein System umzustrukturieren, das ausschließlich auf Subunternehmern basiert; der österreichische Tarifvertrag für Lieferfahrer hat nicht verhindert, dass </w:t>
      </w:r>
      <w:r>
        <w:t xml:space="preserve">Lieferando </w:t>
      </w:r>
      <w:r>
        <w:t xml:space="preserve">im März 2025 fast tausend Beschäftigte entlassen und sie in freiberufliche Auftragnehmer ohne Schutz umgewandelt </w:t>
      </w:r>
      <w:r>
        <w:t xml:space="preserve">hat</w:t>
      </w:r>
      <w:r>
        <w:t xml:space="preserve">; die belgische Rechtsvermutung </w:t>
      </w:r>
      <w:r w:rsidR="00CF3B80">
        <w:t xml:space="preserve">des Arbeitsverhältnisses </w:t>
      </w:r>
      <w:r>
        <w:t xml:space="preserve">hat den Beschäftigungsstatus kein einziges Mal geändert, da das Gesetz keine Verfahren vorsah, mit denen diese hätte durchgesetzt werden können. </w:t>
      </w:r>
    </w:p>
    <w:p w:rsidR="00D90A18" w:rsidP="00750824" w:rsidRDefault="00D90A18" w14:paraId="2D7A9426" w14:textId="77777777">
      <w:pPr>
        <w:jc w:val="both"/>
      </w:pPr>
    </w:p>
    <w:p w:rsidR="00983F19" w:rsidP="00750824" w:rsidRDefault="00000000" w14:paraId="529239C4" w14:textId="4FFC3CF6">
      <w:pPr>
        <w:jc w:val="both"/>
      </w:pPr>
      <w:r>
        <w:t xml:space="preserve">In all diesen Fällen hätte der soziale Dialog als struktureller Bestandteil der Umsetzung </w:t>
      </w:r>
      <w:r w:rsidR="00D7386B">
        <w:t xml:space="preserve">– </w:t>
      </w:r>
      <w:r>
        <w:t xml:space="preserve">mit dem Staat als aktivem Vermittler und Garanten, nicht nur als passivem Beobachter </w:t>
      </w:r>
      <w:r w:rsidR="00D7386B">
        <w:t xml:space="preserve">– </w:t>
      </w:r>
      <w:r>
        <w:t xml:space="preserve">sicherlich </w:t>
      </w:r>
      <w:r w:rsidR="0086131C">
        <w:t xml:space="preserve">zu wirksamer formulierten Gesetzesentwürfen beigetragen, die in der Praxis so umgesetzt worden wären, dass sie die Arbeitnehmer tatsächlich bestmöglich geschützt hätten.</w:t>
      </w:r>
      <w:r>
        <w:t xml:space="preserve"> </w:t>
      </w:r>
      <w:r w:rsidR="0086131C">
        <w:t xml:space="preserve">Der soziale Dialog darf nicht nur </w:t>
      </w:r>
      <w:r>
        <w:t xml:space="preserve">eine Einladung zu Verhandlungen </w:t>
      </w:r>
      <w:r w:rsidR="0086131C">
        <w:t xml:space="preserve">sein</w:t>
      </w:r>
      <w:r>
        <w:t xml:space="preserve">, sondern muss eine Verpflichtung der Plattform darstellen, in den Dialog einzutreten, mit Sanktionen bei Verweigerung und mit vorübergehendem Schutz der Arbeitnehmer, bis der Dialog Früchte trägt. Daher schlägt dieses Dokument das SDDP-Protokoll vor </w:t>
      </w:r>
      <w:r w:rsidR="00D7386B">
        <w:t xml:space="preserve">– </w:t>
      </w:r>
      <w:r>
        <w:t xml:space="preserve">einen Rahmen für den sozialen Dialog, der als Brücke zwischen der Verabschiedung der Richtlinie und ihrer tatsächlichen Umsetzung dienen kann. Die Richtlinie fördert dies in Artikel 25 und lässt in Artikel 29 ausdrücklich zu, dass die Mitgliedstaaten die Umsetzung den Sozialpartnern im Rahmen von Tarifverträgen übertragen. Dieses Dokument </w:t>
      </w:r>
      <w:r w:rsidR="0086131C">
        <w:t xml:space="preserve">liefert Argumente dafür, warum </w:t>
      </w:r>
      <w:r>
        <w:t xml:space="preserve">dies der vorrangige Weg sein sollte.</w:t>
      </w:r>
    </w:p>
    <w:p w:rsidR="00D90A18" w:rsidP="00750824" w:rsidRDefault="00D90A18" w14:paraId="4EBEE460" w14:textId="77777777">
      <w:pPr>
        <w:jc w:val="both"/>
      </w:pPr>
    </w:p>
    <w:p w:rsidR="00983F19" w:rsidP="00750824" w:rsidRDefault="00000000" w14:paraId="0C4C1E5B" w14:textId="5E79699E">
      <w:pPr>
        <w:jc w:val="both"/>
      </w:pPr>
      <w:r>
        <w:t xml:space="preserve">Die Frist für die Umsetzung ist der 2. Dezember 2026. Jeder Monat Verzögerung bedeutet einen Monat, in dem die Arbeitnehmer ohne Mindestlohn, ohne Sozialversicherungsbeiträge und ohne das Recht auf eine Erklärung arbeiten, warum der Algorithmus ihr Konto gekündigt hat. Die Verzögerung schadet den Plattformen nicht </w:t>
      </w:r>
      <w:r w:rsidR="00D7386B">
        <w:t xml:space="preserve">– </w:t>
      </w:r>
      <w:r>
        <w:t xml:space="preserve">die Plattformen streben sie sogar aktiv an, denn jeder Monat ohne Regulierung bedeutet einen Monat ohne Kosten. Vor allem aber schadet sie den Arbeitnehmern selbst, die in dieser Zeit die Verantwortung, die Risiken und die Kosten übernehmen, die eigentlich der Arbeitgeber tragen müsste: Kraftstoff,</w:t>
      </w:r>
      <w:r>
        <w:lastRenderedPageBreak/>
      </w:r>
      <w:r>
        <w:t xml:space="preserve"> Fahrzeugwartung, Versicherung, krankheitsbedingte Fehlzeiten. Es schadet auch den ehrlichen Unternehmen, die </w:t>
      </w:r>
      <w:r w:rsidR="0086131C">
        <w:t xml:space="preserve">ihre Arbeitnehmer </w:t>
      </w:r>
      <w:r>
        <w:t xml:space="preserve">beschäftigen und Sozialabgaben für sie zahlen</w:t>
      </w:r>
      <w:r w:rsidR="0086131C">
        <w:t xml:space="preserve">, da die Plattformen für sie einen unlauteren Wettbewerb darstellen</w:t>
      </w:r>
      <w:r>
        <w:t xml:space="preserve">. Das SDDP-Projekt bietet mit diesem Dokument konkrete, </w:t>
      </w:r>
      <w:r w:rsidR="0086131C">
        <w:t xml:space="preserve">in der bisherigen Praxis </w:t>
      </w:r>
      <w:r>
        <w:t xml:space="preserve">bewährte Empfehlungen und steht jedem Mitgliedstaat zur Verfügung, der die Umsetzung der Richtlinie so gestalten möchte, dass diejenigen, an die sich das Gesetz richtet, tatsächlich geschützt werden.</w:t>
      </w:r>
    </w:p>
    <w:p w:rsidR="00D90A18" w:rsidP="00750824" w:rsidRDefault="00D90A18" w14:paraId="177D0FA9" w14:textId="77777777">
      <w:pPr>
        <w:jc w:val="both"/>
      </w:pPr>
    </w:p>
    <w:p w:rsidR="00D90A18" w:rsidP="00750824" w:rsidRDefault="00D90A18" w14:paraId="33CE8C14" w14:textId="77777777">
      <w:pPr>
        <w:jc w:val="both"/>
      </w:pPr>
    </w:p>
    <w:p w:rsidR="00D90A18" w:rsidP="00750824" w:rsidRDefault="00D90A18" w14:paraId="15E0B243" w14:textId="77777777">
      <w:pPr>
        <w:jc w:val="both"/>
      </w:pPr>
    </w:p>
    <w:p w:rsidR="00750824" w:rsidRDefault="00750824" w14:paraId="02D201EA" w14:textId="77777777">
      <w:pPr>
        <w:rPr>
          <w:b/>
          <w:bCs/>
          <w:color w:val="1F3864"/>
          <w:sz w:val="36"/>
          <w:szCs w:val="36"/>
        </w:rPr>
      </w:pPr>
      <w:r>
        <w:br w:type="page"/>
      </w:r>
    </w:p>
    <w:p w:rsidR="00983F19" w:rsidP="00750824" w:rsidRDefault="00000000" w14:paraId="68236365" w14:textId="4C4EB712">
      <w:pPr>
        <w:pStyle w:val="Naslov1"/>
        <w:jc w:val="both"/>
      </w:pPr>
      <w:bookmarkStart w:name="_Toc233699480" w:id="6"/>
      <w:r>
        <w:lastRenderedPageBreak/>
      </w:r>
      <w:r>
        <w:t xml:space="preserve">Kapitel 2: Geltungsbereich und Definitionen</w:t>
      </w:r>
      <w:bookmarkEnd w:id="6"/>
    </w:p>
    <w:p w:rsidR="00D90A18" w:rsidP="00750824" w:rsidRDefault="00000000" w14:paraId="30A8F63B" w14:textId="1F9821E7">
      <w:pPr>
        <w:jc w:val="both"/>
      </w:pPr>
      <w:r>
        <w:t xml:space="preserve">Die EU-Richtlinie 2024/2831 über </w:t>
      </w:r>
      <w:r>
        <w:t xml:space="preserve">Plattformarbeit </w:t>
      </w:r>
      <w:r>
        <w:t xml:space="preserve">beginnt nicht mit der Definition von Rechten – sie beginnt mit der Frage, wer überhaupt unter ihren Schutz fällt. Die Artikel 1, 2 und 3 legen den Grundstein für den gesamten Rechtsrahmen: Sie legen den Zweck und den Anwendungsbereich fest, definieren Schlüsselbegriffe und regeln die Stellung der Vermittler. Da diese Formulierungen </w:t>
      </w:r>
      <w:r w:rsidR="00EA618C">
        <w:t xml:space="preserve">offener</w:t>
      </w:r>
      <w:r>
        <w:t xml:space="preserve"> sind </w:t>
      </w:r>
      <w:r>
        <w:t xml:space="preserve">als einige andere Teile der Richtlinie, sind </w:t>
      </w:r>
      <w:r w:rsidR="00EA618C">
        <w:t xml:space="preserve">sie</w:t>
      </w:r>
      <w:r>
        <w:t xml:space="preserve"> gleichzeitig </w:t>
      </w:r>
      <w:r w:rsidR="00EA618C">
        <w:t xml:space="preserve">der Bereich</w:t>
      </w:r>
      <w:r>
        <w:t xml:space="preserve">, in dem Plattformen nach Lücken suchen und auch weiterhin suchen werden. Eine solide Umsetzung erfordert, dass die Mitgliedstaaten die Definitionen eng und konkret umsetzen.</w:t>
      </w:r>
    </w:p>
    <w:p w:rsidR="00983F19" w:rsidP="00750824" w:rsidRDefault="00000000" w14:paraId="5CFAF56C" w14:textId="77777777">
      <w:pPr>
        <w:pStyle w:val="Naslov2"/>
        <w:jc w:val="both"/>
      </w:pPr>
      <w:bookmarkStart w:name="_Toc233699481" w:id="7"/>
      <w:r>
        <w:t xml:space="preserve">2.1 Anforderungen der Richtlinie</w:t>
      </w:r>
      <w:bookmarkEnd w:id="7"/>
    </w:p>
    <w:p w:rsidR="00983F19" w:rsidP="00750824" w:rsidRDefault="00000000" w14:paraId="22A60EB9" w14:textId="5FDEE535">
      <w:pPr>
        <w:jc w:val="both"/>
      </w:pPr>
      <w:r>
        <w:t xml:space="preserve">Artikel 1 legt den doppelten Zweck der Richtlinie fest: die Verbesserung der Arbeitsbedingungen </w:t>
      </w:r>
      <w:r>
        <w:t xml:space="preserve">von Plattformarbeitern und den Schutz der personenbezogenen Daten aller Personen, die </w:t>
      </w:r>
      <w:r>
        <w:t xml:space="preserve">Plattformarbeit</w:t>
      </w:r>
      <w:r>
        <w:t xml:space="preserve"> verrichten</w:t>
      </w:r>
      <w:r>
        <w:t xml:space="preserve">. Diese beiden Dimensionen sind untrennbar miteinander verbunden – die algorithmische Steuerung ist zugleich eine arbeitsrechtliche und eine datenschutzrechtliche Frage – und es ist nicht zulässig, ihnen unterschiedliches Gewicht beizumessen. Gemäß Artikel 1 Absätze 2 und 3 gilt die Richtlinie für jede Person, die </w:t>
      </w:r>
      <w:r>
        <w:t xml:space="preserve">in </w:t>
      </w:r>
      <w:r w:rsidR="00EA618C">
        <w:t xml:space="preserve">der Europäischen Union </w:t>
      </w:r>
      <w:r>
        <w:t xml:space="preserve">Plattformarbeit</w:t>
      </w:r>
      <w:r>
        <w:t xml:space="preserve"> verrichtet</w:t>
      </w:r>
      <w:r>
        <w:t xml:space="preserve">, unabhängig davon, ob sie über einen formellen Arbeitsvertrag verfügt und unabhängig davon, wo die Plattform </w:t>
      </w:r>
      <w:r w:rsidR="00EA618C">
        <w:t xml:space="preserve">ihren Unternehmenssitz</w:t>
      </w:r>
      <w:r>
        <w:t xml:space="preserve"> hat</w:t>
      </w:r>
      <w:r>
        <w:t xml:space="preserve">.</w:t>
      </w:r>
    </w:p>
    <w:p w:rsidR="00D90A18" w:rsidP="00750824" w:rsidRDefault="00D90A18" w14:paraId="578F848E" w14:textId="77777777">
      <w:pPr>
        <w:jc w:val="both"/>
      </w:pPr>
    </w:p>
    <w:p w:rsidR="00983F19" w:rsidP="00750824" w:rsidRDefault="00000000" w14:paraId="37DD2204" w14:textId="21A98098">
      <w:pPr>
        <w:jc w:val="both"/>
      </w:pPr>
      <w:r>
        <w:t xml:space="preserve">Der räumliche Geltungsbereich der Richtlinie ist eindeutig: Artikel 1 Absatz 3 legt fest, dass die Richtlinie für alle digitalen Arbeitsplattformen gilt, die Arbeit im Gebiet der Union organisieren – unabhängig davon, wo die Plattform ihren Sitz hat oder welches Recht gemäß dem </w:t>
      </w:r>
      <w:r w:rsidR="00EA618C">
        <w:t xml:space="preserve">zwischen dem Arbeitnehmer und der Plattform geschlossenen</w:t>
      </w:r>
      <w:r>
        <w:t xml:space="preserve"> Vertrag </w:t>
      </w:r>
      <w:r>
        <w:t xml:space="preserve">Anwendung findet. Eine Expertengruppe der Europäischen Kommission </w:t>
      </w:r>
      <w:r w:rsidR="00EA618C">
        <w:t xml:space="preserve">(EK) </w:t>
      </w:r>
      <w:r>
        <w:t xml:space="preserve">hat dies bestätigt: Eine ausländische Plattform, die Lieferungen in Ljubljana oder Warschau organisiert, unterliegt in vollem Umfang der Richtlinie. Eine vertragliche Bestimmung zur Wahl ausländischen Rechts entzieht diesen Schutz nicht, da es sich um </w:t>
      </w:r>
      <w:r>
        <w:t xml:space="preserve">zwingende </w:t>
      </w:r>
      <w:r>
        <w:t xml:space="preserve">Vorschriften des internationalen Privatrechts </w:t>
      </w:r>
      <w:r>
        <w:t xml:space="preserve">handelt</w:t>
      </w:r>
      <w:r>
        <w:t xml:space="preserve">.</w:t>
      </w:r>
    </w:p>
    <w:p w:rsidR="00EA618C" w:rsidP="00750824" w:rsidRDefault="00EA618C" w14:paraId="4E8E8883" w14:textId="77777777">
      <w:pPr>
        <w:jc w:val="both"/>
      </w:pPr>
    </w:p>
    <w:p w:rsidR="00983F19" w:rsidP="00750824" w:rsidRDefault="00000000" w14:paraId="396EB28B" w14:textId="12D3BE02">
      <w:pPr>
        <w:jc w:val="both"/>
      </w:pPr>
      <w:r>
        <w:t xml:space="preserve">Plattformen mit Sitz außerhalb der EU, die keine Arbeit innerhalb der Union organisieren, fallen nicht darunter. Eine weniger diskutierte, aber ebenso schwerwiegende Frage ist, was geschieht, wenn eine europäische Plattform in Ländern außerhalb der EU tätig ist und dort Arbeitnehmer unter Bedingungen ausbeutet, die in Europa verboten wären. Die Artikel 1 und 26 der Richtlinie gehen auf diese Frage nicht ein – dies ist eine Lücke, die wir in Empfehlung 2.6 behandeln.</w:t>
      </w:r>
    </w:p>
    <w:p w:rsidR="00D90A18" w:rsidP="00750824" w:rsidRDefault="00D90A18" w14:paraId="66C45616" w14:textId="77777777">
      <w:pPr>
        <w:jc w:val="both"/>
      </w:pPr>
    </w:p>
    <w:p w:rsidR="00D90A18" w:rsidP="00750824" w:rsidRDefault="00000000" w14:paraId="152770CC" w14:textId="44B432F6">
      <w:pPr>
        <w:jc w:val="both"/>
      </w:pPr>
      <w:r>
        <w:t xml:space="preserve">Artikel 2 enthält die Definitionen </w:t>
      </w:r>
      <w:r>
        <w:t xml:space="preserve">der </w:t>
      </w:r>
      <w:r w:rsidR="00EA618C">
        <w:t xml:space="preserve">in </w:t>
      </w:r>
      <w:r>
        <w:t xml:space="preserve">der Richtlinie </w:t>
      </w:r>
      <w:r w:rsidR="00EA618C">
        <w:t xml:space="preserve">verwendeten </w:t>
      </w:r>
      <w:r w:rsidR="00EA618C">
        <w:t xml:space="preserve">Begriffe</w:t>
      </w:r>
      <w:r>
        <w:t xml:space="preserve">. Im Mittelpunkt steht die Definition der digitalen Arbeitsplattform (</w:t>
      </w:r>
      <w:r>
        <w:t xml:space="preserve">„digital </w:t>
      </w:r>
      <w:r>
        <w:t xml:space="preserve">labour </w:t>
      </w:r>
      <w:r>
        <w:t xml:space="preserve">platform </w:t>
      </w:r>
      <w:r w:rsidR="00EA618C">
        <w:t xml:space="preserve">(DLP)“</w:t>
      </w:r>
      <w:r>
        <w:t xml:space="preserve">), die kumulativ vier Bedingungen erfüllen muss:</w:t>
      </w:r>
    </w:p>
    <w:p w:rsidR="00D90A18" w:rsidP="00750824" w:rsidRDefault="00000000" w14:paraId="251EFDAE" w14:textId="77777777">
      <w:pPr>
        <w:jc w:val="both"/>
      </w:pPr>
      <w:r>
        <w:t xml:space="preserve"> • Die Dienstleistung wird zumindest teilweise aus der Ferne über elektronische Mittel (Internet oder App) erbracht; </w:t>
      </w:r>
    </w:p>
    <w:p w:rsidR="00D90A18" w:rsidP="00750824" w:rsidRDefault="00000000" w14:paraId="30F6BF33" w14:textId="77777777">
      <w:pPr>
        <w:jc w:val="both"/>
      </w:pPr>
      <w:r>
        <w:t xml:space="preserve">• Die Dienstleistung wird auf Anfrage des Dienstleistungsempfängers erbracht – einmalig oder wiederholt; </w:t>
      </w:r>
    </w:p>
    <w:p w:rsidR="00D90A18" w:rsidP="00750824" w:rsidRDefault="00000000" w14:paraId="0511C9D8" w14:textId="77777777">
      <w:pPr>
        <w:jc w:val="both"/>
      </w:pPr>
      <w:r>
        <w:t xml:space="preserve">• die Organisation der Arbeit von Einzelpersonen gegen Entgelt ist ein notwendiger und wesentlicher Bestandteil der Dienstleistung – und nicht nur eine Nebentätigkeit; </w:t>
      </w:r>
    </w:p>
    <w:p w:rsidR="00983F19" w:rsidP="00750824" w:rsidRDefault="00000000" w14:paraId="16790D6E" w14:textId="77777777">
      <w:pPr>
        <w:jc w:val="both"/>
      </w:pPr>
      <w:r>
        <w:t xml:space="preserve">• Die Dienstleistung umfasst den Einsatz automatisierter Systeme zur Überwachung oder Entscheidungsfindung (oder beides).</w:t>
      </w:r>
    </w:p>
    <w:p w:rsidR="00D90A18" w:rsidP="00750824" w:rsidRDefault="00D90A18" w14:paraId="3D050403" w14:textId="77777777">
      <w:pPr>
        <w:jc w:val="both"/>
      </w:pPr>
    </w:p>
    <w:p w:rsidR="00983F19" w:rsidP="00750824" w:rsidRDefault="00000000" w14:paraId="0477B2C5" w14:textId="76B31296">
      <w:pPr>
        <w:jc w:val="both"/>
      </w:pPr>
      <w:r>
        <w:t xml:space="preserve">Alle vier Bedingungen müssen gleichzeitig erfüllt sein. Bewertet wird die konkrete Dienstleistung, nicht das gesamte Unternehmen – dasselbe Unternehmen kann für eine seiner Dienstleistungen als DLP gelten, für eine andere jedoch nicht. Die Expertengruppe der Europäischen Kommission hat ausdrücklich bestätigt: Kein Sektor ist ausgeschlossen</w:t>
      </w:r>
      <w:r w:rsidR="00EA618C">
        <w:t xml:space="preserve">, </w:t>
      </w:r>
      <w:r>
        <w:t xml:space="preserve">die Beurteilung erfolgt stets konkret von Fall zu Fall. Zeitarbeitsagenturen gelten als DLP, wenn sie</w:t>
      </w:r>
      <w:r>
        <w:lastRenderedPageBreak/>
      </w:r>
      <w:r>
        <w:t xml:space="preserve"> alle vier Bedingungen </w:t>
      </w:r>
      <w:r>
        <w:t xml:space="preserve">erfüllen</w:t>
      </w:r>
      <w:r>
        <w:t xml:space="preserve">. Plattformen, die lediglich Angebote von Dienstleistern veröffentlichen, ohne aktiv an der Organisation der Arbeit mitzuwirken, sind keine DLP.</w:t>
      </w:r>
    </w:p>
    <w:p w:rsidR="00EA618C" w:rsidP="00750824" w:rsidRDefault="00EA618C" w14:paraId="39409103" w14:textId="77777777">
      <w:pPr>
        <w:jc w:val="both"/>
      </w:pPr>
    </w:p>
    <w:p w:rsidR="00983F19" w:rsidP="00750824" w:rsidRDefault="00000000" w14:paraId="7F11F492" w14:textId="102CBD0B">
      <w:pPr>
        <w:jc w:val="both"/>
      </w:pPr>
      <w:r>
        <w:t xml:space="preserve">Eine Person, die </w:t>
      </w:r>
      <w:r>
        <w:t xml:space="preserve">Plattformarbeit</w:t>
      </w:r>
      <w:r>
        <w:t xml:space="preserve"> verrichtet </w:t>
      </w:r>
      <w:r>
        <w:t xml:space="preserve">(</w:t>
      </w:r>
      <w:r w:rsidR="00EA618C">
        <w:t xml:space="preserve">„</w:t>
      </w:r>
      <w:r>
        <w:t xml:space="preserve">person </w:t>
      </w:r>
      <w:r>
        <w:t xml:space="preserve">performing </w:t>
      </w:r>
      <w:r>
        <w:t xml:space="preserve">platform </w:t>
      </w:r>
      <w:r w:rsidR="00EA618C">
        <w:t xml:space="preserve">work“ – </w:t>
      </w:r>
      <w:r>
        <w:t xml:space="preserve">PPPW</w:t>
      </w:r>
      <w:r>
        <w:t xml:space="preserve">), ist jede Person, die </w:t>
      </w:r>
      <w:r>
        <w:t xml:space="preserve">Plattformarbeit</w:t>
      </w:r>
      <w:r>
        <w:t xml:space="preserve"> verrichtet </w:t>
      </w:r>
      <w:r>
        <w:t xml:space="preserve">– unabhängig davon, wie ihr Vertragsverhältnis bezeichnet </w:t>
      </w:r>
      <w:r w:rsidR="00EA618C">
        <w:t xml:space="preserve">oder rechtlich definiert </w:t>
      </w:r>
      <w:r>
        <w:t xml:space="preserve">ist</w:t>
      </w:r>
      <w:r>
        <w:t xml:space="preserve">. Die Unterkategorie </w:t>
      </w:r>
      <w:r>
        <w:t xml:space="preserve">„Plattformarbeiter“ bezeichnet jene PPPW, die </w:t>
      </w:r>
      <w:r w:rsidR="00EA618C">
        <w:t xml:space="preserve">die Voraussetzungen für </w:t>
      </w:r>
      <w:r w:rsidR="00CF3B80">
        <w:t xml:space="preserve">ein Arbeitsverhältnis </w:t>
      </w:r>
      <w:r w:rsidR="00EA618C">
        <w:t xml:space="preserve">erfüllen</w:t>
      </w:r>
      <w:r>
        <w:t xml:space="preserve"> oder aufgrund der Sachlage als solche gelten</w:t>
      </w:r>
      <w:r>
        <w:t xml:space="preserve">. Diese Unterscheidung ist entscheidend: Die Rechte aus Kapitel II der Richtlinie (Rechtsvermutung) und bestimmte Rechte aus Kapitel III (algorithmische Steuerung durch den Arbeitgeber) beziehen sich ausschließlich auf </w:t>
      </w:r>
      <w:r>
        <w:t xml:space="preserve">Plattformarbeiter, während die Verbote der Datenverarbeitung und die Transparenz von Algorithmen für alle PPPW gelten.</w:t>
      </w:r>
    </w:p>
    <w:p w:rsidR="00D90A18" w:rsidP="00750824" w:rsidRDefault="00D90A18" w14:paraId="6EE09067" w14:textId="77777777">
      <w:pPr>
        <w:jc w:val="both"/>
      </w:pPr>
    </w:p>
    <w:p w:rsidR="00983F19" w:rsidP="00750824" w:rsidRDefault="00000000" w14:paraId="3810B9ED" w14:textId="1E98A7C2">
      <w:pPr>
        <w:jc w:val="both"/>
      </w:pPr>
      <w:r>
        <w:t xml:space="preserve">Ein Vermittler wird in Artikel 2 Absatz 1 Buchstabe e als natürliche oder juristische Person definiert, deren Zweck darin besteht</w:t>
      </w:r>
      <w:r w:rsidR="00A16E80">
        <w:t xml:space="preserve">,</w:t>
      </w:r>
      <w:r>
        <w:t xml:space="preserve"> der Plattform oder über diese die Ausübung </w:t>
      </w:r>
      <w:r>
        <w:t xml:space="preserve">von Plattformarbeit</w:t>
      </w:r>
      <w:r>
        <w:t xml:space="preserve"> zu ermöglichen</w:t>
      </w:r>
      <w:r w:rsidR="00A16E80">
        <w:t xml:space="preserve">, </w:t>
      </w:r>
      <w:r>
        <w:t xml:space="preserve">sei es durch die Begründung eines Vertragsverhältnisses mit beiden Parteien </w:t>
      </w:r>
      <w:r>
        <w:t xml:space="preserve">oder durch die Einbindung in </w:t>
      </w:r>
      <w:r>
        <w:t xml:space="preserve">eine Unterauftragskette. Die Definition ist bewusst weit gefasst. Die Expertengruppe der Europäischen Kommission hat erläutert: Vermittler können natürliche Personen sein</w:t>
      </w:r>
      <w:r w:rsidR="00A16E80">
        <w:t xml:space="preserve">: </w:t>
      </w:r>
      <w:r>
        <w:t xml:space="preserve">Die Untervermietung eines Kontos (</w:t>
      </w:r>
      <w:r>
        <w:t xml:space="preserve">„account </w:t>
      </w:r>
      <w:r w:rsidR="00A16E80">
        <w:t xml:space="preserve">subletting“</w:t>
      </w:r>
      <w:r>
        <w:t xml:space="preserve">) stellt eine Vermittlung dar, wenn der Zweck dieser Untervermietung die Ausübung </w:t>
      </w:r>
      <w:r>
        <w:t xml:space="preserve">von Plattformarbeit</w:t>
      </w:r>
      <w:r>
        <w:t xml:space="preserve"> ist</w:t>
      </w:r>
      <w:r w:rsidR="00A16E80">
        <w:t xml:space="preserve">. Ziel </w:t>
      </w:r>
      <w:r>
        <w:t xml:space="preserve">einer</w:t>
      </w:r>
      <w:r w:rsidR="00A16E80">
        <w:t xml:space="preserve"> solchen </w:t>
      </w:r>
      <w:r>
        <w:t xml:space="preserve">Definition ist es, die Umgehung </w:t>
      </w:r>
      <w:r w:rsidR="00A16E80">
        <w:t xml:space="preserve">der Bestimmungen der Richtlinie </w:t>
      </w:r>
      <w:r>
        <w:t xml:space="preserve">durch Dritte </w:t>
      </w:r>
      <w:r>
        <w:t xml:space="preserve">zu verhindern</w:t>
      </w:r>
      <w:r>
        <w:t xml:space="preserve">. Flottensysteme (</w:t>
      </w:r>
      <w:r>
        <w:t xml:space="preserve">„fleet </w:t>
      </w:r>
      <w:r w:rsidR="00A16E80">
        <w:t xml:space="preserve">systems“</w:t>
      </w:r>
      <w:r>
        <w:t xml:space="preserve">) – bei denen die Plattform einen Vertrag mit dem Flottenbetreiber abschließt und dieser wiederum mit den Lieferanten – sind ein paradigmatisches Beispiel für eine Vermittlungstätigkeit, die durch die Richtlinie ausdrücklich geregelt wird.</w:t>
      </w:r>
    </w:p>
    <w:p w:rsidR="00D90A18" w:rsidP="00750824" w:rsidRDefault="00D90A18" w14:paraId="74B99256" w14:textId="77777777">
      <w:pPr>
        <w:jc w:val="both"/>
      </w:pPr>
    </w:p>
    <w:p w:rsidR="00983F19" w:rsidP="00750824" w:rsidRDefault="00000000" w14:paraId="0E2FD3E6" w14:textId="6CE0F423">
      <w:pPr>
        <w:jc w:val="both"/>
      </w:pPr>
      <w:r>
        <w:t xml:space="preserve">Artikel 3 schreibt vor, dass Personen, die </w:t>
      </w:r>
      <w:r>
        <w:t xml:space="preserve">über einen Vermittler Plattformarbeit</w:t>
      </w:r>
      <w:r>
        <w:t xml:space="preserve"> verrichten</w:t>
      </w:r>
      <w:r>
        <w:t xml:space="preserve">, </w:t>
      </w:r>
      <w:r w:rsidR="00A16E80">
        <w:t xml:space="preserve">genau </w:t>
      </w:r>
      <w:r>
        <w:t xml:space="preserve">das gleiche Schutzniveau </w:t>
      </w:r>
      <w:r>
        <w:t xml:space="preserve">genießen </w:t>
      </w:r>
      <w:r>
        <w:t xml:space="preserve">wie diejenigen, die in einem direkten Vertragsverhältnis mit der Plattform stehen. Die Mitgliedstaaten müssen entsprechende Mechanismen einrichten, die</w:t>
      </w:r>
      <w:r w:rsidR="00A16E80">
        <w:t xml:space="preserve">, </w:t>
      </w:r>
      <w:r>
        <w:t xml:space="preserve">soweit angemessen</w:t>
      </w:r>
      <w:r w:rsidR="00A16E80">
        <w:t xml:space="preserve">, </w:t>
      </w:r>
      <w:r>
        <w:t xml:space="preserve">eine </w:t>
      </w:r>
      <w:r w:rsidR="00A25A76">
        <w:t xml:space="preserve">gesamtschuldnerische </w:t>
      </w:r>
      <w:r>
        <w:t xml:space="preserve">Haftung (</w:t>
      </w:r>
      <w:r>
        <w:t xml:space="preserve">„joint </w:t>
      </w:r>
      <w:r>
        <w:t xml:space="preserve">and </w:t>
      </w:r>
      <w:r>
        <w:t xml:space="preserve">several </w:t>
      </w:r>
      <w:r w:rsidR="00A16E80">
        <w:t xml:space="preserve">liability“</w:t>
      </w:r>
      <w:r>
        <w:t xml:space="preserve">) </w:t>
      </w:r>
      <w:r>
        <w:t xml:space="preserve">vorsehen</w:t>
      </w:r>
      <w:r>
        <w:t xml:space="preserve">. Der Ausdruck </w:t>
      </w:r>
      <w:r>
        <w:t xml:space="preserve">„soweit </w:t>
      </w:r>
      <w:r w:rsidR="00A16E80">
        <w:t xml:space="preserve">angemessen“ </w:t>
      </w:r>
      <w:r w:rsidR="00792F1C">
        <w:t xml:space="preserve">ist </w:t>
      </w:r>
      <w:r>
        <w:t xml:space="preserve">eine offene Klausel: Die Richtlinie </w:t>
      </w:r>
      <w:r>
        <w:t xml:space="preserve">schreibt die </w:t>
      </w:r>
      <w:r w:rsidR="00A25A76">
        <w:t xml:space="preserve">gesamtschuldnerische </w:t>
      </w:r>
      <w:r>
        <w:t xml:space="preserve">Haftung nicht bedingungslos vor, sondern überlässt sie dem Ermessen der Mitgliedstaaten. Dies ist einer der wesentlichen Mängel, der bei der Umsetzung behoben werden muss.</w:t>
      </w:r>
    </w:p>
    <w:p w:rsidR="00D90A18" w:rsidP="00750824" w:rsidRDefault="00D90A18" w14:paraId="5BE0CC56" w14:textId="77777777">
      <w:pPr>
        <w:jc w:val="both"/>
      </w:pPr>
    </w:p>
    <w:p w:rsidR="00983F19" w:rsidP="00750824" w:rsidRDefault="00000000" w14:paraId="5A0BD868" w14:textId="77777777">
      <w:pPr>
        <w:pStyle w:val="Naslov2"/>
        <w:jc w:val="both"/>
      </w:pPr>
      <w:bookmarkStart w:name="_Toc233699482" w:id="8"/>
      <w:r>
        <w:t xml:space="preserve">2.2 Erkenntnisse aus der Praxis</w:t>
      </w:r>
      <w:bookmarkEnd w:id="8"/>
    </w:p>
    <w:p w:rsidR="00983F19" w:rsidP="00750824" w:rsidRDefault="00000000" w14:paraId="1379ED78" w14:textId="0D5B2637">
      <w:pPr>
        <w:jc w:val="both"/>
      </w:pPr>
      <w:r>
        <w:t xml:space="preserve">Die Erfahrungen aus den Partnerländern des SDDP-Projekts zeigen drei strukturelle Muster der Umgehung </w:t>
      </w:r>
      <w:r w:rsidR="000052A5">
        <w:t xml:space="preserve">von Bestimmungen</w:t>
      </w:r>
      <w:r>
        <w:t xml:space="preserve"> auf</w:t>
      </w:r>
      <w:r w:rsidR="000052A5">
        <w:t xml:space="preserve">, die auch in </w:t>
      </w:r>
      <w:r>
        <w:t xml:space="preserve">der Richtlinie</w:t>
      </w:r>
      <w:r w:rsidR="000052A5">
        <w:t xml:space="preserve"> definiert sind </w:t>
      </w:r>
      <w:r w:rsidR="000052A5">
        <w:t xml:space="preserve">und </w:t>
      </w:r>
      <w:r>
        <w:t xml:space="preserve">für die Auslegung und Umsetzung der Artikel 1 bis 3 unmittelbar relevant sind.</w:t>
      </w:r>
    </w:p>
    <w:p w:rsidR="00D90A18" w:rsidP="00750824" w:rsidRDefault="00D90A18" w14:paraId="4797C659" w14:textId="77777777">
      <w:pPr>
        <w:jc w:val="both"/>
      </w:pPr>
    </w:p>
    <w:p w:rsidR="00983F19" w:rsidP="00750824" w:rsidRDefault="00000000" w14:paraId="24A10F30" w14:textId="49A6EB71">
      <w:pPr>
        <w:jc w:val="both"/>
      </w:pPr>
      <w:r>
        <w:rPr>
          <w:b/>
          <w:bCs/>
        </w:rPr>
        <w:t xml:space="preserve">Die sektorale Einstufung als Mittel zur Umgehung.</w:t>
      </w:r>
      <w:r>
        <w:t xml:space="preserve"> </w:t>
      </w:r>
      <w:r w:rsidR="000052A5">
        <w:t xml:space="preserve">Hier ist das Beispiel aus Belgien sehr anschaulich</w:t>
      </w:r>
      <w:r>
        <w:t xml:space="preserve">. Takeaway.com hatte sich für einen bestimmten Zeitraum als Werbeunternehmen und nicht als Plattform für die Lieferung von Speisen registrieren </w:t>
      </w:r>
      <w:r>
        <w:t xml:space="preserve">lassen</w:t>
      </w:r>
      <w:r w:rsidR="000052A5">
        <w:t xml:space="preserve">,</w:t>
      </w:r>
      <w:r>
        <w:t xml:space="preserve"> um zu verhindern, dass die aus der sektoralen Einstufung resultierenden arbeitsrechtlichen Verpflichtungen auf das Unternehmen Anwendung finden. Die Richtlinie macht diese Strategie zunichte: Da sie die konkrete Dienstleistung und nicht den Sektor beurteilt, in </w:t>
      </w:r>
      <w:r w:rsidR="006F2B87">
        <w:t xml:space="preserve">dem </w:t>
      </w:r>
      <w:r>
        <w:t xml:space="preserve">das Unternehmen offiziell eingetragen ist, können die Rechtsform oder die Einstufung im Handelsregister nicht ausschlaggebend sein. Gesetze, die eine Umgehung durch die Einstufung im Handelsregister zulassen würden, stehen nicht im Einklang mit der Richtlinie.</w:t>
      </w:r>
    </w:p>
    <w:p w:rsidR="00D90A18" w:rsidP="00750824" w:rsidRDefault="00D90A18" w14:paraId="51D06985" w14:textId="77777777">
      <w:pPr>
        <w:jc w:val="both"/>
      </w:pPr>
    </w:p>
    <w:p w:rsidR="00983F19" w:rsidP="00750824" w:rsidRDefault="00000000" w14:paraId="436CFF4A" w14:textId="116E3461">
      <w:pPr>
        <w:jc w:val="both"/>
      </w:pPr>
      <w:r>
        <w:rPr>
          <w:b/>
          <w:bCs/>
        </w:rPr>
        <w:t xml:space="preserve">Das Flottensystem als struktureller Vermittlungsmechanismus. </w:t>
      </w:r>
      <w:r>
        <w:t xml:space="preserve">Eine Analyse von 91 Plattformen in den Partnerländern zeigt, dass das Flottensystem bei mindestens 41 von ihnen vorhanden ist – dies ist keine Ausnahme, sondern Teil des Geschäftsmodells. </w:t>
      </w:r>
      <w:r>
        <w:t xml:space="preserve">Uber </w:t>
      </w:r>
      <w:r>
        <w:t xml:space="preserve">Eats </w:t>
      </w:r>
      <w:r>
        <w:t xml:space="preserve">in Deutschland ist ein anschauliches Beispiel: Die Lieferfahrer arbeiten über Subunternehmer, die sich zusätzlich zur Gebühr</w:t>
      </w:r>
      <w:r>
        <w:lastRenderedPageBreak/>
      </w:r>
      <w:r>
        <w:t xml:space="preserve"> bis zu 500 Euro </w:t>
      </w:r>
      <w:r>
        <w:t xml:space="preserve">sowie bis zu 35 % ihres Verdienstes aneignen</w:t>
      </w:r>
      <w:r>
        <w:t xml:space="preserve">. Die Erfahrungen in Kroatien und Serbien mit Briefkastenfirmen (</w:t>
      </w:r>
      <w:r>
        <w:t xml:space="preserve">„Shell </w:t>
      </w:r>
      <w:r w:rsidR="006F2B87">
        <w:t xml:space="preserve">Companies“</w:t>
      </w:r>
      <w:r>
        <w:t xml:space="preserve">) sind ein Extrembeispiel für dieses Muster</w:t>
      </w:r>
      <w:r w:rsidR="00A60485">
        <w:t xml:space="preserve">: </w:t>
      </w:r>
      <w:r>
        <w:t xml:space="preserve">Wenn ein Subunternehmer das Unternehmen schließt, bleiben die Arbeitnehmer ohne Rechtsschutz und </w:t>
      </w:r>
      <w:r w:rsidR="00A60485">
        <w:t xml:space="preserve">ohne </w:t>
      </w:r>
      <w:r w:rsidR="00A60485">
        <w:t xml:space="preserve">Möglichkeit, </w:t>
      </w:r>
      <w:r>
        <w:t xml:space="preserve">ihre Rechte geltend zu machen. Die Erfahrungen in Spanien nach dem Inkrafttreten </w:t>
      </w:r>
      <w:r>
        <w:t xml:space="preserve">des Gesetzes über Lieferfahrer (</w:t>
      </w:r>
      <w:r>
        <w:t xml:space="preserve">„Ley </w:t>
      </w:r>
      <w:r w:rsidR="00A60485">
        <w:t xml:space="preserve">Rider“</w:t>
      </w:r>
      <w:r>
        <w:t xml:space="preserve">) im Jahr 2021 haben gezeigt, dass die Plattformen unmittelbar nach Einführung der Regulierung massenhaft auf ein Flottensystem umgestellt haben. Die Richtlinie wird </w:t>
      </w:r>
      <w:r>
        <w:t xml:space="preserve">wahrscheinlich </w:t>
      </w:r>
      <w:r w:rsidR="00A60485">
        <w:t xml:space="preserve">eine ähnliche Reaktion </w:t>
      </w:r>
      <w:r>
        <w:t xml:space="preserve">dort auslösen, wo Vermittlungssysteme nicht angemessen geregelt sind.</w:t>
      </w:r>
    </w:p>
    <w:p w:rsidR="00D90A18" w:rsidP="00750824" w:rsidRDefault="00D90A18" w14:paraId="478A89E8" w14:textId="77777777">
      <w:pPr>
        <w:jc w:val="both"/>
      </w:pPr>
    </w:p>
    <w:p w:rsidR="00983F19" w:rsidP="00750824" w:rsidRDefault="00000000" w14:paraId="28D962D3" w14:textId="0E4A0B63">
      <w:pPr>
        <w:jc w:val="both"/>
      </w:pPr>
      <w:r>
        <w:rPr>
          <w:b/>
          <w:bCs/>
        </w:rPr>
        <w:t xml:space="preserve">Vermietung von Konten in der Grauzone.</w:t>
      </w:r>
      <w:r>
        <w:t xml:space="preserve"> In der Praxis kommt es vor, dass der Inhaber eines Kontos bei einer Plattform dieses Konto an eine andere Person</w:t>
      </w:r>
      <w:r w:rsidR="00A60485">
        <w:t xml:space="preserve">, </w:t>
      </w:r>
      <w:r>
        <w:t xml:space="preserve">häufig </w:t>
      </w:r>
      <w:r w:rsidR="00A60485">
        <w:t xml:space="preserve">einen Migranten </w:t>
      </w:r>
      <w:r>
        <w:t xml:space="preserve">ohne </w:t>
      </w:r>
      <w:r w:rsidR="00A60485">
        <w:t xml:space="preserve">ordnungsgemäße </w:t>
      </w:r>
      <w:r>
        <w:t xml:space="preserve">Papiere, </w:t>
      </w:r>
      <w:r>
        <w:t xml:space="preserve">überlässt</w:t>
      </w:r>
      <w:r>
        <w:t xml:space="preserve">. Die Expertengruppe der Europäischen Kommission hat klargestellt</w:t>
      </w:r>
      <w:r w:rsidR="00A60485">
        <w:t xml:space="preserve">, dass </w:t>
      </w:r>
      <w:r>
        <w:t xml:space="preserve">es sich um eine Vermittlung </w:t>
      </w:r>
      <w:r w:rsidR="00A60485">
        <w:t xml:space="preserve">im Sinne der Richtlinie handelt, </w:t>
      </w:r>
      <w:r>
        <w:t xml:space="preserve">wenn der Zweck dieser Überlassung gerade die Ausübung </w:t>
      </w:r>
      <w:r>
        <w:t xml:space="preserve">von Plattformarbeit</w:t>
      </w:r>
      <w:r>
        <w:t xml:space="preserve"> ist </w:t>
      </w:r>
      <w:r>
        <w:t xml:space="preserve">und die Plattform davon weiß oder dies zulässt</w:t>
      </w:r>
      <w:r>
        <w:t xml:space="preserve">. Wenn die Plattform jedoch nichts von der Überlassung weiß und diese nicht zulässt, gilt der Untermieter formal nicht als PPPW</w:t>
      </w:r>
      <w:r w:rsidR="00A60485">
        <w:t xml:space="preserve">, </w:t>
      </w:r>
      <w:r>
        <w:t xml:space="preserve">wobei die Richtlinie die Staaten dazu ermutigt, auch diese Personen durch eigene Maßnahmen zu schützen.</w:t>
      </w:r>
    </w:p>
    <w:p w:rsidR="00D90A18" w:rsidP="00750824" w:rsidRDefault="00D90A18" w14:paraId="36B0EE74" w14:textId="77777777">
      <w:pPr>
        <w:jc w:val="both"/>
      </w:pPr>
    </w:p>
    <w:p w:rsidR="00983F19" w:rsidP="00750824" w:rsidRDefault="00000000" w14:paraId="3CB89BA7" w14:textId="673BFC82">
      <w:pPr>
        <w:jc w:val="both"/>
      </w:pPr>
      <w:r>
        <w:t xml:space="preserve">Auf der Zwischenkonferenz des SDDP-Projekts in Ljubljana im Mai 2025 kamen alle Partner zu dem gemeinsamen Schluss</w:t>
      </w:r>
      <w:r w:rsidR="00A60485">
        <w:t xml:space="preserve">, dass </w:t>
      </w:r>
      <w:r>
        <w:t xml:space="preserve">die Definitionen in der Richtlinie weit genug gefasst</w:t>
      </w:r>
      <w:r w:rsidR="00A60485">
        <w:t xml:space="preserve"> sind</w:t>
      </w:r>
      <w:r>
        <w:t xml:space="preserve">, um alle relevanten Fälle abzudecken, doch gerade diese Breite erfordert, dass sie durch nationale Rechtsvorschriften </w:t>
      </w:r>
      <w:r w:rsidR="00A60485">
        <w:t xml:space="preserve">genau </w:t>
      </w:r>
      <w:r>
        <w:t xml:space="preserve">konkretisiert werden</w:t>
      </w:r>
      <w:r w:rsidR="00A60485">
        <w:t xml:space="preserve">, </w:t>
      </w:r>
      <w:r>
        <w:t xml:space="preserve">da sonst die Plattformen </w:t>
      </w:r>
      <w:r w:rsidR="00A60485">
        <w:t xml:space="preserve">die Lücken </w:t>
      </w:r>
      <w:r>
        <w:t xml:space="preserve">mit ihren eigenen Auslegungen füllen </w:t>
      </w:r>
      <w:r>
        <w:t xml:space="preserve">werden</w:t>
      </w:r>
      <w:r w:rsidR="00A60485">
        <w:t xml:space="preserve">, um so zu versuchen, sich ihrer Verantwortung zu entziehen</w:t>
      </w:r>
      <w:r>
        <w:t xml:space="preserve">.</w:t>
      </w:r>
    </w:p>
    <w:p w:rsidR="00D90A18" w:rsidP="00750824" w:rsidRDefault="00D90A18" w14:paraId="11382266" w14:textId="77777777">
      <w:pPr>
        <w:jc w:val="both"/>
      </w:pPr>
    </w:p>
    <w:p w:rsidR="00983F19" w:rsidP="00750824" w:rsidRDefault="00000000" w14:paraId="318C5688" w14:textId="15F944CC">
      <w:pPr>
        <w:jc w:val="both"/>
      </w:pPr>
      <w:r>
        <w:t xml:space="preserve">Besonders hervorzuheben sind </w:t>
      </w:r>
      <w:r w:rsidR="00A60485">
        <w:t xml:space="preserve">zudem </w:t>
      </w:r>
      <w:r>
        <w:t xml:space="preserve">die Behauptungen, die die Plattformen selbst in Verhandlungen </w:t>
      </w:r>
      <w:r w:rsidR="00A60485">
        <w:t xml:space="preserve">mit den Sozialpartnern </w:t>
      </w:r>
      <w:r>
        <w:t xml:space="preserve">und </w:t>
      </w:r>
      <w:r w:rsidR="00A60485">
        <w:t xml:space="preserve">in </w:t>
      </w:r>
      <w:r>
        <w:t xml:space="preserve">Verfahren vor nationalen Behörden </w:t>
      </w:r>
      <w:r>
        <w:t xml:space="preserve">verbreiten</w:t>
      </w:r>
      <w:r>
        <w:t xml:space="preserve">. Die Geschäftsführungen einiger Plattformen – darunter </w:t>
      </w:r>
      <w:r w:rsidR="00A60485">
        <w:t xml:space="preserve">beispielsweise </w:t>
      </w:r>
      <w:r>
        <w:t xml:space="preserve">Wolt </w:t>
      </w:r>
      <w:r>
        <w:t xml:space="preserve">in den Verhandlungen mit den slowenischen Gewerkschaften – behaupten regelmäßig, dass bestimmte Verpflichtungen aus der Richtlinie für sie nicht gelten oder dass bestimmte Behörden nicht für die Beurteilung ihres Geschäftsmodells zuständig sind. Die Richtlinie lässt solche Argumente nicht zu: Die Zuständigkeit ergibt sich aus dem Ort der Arbeitsausübung, nicht aus dem Ort des Sitzes der Plattform.</w:t>
      </w:r>
    </w:p>
    <w:p w:rsidR="00D90A18" w:rsidP="00750824" w:rsidRDefault="00D90A18" w14:paraId="6FE07113" w14:textId="77777777">
      <w:pPr>
        <w:jc w:val="both"/>
      </w:pPr>
    </w:p>
    <w:p w:rsidR="00983F19" w:rsidP="00750824" w:rsidRDefault="00000000" w14:paraId="105EE5A9" w14:textId="007C3416">
      <w:pPr>
        <w:jc w:val="both"/>
      </w:pPr>
      <w:r>
        <w:t xml:space="preserve">Es bleibt jedoch eine Lücke, die die Richtlinie nicht berücksichtigt: Was passiert, wenn eine europäische Plattform mit zweierlei Maß misst </w:t>
      </w:r>
      <w:r w:rsidR="00A60485">
        <w:t xml:space="preserve">– </w:t>
      </w:r>
      <w:r>
        <w:t xml:space="preserve">innerhalb der EU die Regeln einhält, außerhalb der EU jedoch nicht? </w:t>
      </w:r>
      <w:r>
        <w:t xml:space="preserve">Glovo</w:t>
      </w:r>
      <w:r>
        <w:t xml:space="preserve">, dessen Mehrheitseigentümer </w:t>
      </w:r>
      <w:r>
        <w:t xml:space="preserve">das in Deutschland ansässige Unternehmen</w:t>
      </w:r>
      <w:r>
        <w:t xml:space="preserve"> Delivery </w:t>
      </w:r>
      <w:r>
        <w:t xml:space="preserve">Hero </w:t>
      </w:r>
      <w:r>
        <w:t xml:space="preserve">ist</w:t>
      </w:r>
      <w:r>
        <w:t xml:space="preserve">, ist in mehreren Entwicklungsländern tätig: in Marokko, Ghana, Kasachstan, Peru und anderen Ländern. Die Arbeitsbedingungen der dortigen Lieferfahrer bleiben oft deutlich hinter den Standards zurück, die die Richtlinie in der EU vorschreiben würde. Da die Plattform in europäischem Besitz ist und mit europäischem Kapital finanziert wird, stellt sich eine Frage, die von der aktuellen Richtlinie nicht geregelt wird: Sollte die EU zumindest Mindeststandards für Arbeitnehmer durchsetzen, die für europäische Plattformen außerhalb ihres Hoheitsgebiets tätig sind? Dies ist eine Zuständigkeit, </w:t>
      </w:r>
      <w:r w:rsidR="00A60485">
        <w:t xml:space="preserve">die in </w:t>
      </w:r>
      <w:r>
        <w:t xml:space="preserve">der aktuellen Richtlinie </w:t>
      </w:r>
      <w:r w:rsidR="00A60485">
        <w:t xml:space="preserve">nicht definiert ist</w:t>
      </w:r>
      <w:r>
        <w:t xml:space="preserve">.</w:t>
      </w:r>
    </w:p>
    <w:p w:rsidR="00D90A18" w:rsidP="00750824" w:rsidRDefault="00D90A18" w14:paraId="239D2C55" w14:textId="77777777">
      <w:pPr>
        <w:jc w:val="both"/>
      </w:pPr>
    </w:p>
    <w:p w:rsidR="00983F19" w:rsidP="00750824" w:rsidRDefault="00000000" w14:paraId="5FBA8B99" w14:textId="77777777">
      <w:pPr>
        <w:pStyle w:val="Naslov2"/>
        <w:jc w:val="both"/>
      </w:pPr>
      <w:bookmarkStart w:name="_Toc233699483" w:id="9"/>
      <w:r>
        <w:t xml:space="preserve">2.3 Empfehlungen</w:t>
      </w:r>
      <w:bookmarkEnd w:id="9"/>
    </w:p>
    <w:p w:rsidR="00983F19" w:rsidP="00750824" w:rsidRDefault="00000000" w14:paraId="128A5ACE" w14:textId="1BF77777">
      <w:pPr>
        <w:jc w:val="both"/>
      </w:pPr>
      <w:r>
        <w:t xml:space="preserve">Die folgenden Empfehlungen richten sich an die </w:t>
      </w:r>
      <w:r w:rsidR="00A60485">
        <w:t xml:space="preserve">für die Umsetzung </w:t>
      </w:r>
      <w:r w:rsidR="00A60485">
        <w:t xml:space="preserve">der Richtlinie</w:t>
      </w:r>
      <w:r w:rsidR="00A60485">
        <w:t xml:space="preserve"> zuständigen </w:t>
      </w:r>
      <w:r>
        <w:t xml:space="preserve">Ministerien </w:t>
      </w:r>
      <w:r>
        <w:t xml:space="preserve">der EU-Mitgliedstaaten sowie an die Sozialpartner im Rahmen der Umsetzung der Richtlinie. Sie basieren auf den normativen Anforderungen der Richtlinie sowie auf den Erfahrungen der Partnerländer des SDDP-Projekts. Jede Empfehlung ist mit einem Ambitionsgrad gekennzeichnet: [RICHTLINIE] bedeutet, dass es sich um eine Anforderung handelt, die die Richtlinie vorschreibt und die gesetzlich umgesetzt werden muss; [ÜBERTRIFFT DAS MINIMUM] bedeutet, dass die Empfehlung über die Mindestanforderungen der Richtlinie hinausgeht, aber gemäß Artikel 26 Absatz 2 rechtlich zulässig ist;</w:t>
      </w:r>
      <w:r>
        <w:lastRenderedPageBreak/>
      </w:r>
      <w:r>
        <w:t xml:space="preserve"> [</w:t>
      </w:r>
      <w:r>
        <w:t xml:space="preserve">AMBITIONIERT] bedeutet, dass die Empfehlung über den Rahmen der Richtlinie hinausgeht</w:t>
      </w:r>
      <w:r w:rsidR="00A60485">
        <w:t xml:space="preserve">, um ein noch höheres Schutzniveau für Arbeitnehmer zu erreichen, </w:t>
      </w:r>
      <w:r w:rsidR="00A60485">
        <w:t xml:space="preserve">oder dass </w:t>
      </w:r>
      <w:r>
        <w:t xml:space="preserve">sie im Hinblick auf die Überprüfung im Jahr 2029 formuliert wurde.</w:t>
      </w:r>
    </w:p>
    <w:p w:rsidR="00D90A18" w:rsidP="00750824" w:rsidRDefault="00D90A18" w14:paraId="60CA4BBA" w14:textId="77777777">
      <w:pPr>
        <w:jc w:val="both"/>
      </w:pPr>
    </w:p>
    <w:p w:rsidR="00983F19" w:rsidP="00750824" w:rsidRDefault="00000000" w14:paraId="4BC815EE" w14:textId="77777777">
      <w:pPr>
        <w:pStyle w:val="Naslov3"/>
        <w:jc w:val="both"/>
      </w:pPr>
      <w:r>
        <w:t xml:space="preserve">Empfehlung 2.1 [RICHTLINIE]: Sektorenneutrale Definition einer digitalen Arbeitsplattform</w:t>
      </w:r>
    </w:p>
    <w:p w:rsidR="00983F19" w:rsidP="00750824" w:rsidRDefault="00000000" w14:paraId="55FE32DC" w14:textId="3182B3FD">
      <w:pPr>
        <w:jc w:val="both"/>
      </w:pPr>
      <w:r>
        <w:t xml:space="preserve">Die nationalen Gesetze müssen die Definition der digitalen Arbeitsplattform ohne sektorale Ausnahmen oder Einschränkungen übernehmen. Kein Wirtschaftszweig – Transport, Lieferung, Reinigung, IT, Gesundheitswesen oder </w:t>
      </w:r>
      <w:r>
        <w:t xml:space="preserve">Kleinaufträge </w:t>
      </w:r>
      <w:r>
        <w:t xml:space="preserve">– ist oder darf von vornherein ausgeschlossen werden. Die Beurteilung, ob ein Unternehmen der Definition einer digitalen Arbeitsplattform entspricht, muss sich auf die konkrete Dienstleistung und deren Rolle bei der Arbeitsorganisation stützen und nicht auf die sektorale Einstufung im Handelsregister oder die steuerliche Kategorisierung. Wir empfehlen den Ministerien, eine ausdrückliche Bestimmung in das Gesetz aufzunehmen, die es verbietet, die Einstufung im Handelsregister als Grund für einen Ausschluss aus dem Anwendungsbereich der Richtlinie heranzuziehen. </w:t>
      </w:r>
    </w:p>
    <w:p w:rsidR="00792F1C" w:rsidP="00750824" w:rsidRDefault="00792F1C" w14:paraId="1D09979B" w14:textId="77777777">
      <w:pPr>
        <w:jc w:val="both"/>
      </w:pPr>
    </w:p>
    <w:p w:rsidR="00983F19" w:rsidP="00750824" w:rsidRDefault="00000000" w14:paraId="13F2153D" w14:textId="697CE53C">
      <w:pPr>
        <w:pStyle w:val="Blokbesedila"/>
      </w:pPr>
      <w:r>
        <w:t xml:space="preserve">Hintergrund: Der belgische Fall „Takeaway.com“ zeigt, wie die Registrierungskategorie eines Werbeunternehmens zum Vorwand wird, um arbeitsrechtliche Verpflichtungen zu umgehen. Eine Expertengruppe der Europäischen Kommission hat bestätigt: Die Beurteilung erfolgt stets anhand </w:t>
      </w:r>
      <w:r w:rsidR="00A60485">
        <w:t xml:space="preserve">der von dem Unternehmen erbrachten </w:t>
      </w:r>
      <w:r>
        <w:t xml:space="preserve">Dienstleistung </w:t>
      </w:r>
      <w:r w:rsidR="00A60485">
        <w:t xml:space="preserve">und </w:t>
      </w:r>
      <w:r>
        <w:t xml:space="preserve">nicht anhand des Sektors</w:t>
      </w:r>
      <w:r w:rsidR="00A60485">
        <w:t xml:space="preserve">, in dem es offiziell tätig ist</w:t>
      </w:r>
      <w:r>
        <w:t xml:space="preserve">.</w:t>
      </w:r>
    </w:p>
    <w:p w:rsidR="00D90A18" w:rsidP="00750824" w:rsidRDefault="00D90A18" w14:paraId="49258D8A" w14:textId="77777777">
      <w:pPr>
        <w:jc w:val="both"/>
      </w:pPr>
    </w:p>
    <w:p w:rsidR="00983F19" w:rsidP="00750824" w:rsidRDefault="00000000" w14:paraId="40B3D2CE" w14:textId="77777777">
      <w:pPr>
        <w:pStyle w:val="Naslov3"/>
        <w:jc w:val="both"/>
      </w:pPr>
      <w:r>
        <w:t xml:space="preserve">Empfehlung 2.2 [RICHTLINIE]: Ausdrückliche Regelung des Flottensystems und der Vermittlerketten</w:t>
      </w:r>
    </w:p>
    <w:p w:rsidR="00983F19" w:rsidP="00750824" w:rsidRDefault="00000000" w14:paraId="4DAB0359" w14:textId="1C4B87AA">
      <w:pPr>
        <w:jc w:val="both"/>
      </w:pPr>
      <w:r>
        <w:t xml:space="preserve">Die nationalen Gesetze müssen die Definition des Vermittlers so konkretisieren, dass sie ausdrücklich alle Formen des Flottensystems, einschließlich mehrstufiger </w:t>
      </w:r>
      <w:r>
        <w:t xml:space="preserve">Unterauftragnehmerketten</w:t>
      </w:r>
      <w:r>
        <w:t xml:space="preserve">, erfasst</w:t>
      </w:r>
      <w:r>
        <w:t xml:space="preserve">. Das Gesetz muss festlegen, dass jede </w:t>
      </w:r>
      <w:r>
        <w:t xml:space="preserve">natürliche oder juristische Person</w:t>
      </w:r>
      <w:r w:rsidR="00A60485">
        <w:t xml:space="preserve">, </w:t>
      </w:r>
      <w:r w:rsidR="00A60485">
        <w:t xml:space="preserve">deren </w:t>
      </w:r>
      <w:r>
        <w:t xml:space="preserve">Zweck </w:t>
      </w:r>
      <w:r w:rsidR="00A60485">
        <w:t xml:space="preserve">darin besteht</w:t>
      </w:r>
      <w:r>
        <w:t xml:space="preserve">, Plattformarbeit</w:t>
      </w:r>
      <w:r>
        <w:t xml:space="preserve"> zu organisieren oder zu vermitteln</w:t>
      </w:r>
      <w:r>
        <w:t xml:space="preserve">, </w:t>
      </w:r>
      <w:r>
        <w:t xml:space="preserve">als </w:t>
      </w:r>
      <w:r>
        <w:t xml:space="preserve">Vermittler </w:t>
      </w:r>
      <w:r>
        <w:t xml:space="preserve">gilt</w:t>
      </w:r>
      <w:r>
        <w:t xml:space="preserve">. Die Vermietung eines Kontos, die von der Plattform gestattet oder zugelassen wird, gilt als Vermittlung. Wir empfehlen den Ministerien, ein öffentlich zugängliches Register der Vermittler einzurichten, die im Namen der Plattformen tätig sind.</w:t>
      </w:r>
    </w:p>
    <w:p w:rsidR="00D90A18" w:rsidP="00750824" w:rsidRDefault="00D90A18" w14:paraId="34AC575B" w14:textId="77777777">
      <w:pPr>
        <w:jc w:val="both"/>
      </w:pPr>
    </w:p>
    <w:p w:rsidR="00D90A18" w:rsidP="00750824" w:rsidRDefault="00000000" w14:paraId="52A018B9" w14:textId="5D50A1D9">
      <w:pPr>
        <w:pStyle w:val="Blokbesedila"/>
      </w:pPr>
      <w:r>
        <w:t xml:space="preserve">Hintergrund: Ein Flottensystem ist bei mindestens 41 der 91 analysierten Plattformen vorhanden. </w:t>
      </w:r>
      <w:r>
        <w:t xml:space="preserve">Uber </w:t>
      </w:r>
      <w:r>
        <w:t xml:space="preserve">Eats </w:t>
      </w:r>
      <w:r>
        <w:t xml:space="preserve">Deutschland, Erfahrungen mit Scheinfirmen in Kroatien und Serbien sowie die spanischen Erfahrungen im Zusammenhang mit dem Gesetz über Lieferfahrer (</w:t>
      </w:r>
      <w:r>
        <w:t xml:space="preserve">Ley </w:t>
      </w:r>
      <w:r>
        <w:t xml:space="preserve">Rider</w:t>
      </w:r>
      <w:r>
        <w:t xml:space="preserve">) sind dokumentierte Beispiele dafür, wie Plattformen mithilfe von Vermittlern das rechtliche Risiko auf die Arbeitnehmer </w:t>
      </w:r>
      <w:r w:rsidR="00A60485">
        <w:t xml:space="preserve">und/oder die Vermittlerunternehmen </w:t>
      </w:r>
      <w:r>
        <w:t xml:space="preserve">abwälzen</w:t>
      </w:r>
      <w:r>
        <w:t xml:space="preserve">.</w:t>
      </w:r>
    </w:p>
    <w:p w:rsidR="00D90A18" w:rsidP="00750824" w:rsidRDefault="00D90A18" w14:paraId="62E142CD" w14:textId="77777777">
      <w:pPr>
        <w:jc w:val="both"/>
      </w:pPr>
    </w:p>
    <w:p w:rsidR="00983F19" w:rsidP="00750824" w:rsidRDefault="00000000" w14:paraId="76CCAB41" w14:textId="09B6CB43">
      <w:pPr>
        <w:pStyle w:val="Naslov3"/>
        <w:jc w:val="both"/>
      </w:pPr>
      <w:r>
        <w:t xml:space="preserve">Empfehlung 2.3 [ÜBERTRIFFT DAS MINIMUM]: </w:t>
      </w:r>
      <w:r w:rsidR="00A25A76">
        <w:t xml:space="preserve">Solidarische </w:t>
      </w:r>
      <w:r>
        <w:t xml:space="preserve">Haftung als rechtliche </w:t>
      </w:r>
      <w:r w:rsidR="00A60485">
        <w:t xml:space="preserve">Anforderung</w:t>
      </w:r>
      <w:r>
        <w:t xml:space="preserve">, nicht nur als Option</w:t>
      </w:r>
    </w:p>
    <w:p w:rsidR="00983F19" w:rsidP="00750824" w:rsidRDefault="00000000" w14:paraId="24D2D553" w14:textId="13267CCE">
      <w:pPr>
        <w:jc w:val="both"/>
      </w:pPr>
      <w:r>
        <w:t xml:space="preserve">Artikel 3 der Richtlinie verlangt, dass Arbeitnehmer</w:t>
      </w:r>
      <w:r w:rsidR="00A60485">
        <w:t xml:space="preserve">, die ihre Arbeit </w:t>
      </w:r>
      <w:r>
        <w:t xml:space="preserve">über Vermittler </w:t>
      </w:r>
      <w:r w:rsidR="00A60485">
        <w:t xml:space="preserve">ausüben</w:t>
      </w:r>
      <w:r w:rsidR="00A60485">
        <w:t xml:space="preserve">, </w:t>
      </w:r>
      <w:r>
        <w:t xml:space="preserve">das gleiche Schutzniveau genießen. Um dieses Ziel zu erreichen, ist </w:t>
      </w:r>
      <w:r>
        <w:t xml:space="preserve">die </w:t>
      </w:r>
      <w:r w:rsidR="00A25A76">
        <w:t xml:space="preserve">gesamtschuldnerische </w:t>
      </w:r>
      <w:r>
        <w:t xml:space="preserve">Haftung der Plattform und des Vermittlers </w:t>
      </w:r>
      <w:r w:rsidR="00A60485">
        <w:t xml:space="preserve">ein unverzichtbares Instrument</w:t>
      </w:r>
      <w:r>
        <w:t xml:space="preserve">. Die Formulierung </w:t>
      </w:r>
      <w:r>
        <w:t xml:space="preserve">„soweit </w:t>
      </w:r>
      <w:r w:rsidR="00320506">
        <w:t xml:space="preserve">angemessen“ </w:t>
      </w:r>
      <w:r>
        <w:t xml:space="preserve">stellt einen Mindeststandard dar </w:t>
      </w:r>
      <w:r w:rsidR="00320506">
        <w:t xml:space="preserve">und ist kein </w:t>
      </w:r>
      <w:r>
        <w:t xml:space="preserve">Hindernis für strengere Regelungen. Wir empfehlen den Ministerien, </w:t>
      </w:r>
      <w:r>
        <w:t xml:space="preserve">die</w:t>
      </w:r>
      <w:r>
        <w:t xml:space="preserve"> </w:t>
      </w:r>
      <w:r w:rsidR="00A25A76">
        <w:t xml:space="preserve">gesamtschuldnerische </w:t>
      </w:r>
      <w:r>
        <w:t xml:space="preserve">Haftung als Rechtsvermutung festzuschreiben: Die Plattform und der Vermittler </w:t>
      </w:r>
      <w:r>
        <w:t xml:space="preserve">haften</w:t>
      </w:r>
      <w:r>
        <w:t xml:space="preserve"> </w:t>
      </w:r>
      <w:r w:rsidR="00A25A76">
        <w:t xml:space="preserve">gesamtschuldnerisch </w:t>
      </w:r>
      <w:r>
        <w:t xml:space="preserve">für alle Verpflichtungen aus der Richtlinie, es sei denn, die Plattform weist nach, dass das Bestehen eines Arbeitsverhältnisses außerhalb ihres Einflussbereichs liegt. </w:t>
      </w:r>
      <w:r>
        <w:t xml:space="preserve">Die</w:t>
      </w:r>
      <w:r w:rsidR="00320506">
        <w:t xml:space="preserve"> gesamtschuldnerische </w:t>
      </w:r>
      <w:r>
        <w:t xml:space="preserve">Haftung muss mindestens die Entlohnung, </w:t>
      </w:r>
      <w:r w:rsidR="00320506">
        <w:t xml:space="preserve">die aus der Arbeit resultierenden </w:t>
      </w:r>
      <w:r>
        <w:t xml:space="preserve">Sozialabgaben </w:t>
      </w:r>
      <w:r>
        <w:t xml:space="preserve">und das Recht auf gewerkschaftliche Organisation </w:t>
      </w:r>
      <w:r>
        <w:t xml:space="preserve">abdecken</w:t>
      </w:r>
      <w:r>
        <w:t xml:space="preserve">.</w:t>
      </w:r>
    </w:p>
    <w:p w:rsidR="00D90A18" w:rsidP="00750824" w:rsidRDefault="00D90A18" w14:paraId="474E9C9B" w14:textId="77777777">
      <w:pPr>
        <w:jc w:val="both"/>
      </w:pPr>
    </w:p>
    <w:p w:rsidR="00983F19" w:rsidP="00750824" w:rsidRDefault="00000000" w14:paraId="2DDABCC7" w14:textId="44C2EF04">
      <w:pPr>
        <w:pStyle w:val="Blokbesedila"/>
      </w:pPr>
      <w:r>
        <w:lastRenderedPageBreak/>
      </w:r>
      <w:r>
        <w:t xml:space="preserve">Hintergrund: Die Expertengruppe der Europäischen Kommission hat klargestellt, dass </w:t>
      </w:r>
      <w:r>
        <w:t xml:space="preserve">die </w:t>
      </w:r>
      <w:r w:rsidR="00A25A76">
        <w:t xml:space="preserve">gesamtschuldnerische </w:t>
      </w:r>
      <w:r>
        <w:t xml:space="preserve">Haftung nicht in allen Fällen zwingend vorgeschrieben ist, jedoch immer dann angemessen ist, wenn ein Arbeitnehmer ohne sie gezwungen wäre, seine Rechte gegenüber einem Unternehmen geltend zu machen, mit dem er keinen direkten Vertrag hat. Erfahrungen mit Briefkastenfirmen zeigen, dass die Arbeitnehmer bei der Schließung eines Subunternehmers ohne jeglichen Schutz dastehen. Der Entwurf des Tarifvertrags zwischen ZSSS und der Gewerkschaft „Mladi plus“ für </w:t>
      </w:r>
      <w:r>
        <w:t xml:space="preserve">Wolt </w:t>
      </w:r>
      <w:r>
        <w:t xml:space="preserve">Slovenija enthält </w:t>
      </w:r>
      <w:r>
        <w:t xml:space="preserve">ein vertraglich festgelegtes Verbot des Flottensystems mit einer Strafklausel in Höhe von 5.000 EUR pro Arbeitnehmer – dies ist ein Modell, das normativ unterstützt werden muss.</w:t>
      </w:r>
    </w:p>
    <w:p w:rsidR="00983F19" w:rsidP="00750824" w:rsidRDefault="00000000" w14:paraId="3B88E94C" w14:textId="0AAD5ED6">
      <w:pPr>
        <w:pStyle w:val="Naslov3"/>
        <w:jc w:val="both"/>
      </w:pPr>
      <w:r>
        <w:t xml:space="preserve">Empfehlung 2.4 [ÜBERTRIFFT DAS MINIMUM]: </w:t>
      </w:r>
      <w:r w:rsidR="00FD0595">
        <w:t xml:space="preserve">Reale </w:t>
      </w:r>
      <w:r>
        <w:t xml:space="preserve">Zeiterfassung in Vermittlerketten über ELA</w:t>
      </w:r>
    </w:p>
    <w:p w:rsidR="00983F19" w:rsidP="00750824" w:rsidRDefault="00000000" w14:paraId="0E6ADBA2" w14:textId="496AC0C6">
      <w:pPr>
        <w:jc w:val="both"/>
      </w:pPr>
      <w:r>
        <w:t xml:space="preserve">In Übereinstimmung mit dem Protokoll der Sozialpartner SDDP empfehlen wir, dass die Mitgliedstaaten den Plattformen auferlegen, einen digitalen Zugang für die Aufsichtsbehörden und die Europäische Arbeitsbehörde (</w:t>
      </w:r>
      <w:r>
        <w:t xml:space="preserve">„European </w:t>
      </w:r>
      <w:r>
        <w:t xml:space="preserve">Labour </w:t>
      </w:r>
      <w:r>
        <w:t xml:space="preserve">Authority </w:t>
      </w:r>
      <w:r w:rsidR="00FD0595">
        <w:t xml:space="preserve">(ELA)“</w:t>
      </w:r>
      <w:r>
        <w:t xml:space="preserve">) </w:t>
      </w:r>
      <w:r>
        <w:t xml:space="preserve">einzurichten</w:t>
      </w:r>
      <w:r>
        <w:t xml:space="preserve">, der in Echtzeit und </w:t>
      </w:r>
      <w:r>
        <w:t xml:space="preserve">anonymisiert </w:t>
      </w:r>
      <w:r>
        <w:t xml:space="preserve">die Anzahl der aktiven Arbeitnehmer, der beteiligten Subunternehmer sowie aggregierte Daten zu den Auszahlungen anzeigt. Die Plattform </w:t>
      </w:r>
      <w:r w:rsidR="00FD0595">
        <w:t xml:space="preserve">soll </w:t>
      </w:r>
      <w:r>
        <w:t xml:space="preserve">innerhalb </w:t>
      </w:r>
      <w:r w:rsidR="00FD0595">
        <w:t xml:space="preserve">von 60 </w:t>
      </w:r>
      <w:r>
        <w:t xml:space="preserve">Tagen nach Inkrafttreten des Umsetzungsgesetzes </w:t>
      </w:r>
      <w:r>
        <w:t xml:space="preserve">ein erstes Register vorlegen </w:t>
      </w:r>
      <w:r>
        <w:t xml:space="preserve">und dieses monatlich aktualisieren. Die Aufsichtsbehörde </w:t>
      </w:r>
      <w:r w:rsidR="00FD0595">
        <w:t xml:space="preserve">soll </w:t>
      </w:r>
      <w:r>
        <w:t xml:space="preserve">die Funktionsfähigkeit des Zugangs innerhalb von 15 Tagen bestätigen; ohne Bestätigung wird das Sozialzertifikat zurückgehalten. Die Daten müssen anonymisiert sein und der Datenschutz-Grundverordnung (DSGVO) entsprechen. Ziel ist nicht die Überwachung einzelner Arbeitnehmer, sondern die Aufdeckung verdeckter </w:t>
      </w:r>
      <w:r>
        <w:t xml:space="preserve">Subunternehmerverhältnisse und </w:t>
      </w:r>
      <w:r>
        <w:t xml:space="preserve">der systematischen Verlagerung von Risiken. </w:t>
      </w:r>
      <w:r>
        <w:t xml:space="preserve">Auch die Gewerkschaften </w:t>
      </w:r>
      <w:r w:rsidR="00FD0595">
        <w:t xml:space="preserve">sollen </w:t>
      </w:r>
      <w:r>
        <w:t xml:space="preserve">im Rahmen von Tarifverhandlungen </w:t>
      </w:r>
      <w:r>
        <w:t xml:space="preserve">Zugang zu den aggregierten Daten </w:t>
      </w:r>
      <w:r>
        <w:t xml:space="preserve">erhalten. Die ELA </w:t>
      </w:r>
      <w:r w:rsidR="00FD0595">
        <w:t xml:space="preserve">soll </w:t>
      </w:r>
      <w:r>
        <w:t xml:space="preserve">in grenzüberschreitenden Fällen als Vermittler fungieren und gemeinsame Inspektionen koordinieren.</w:t>
      </w:r>
      <w:r>
        <w:rPr>
          <w:rStyle w:val="Sprotnaopomba-sklic"/>
        </w:rPr>
        <w:footnoteReference w:id="1"/>
      </w:r>
    </w:p>
    <w:p w:rsidR="00D90A18" w:rsidP="00750824" w:rsidRDefault="00D90A18" w14:paraId="34789338" w14:textId="77777777">
      <w:pPr>
        <w:jc w:val="both"/>
      </w:pPr>
    </w:p>
    <w:p w:rsidR="00983F19" w:rsidP="00750824" w:rsidRDefault="00000000" w14:paraId="10B49C1F" w14:textId="77777777">
      <w:pPr>
        <w:pStyle w:val="Blokbesedila"/>
      </w:pPr>
      <w:r>
        <w:t xml:space="preserve">Hintergrund: Das Protokoll der Sozialpartner SDDP (3. Säule) sieht </w:t>
      </w:r>
      <w:r>
        <w:t xml:space="preserve">ein Echtzeitregister als Instrument zur Verhinderung </w:t>
      </w:r>
      <w:r>
        <w:t xml:space="preserve">von Missbräuchen </w:t>
      </w:r>
      <w:r>
        <w:t xml:space="preserve">bei der Vergabe von Unteraufträgen </w:t>
      </w:r>
      <w:r>
        <w:t xml:space="preserve">vor</w:t>
      </w:r>
      <w:r>
        <w:t xml:space="preserve">. Ohne eine unabhängige Datenquelle befinden sich Gewerkschaften und Aufsichtsbehörden in Verhandlungen strukturell in einer schlechteren Position. Die ELA verfügt bereits über Befugnisse zum grenzüberschreitenden Informationsaustausch – dieser Mechanismus würde sie direkt in die präventive Aufsicht einbinden.</w:t>
      </w:r>
    </w:p>
    <w:p w:rsidR="00D90A18" w:rsidP="00750824" w:rsidRDefault="00D90A18" w14:paraId="7BD5FD64" w14:textId="77777777">
      <w:pPr>
        <w:jc w:val="both"/>
      </w:pPr>
    </w:p>
    <w:p w:rsidR="00983F19" w:rsidP="00750824" w:rsidRDefault="00000000" w14:paraId="5B66E501" w14:textId="77777777">
      <w:pPr>
        <w:pStyle w:val="Naslov3"/>
        <w:jc w:val="both"/>
      </w:pPr>
      <w:r>
        <w:t xml:space="preserve">Empfehlung 2.5 [RICHTLINIE]: Klare Regelung der territorialen Zuständigkeit</w:t>
      </w:r>
    </w:p>
    <w:p w:rsidR="00983F19" w:rsidP="00750824" w:rsidRDefault="00000000" w14:paraId="156C44FC" w14:textId="14D819C7">
      <w:pPr>
        <w:jc w:val="both"/>
      </w:pPr>
      <w:r>
        <w:t xml:space="preserve">Die Ministerien müssen in das Umsetzungsgesetz eine ausdrückliche Bestimmung aufnehmen, die die Arbeitsaufsichtsbehörde ermächtigt und verpflichtet, gegen jede Plattform vorzugehen</w:t>
      </w:r>
      <w:r w:rsidR="00FD0595">
        <w:t xml:space="preserve">,</w:t>
      </w:r>
      <w:r>
        <w:t xml:space="preserve"> die Arbeit auf dem Staatsgebiet organisiert</w:t>
      </w:r>
      <w:r w:rsidR="00FD0595">
        <w:t xml:space="preserve">, </w:t>
      </w:r>
      <w:r>
        <w:t xml:space="preserve">unabhängig vom Sitz der Plattform oder </w:t>
      </w:r>
      <w:r w:rsidR="00FD0595">
        <w:t xml:space="preserve">der Anwendung des in </w:t>
      </w:r>
      <w:r>
        <w:t xml:space="preserve">den Verträgen</w:t>
      </w:r>
      <w:r w:rsidR="00FD0595">
        <w:t xml:space="preserve"> festgelegten Rechtssystems</w:t>
      </w:r>
      <w:r>
        <w:t xml:space="preserve">. Die Berufung auf einen ausländischen Sitz oder die Wahl ausländischen Rechts als Grund für die Unzuständigkeit ist unzulässig. Plattformen, die ihren Sitz nicht in der EU haben, müssen über einen Vertreter in der Union verfügen. Wir empfehlen den Ministerien, ein ausdrückliches Verbot in das Gesetz aufzunehmen, wonach eine Plattform in Verhandlungen oder Verfahren vor Behörden ihren ausländischen Sitz nicht als Grund für eine Beschränkung ihrer Verpflichtungen geltend machen darf.</w:t>
      </w:r>
      <w:r>
        <w:rPr>
          <w:rStyle w:val="Sprotnaopomba-sklic"/>
        </w:rPr>
        <w:footnoteReference w:id="2"/>
      </w:r>
    </w:p>
    <w:p w:rsidR="00D90A18" w:rsidP="00750824" w:rsidRDefault="00D90A18" w14:paraId="759F476B" w14:textId="77777777">
      <w:pPr>
        <w:jc w:val="both"/>
      </w:pPr>
    </w:p>
    <w:p w:rsidR="00D90A18" w:rsidP="00750824" w:rsidRDefault="00000000" w14:paraId="7A83C5D5" w14:textId="011814CF">
      <w:pPr>
        <w:pStyle w:val="Blokbesedila"/>
      </w:pPr>
      <w:r>
        <w:t xml:space="preserve">Hintergrund: Artikel 1 Absatz 3 der Richtlinie schafft in Verbindung mit der Rom-I-Verordnung einen soliden Rechtsrahmen für die territoriale Zuständigkeit. Die Behauptungen einiger Plattformen</w:t>
      </w:r>
      <w:r w:rsidR="00FD0595">
        <w:t xml:space="preserve">, </w:t>
      </w:r>
      <w:r>
        <w:t xml:space="preserve">dass bestimmte Verpflichtungen für sie nicht gelten</w:t>
      </w:r>
      <w:r>
        <w:lastRenderedPageBreak/>
      </w:r>
      <w:r>
        <w:t xml:space="preserve"> oder dass bestimmte Behörden nicht </w:t>
      </w:r>
      <w:r w:rsidR="00792F1C">
        <w:t xml:space="preserve">zuständig</w:t>
      </w:r>
      <w:r>
        <w:t xml:space="preserve"> sind</w:t>
      </w:r>
      <w:r w:rsidR="00FD0595">
        <w:t xml:space="preserve">, </w:t>
      </w:r>
      <w:r>
        <w:t xml:space="preserve">stehen im Widerspruch zur Richtlinie und müssen bereits im Gesetzestext ausgeschlossen werden.</w:t>
      </w:r>
      <w:r>
        <w:rPr>
          <w:rStyle w:val="Sprotnaopomba-sklic"/>
        </w:rPr>
        <w:footnoteReference w:id="3"/>
      </w:r>
    </w:p>
    <w:p w:rsidR="00D90A18" w:rsidP="00750824" w:rsidRDefault="00D90A18" w14:paraId="2C498739" w14:textId="77777777">
      <w:pPr>
        <w:jc w:val="both"/>
      </w:pPr>
    </w:p>
    <w:p w:rsidR="00983F19" w:rsidP="00750824" w:rsidRDefault="00000000" w14:paraId="25DDBE1E" w14:textId="77777777">
      <w:pPr>
        <w:pStyle w:val="Naslov3"/>
        <w:jc w:val="both"/>
      </w:pPr>
      <w:r>
        <w:t xml:space="preserve">Empfehlung 2.6 [ÜBERTRIFFT DAS MINIMUM]: Der soziale Dialog als Instrument zur Feststellung des Anwendungsbereichs</w:t>
      </w:r>
    </w:p>
    <w:p w:rsidR="00983F19" w:rsidP="00750824" w:rsidRDefault="00000000" w14:paraId="46D33B99" w14:textId="77777777">
      <w:pPr>
        <w:jc w:val="both"/>
      </w:pPr>
      <w:r>
        <w:t xml:space="preserve">Die Ministerien sollten in das Umsetzungsgesetz einen Mechanismus aufnehmen, der es den Sozialpartnern ermöglicht, eine formelle Initiative zu ergreifen, um festzustellen, ob ein bestimmtes Geschäftsmodell die Kriterien der DLP erfüllt. Im Rahmen dieses Mechanismus sollte die zuständige Behörde innerhalb einer bestimmten Frist (z. B. 60 Tage) eine verbindliche Stellungnahme abgeben, die als Grundlage für weitere Verfahren dient. Solche Feststellungen basieren auf dem sozialen Dialog zwischen dem Ministerium, den Gewerkschaften und den Arbeitgebern und sind schneller, kostengünstiger und gerechter als Einzelklagen, die einzelne Arbeitnehmer oft nicht finanzieren können.</w:t>
      </w:r>
    </w:p>
    <w:p w:rsidR="00FD0595" w:rsidP="00750824" w:rsidRDefault="00FD0595" w14:paraId="1BEA3115" w14:textId="77777777">
      <w:pPr>
        <w:jc w:val="both"/>
      </w:pPr>
    </w:p>
    <w:p w:rsidR="00983F19" w:rsidP="00750824" w:rsidRDefault="00000000" w14:paraId="30A226FD" w14:textId="77777777">
      <w:pPr>
        <w:pStyle w:val="Blokbesedila"/>
      </w:pPr>
      <w:r>
        <w:t xml:space="preserve">Hintergrund: Der rote Faden dieses Dokuments ist, dass der soziale Dialog die Brücke sein wird, die die Lücke zwischen der Verabschiedung der Richtlinie und ihrer tatsächlichen Umsetzung schließt. Ein kollektiver Mechanismus zur Lösung von Fragen ist effizienter als individuelle Gerichtsverfahren.</w:t>
      </w:r>
    </w:p>
    <w:p w:rsidR="00D90A18" w:rsidP="00750824" w:rsidRDefault="00D90A18" w14:paraId="57BE798C" w14:textId="77777777">
      <w:pPr>
        <w:jc w:val="both"/>
      </w:pPr>
    </w:p>
    <w:p w:rsidRPr="00D90A18" w:rsidR="00983F19" w:rsidP="00750824" w:rsidRDefault="00000000" w14:paraId="4149CE32" w14:textId="77777777">
      <w:pPr>
        <w:jc w:val="both"/>
        <w:rPr>
          <w:rStyle w:val="Neenpoudarek"/>
        </w:rPr>
      </w:pPr>
      <w:r>
        <w:rPr>
          <w:rStyle w:val="Neenpoudarek"/>
        </w:rPr>
        <w:t xml:space="preserve">Anmerkung zur Umsetzung</w:t>
      </w:r>
    </w:p>
    <w:p w:rsidRPr="00D90A18" w:rsidR="00983F19" w:rsidP="00750824" w:rsidRDefault="00000000" w14:paraId="477821F1" w14:textId="4BED8176">
      <w:pPr>
        <w:jc w:val="both"/>
        <w:rPr>
          <w:rStyle w:val="Neenpoudarek"/>
        </w:rPr>
      </w:pPr>
      <w:r>
        <w:rPr>
          <w:rStyle w:val="Neenpoudarek"/>
        </w:rPr>
        <w:t xml:space="preserve">Die Definitionen in diesem Kapitel bilden die Grundlage für alle nachfolgenden Kapitel dieses Dokuments. Die rechtliche Vermutung eines Arbeitsverhältnisses (</w:t>
      </w:r>
      <w:r>
        <w:rPr>
          <w:rStyle w:val="Neenpoudarek"/>
        </w:rPr>
        <w:t xml:space="preserve">Kap</w:t>
      </w:r>
      <w:r>
        <w:rPr>
          <w:rStyle w:val="Neenpoudarek"/>
        </w:rPr>
        <w:t xml:space="preserve">. 4) ist nur dann wirksam, wenn der Begriff „DLP“ ohne sektorale Lücken übertragen wird. Die algorithmische Steuerung (</w:t>
      </w:r>
      <w:r>
        <w:rPr>
          <w:rStyle w:val="Neenpoudarek"/>
        </w:rPr>
        <w:t xml:space="preserve">Kap</w:t>
      </w:r>
      <w:r>
        <w:rPr>
          <w:rStyle w:val="Neenpoudarek"/>
        </w:rPr>
        <w:t xml:space="preserve">. 5) wird nur diejenigen schützen, die im Sinne der Richtlinie als „PPPW“ gelten. Kollektive Rechte (</w:t>
      </w:r>
      <w:r>
        <w:rPr>
          <w:rStyle w:val="Neenpoudarek"/>
        </w:rPr>
        <w:t xml:space="preserve">Kap</w:t>
      </w:r>
      <w:r>
        <w:rPr>
          <w:rStyle w:val="Neenpoudarek"/>
        </w:rPr>
        <w:t xml:space="preserve">. 7) werden nur dann zugänglich sein, wenn die Vermittlerkette klar geregelt ist. Die genaue Umsetzung der Artikel 1–3 ist keine formale Anforderung – sie ist eine Voraussetzung für den gesamten übrigen Schutz</w:t>
      </w:r>
      <w:r w:rsidR="00FD0595">
        <w:rPr>
          <w:rStyle w:val="Neenpoudarek"/>
        </w:rPr>
        <w:t xml:space="preserve">, der sich aus der Richtlinie ergibt</w:t>
      </w:r>
      <w:r>
        <w:rPr>
          <w:rStyle w:val="Neenpoudarek"/>
        </w:rPr>
        <w:t xml:space="preserve">.</w:t>
      </w:r>
    </w:p>
    <w:p w:rsidR="00750824" w:rsidRDefault="00750824" w14:paraId="1079C305" w14:textId="77777777">
      <w:pPr>
        <w:rPr>
          <w:b/>
          <w:bCs/>
          <w:color w:val="1F3864"/>
          <w:sz w:val="36"/>
          <w:szCs w:val="36"/>
        </w:rPr>
      </w:pPr>
      <w:bookmarkStart w:name="X2ed98e4ec239b0ccf1f85db2f0674c03d64541e" w:id="10"/>
      <w:bookmarkEnd w:id="4"/>
      <w:r>
        <w:br w:type="page"/>
      </w:r>
    </w:p>
    <w:p w:rsidR="00983F19" w:rsidP="00750824" w:rsidRDefault="00000000" w14:paraId="66BAE2DB" w14:textId="646347CD">
      <w:pPr>
        <w:pStyle w:val="Naslov1"/>
        <w:jc w:val="both"/>
      </w:pPr>
      <w:bookmarkStart w:name="_Toc233699484" w:id="11"/>
      <w:r>
        <w:lastRenderedPageBreak/>
      </w:r>
      <w:r>
        <w:t xml:space="preserve">Kapitel 3: Rechtsvermutung </w:t>
      </w:r>
      <w:r w:rsidR="00CF3B80">
        <w:t xml:space="preserve">des Arbeitsverhältnisses </w:t>
      </w:r>
      <w:r>
        <w:t xml:space="preserve">und Feststellung des arbeitsrechtlichen Status</w:t>
      </w:r>
      <w:bookmarkEnd w:id="11"/>
    </w:p>
    <w:p w:rsidR="00983F19" w:rsidP="00750824" w:rsidRDefault="00000000" w14:paraId="2A9DD044" w14:textId="77777777">
      <w:pPr>
        <w:pStyle w:val="Naslov2"/>
        <w:jc w:val="both"/>
      </w:pPr>
      <w:bookmarkStart w:name="_Toc233699485" w:id="12"/>
      <w:bookmarkStart w:name="zahteve-direktive" w:id="13"/>
      <w:r>
        <w:t xml:space="preserve">3.1 Anforderungen der Richtlinie</w:t>
      </w:r>
      <w:bookmarkEnd w:id="12"/>
    </w:p>
    <w:p w:rsidR="00983F19" w:rsidP="00750824" w:rsidRDefault="00000000" w14:paraId="034B78FA" w14:textId="75AB6398">
      <w:pPr>
        <w:jc w:val="both"/>
      </w:pPr>
      <w:r>
        <w:t xml:space="preserve">Die EU-Richtlinie 2024/2831 über </w:t>
      </w:r>
      <w:r>
        <w:t xml:space="preserve">Plattformarbeit </w:t>
      </w:r>
      <w:r w:rsidR="00C91807">
        <w:t xml:space="preserve">widmet </w:t>
      </w:r>
      <w:r>
        <w:t xml:space="preserve">der Frage des Beschäftigungsstatus </w:t>
      </w:r>
      <w:r>
        <w:t xml:space="preserve">Kapitel II (Artikel 4–6), das im Bericht der Expertengruppe der Europäischen Kommission zu Recht als zentraler Bereich der gesamten Richtlinie bezeichnet wird. Ohne eine wirksame Klärung der Frage, ob eine Person, die </w:t>
      </w:r>
      <w:r>
        <w:t xml:space="preserve">Plattformarbeit</w:t>
      </w:r>
      <w:r>
        <w:t xml:space="preserve"> verrichtet</w:t>
      </w:r>
      <w:r>
        <w:t xml:space="preserve">, Arbeitnehmer oder Selbstständiger </w:t>
      </w:r>
      <w:r>
        <w:t xml:space="preserve">ist</w:t>
      </w:r>
      <w:r>
        <w:t xml:space="preserve">, bleiben alle übrigen Bestimmungen der Richtlinie nahezu bedeutungslos.</w:t>
      </w:r>
    </w:p>
    <w:p w:rsidR="00D90A18" w:rsidP="00750824" w:rsidRDefault="00D90A18" w14:paraId="016CD21C" w14:textId="77777777">
      <w:pPr>
        <w:jc w:val="both"/>
      </w:pPr>
    </w:p>
    <w:p w:rsidR="00983F19" w:rsidP="00750824" w:rsidRDefault="00000000" w14:paraId="46C533FF" w14:textId="24CB1F4A">
      <w:pPr>
        <w:jc w:val="both"/>
      </w:pPr>
      <w:r>
        <w:rPr>
          <w:b/>
          <w:bCs/>
        </w:rPr>
        <w:t xml:space="preserve">Die Feststellung des korrekten Beschäftigungsstatus (Artikel 4) </w:t>
      </w:r>
      <w:r>
        <w:t xml:space="preserve">erfordert, dass die Mitgliedstaaten angemessene und wirksame Verfahren zur Feststellung des korrekten arbeitsrechtlichen Status von Personen einrichten, die </w:t>
      </w:r>
      <w:r>
        <w:t xml:space="preserve">Plattformarbeit</w:t>
      </w:r>
      <w:r>
        <w:t xml:space="preserve"> verrichten</w:t>
      </w:r>
      <w:r>
        <w:t xml:space="preserve">. Der Artikel führt den Grundsatz </w:t>
      </w:r>
      <w:r>
        <w:rPr>
          <w:b/>
          <w:bCs/>
        </w:rPr>
        <w:t xml:space="preserve">des Vorrangs der Tatsachen </w:t>
      </w:r>
      <w:r>
        <w:t xml:space="preserve">(</w:t>
      </w:r>
      <w:r w:rsidRPr="00792F1C">
        <w:t xml:space="preserve">„primacy </w:t>
      </w:r>
      <w:r w:rsidRPr="00792F1C">
        <w:t xml:space="preserve">of </w:t>
      </w:r>
      <w:r w:rsidRPr="00792F1C" w:rsidR="000D74B6">
        <w:t xml:space="preserve">facts“</w:t>
      </w:r>
      <w:r>
        <w:t xml:space="preserve">) </w:t>
      </w:r>
      <w:r>
        <w:t xml:space="preserve">ein</w:t>
      </w:r>
      <w:r>
        <w:t xml:space="preserve">: Bei der Feststellung des Vorliegens </w:t>
      </w:r>
      <w:r w:rsidR="00CF3B80">
        <w:t xml:space="preserve">eines Arbeitsverhältnisses </w:t>
      </w:r>
      <w:r>
        <w:t xml:space="preserve">müssen die Tatsachen stets Vorrang vor dem Willen der Parteien oder der vertraglichen Regelung des Verhältnisses haben. Mit anderen Worten: Eine Plattform kann nicht unter Berufung auf einen Vertrag, den sie selbst einseitig entworfen und zur Unterzeichnung vorgelegt hat, das Vorliegen </w:t>
      </w:r>
      <w:r w:rsidR="00CF3B80">
        <w:t xml:space="preserve">eines Arbeitsverhältnisses</w:t>
      </w:r>
      <w:r>
        <w:t xml:space="preserve"> ausschließen</w:t>
      </w:r>
      <w:r>
        <w:t xml:space="preserve">, das sich aus den tatsächlichen Arbeitsumständen ergibt. Artikel 4 verlangt zudem eine eindeutige Identifizierung des Arbeitgebers, was insbesondere in Fällen schwierig ist, in denen zwischen der Plattform und dem Arbeitnehmer eine Kette von Vermittlern oder Subunternehmern steht.</w:t>
      </w:r>
    </w:p>
    <w:p w:rsidR="00D90A18" w:rsidP="00750824" w:rsidRDefault="00D90A18" w14:paraId="1668947A" w14:textId="77777777">
      <w:pPr>
        <w:jc w:val="both"/>
      </w:pPr>
    </w:p>
    <w:p w:rsidR="00983F19" w:rsidP="00750824" w:rsidRDefault="00000000" w14:paraId="4514C0B2" w14:textId="42C2910F">
      <w:pPr>
        <w:jc w:val="both"/>
      </w:pPr>
      <w:r>
        <w:rPr>
          <w:b/>
          <w:bCs/>
        </w:rPr>
        <w:t xml:space="preserve">Die Rechtsvermutung </w:t>
      </w:r>
      <w:r w:rsidR="00CF3B80">
        <w:rPr>
          <w:b/>
          <w:bCs/>
        </w:rPr>
        <w:t xml:space="preserve">eines Arbeitsverhältnisses </w:t>
      </w:r>
      <w:r>
        <w:rPr>
          <w:b/>
          <w:bCs/>
        </w:rPr>
        <w:t xml:space="preserve">(Artikel 5) </w:t>
      </w:r>
      <w:r>
        <w:t xml:space="preserve">ist ein zentrales Instrument der Richtlinie. Sie begründet eine widerlegbare Rechtsvermutung, dass das Vertragsverhältnis zwischen einer digitalen Arbeitsplattform und einer Person, die über diese Plattform Arbeit verrichtet, </w:t>
      </w:r>
      <w:r w:rsidR="00CF3B80">
        <w:rPr>
          <w:b/>
          <w:bCs/>
        </w:rPr>
        <w:t xml:space="preserve">ein Arbeitsverhältnis</w:t>
      </w:r>
      <w:r>
        <w:t xml:space="preserve"> darstellt</w:t>
      </w:r>
      <w:r>
        <w:t xml:space="preserve">, wenn Tatsachen festgestellt werden, die auf Weisungen und Kontrolle (</w:t>
      </w:r>
      <w:r w:rsidRPr="00792F1C">
        <w:t xml:space="preserve">„direction </w:t>
      </w:r>
      <w:r w:rsidRPr="00792F1C">
        <w:t xml:space="preserve">and </w:t>
      </w:r>
      <w:r w:rsidRPr="00792F1C" w:rsidR="000D74B6">
        <w:t xml:space="preserve">control“</w:t>
      </w:r>
      <w:r>
        <w:t xml:space="preserve">) </w:t>
      </w:r>
      <w:r>
        <w:t xml:space="preserve">hindeuten</w:t>
      </w:r>
      <w:r>
        <w:t xml:space="preserve">. Die Richtlinie versteht diesen Begriff weit: Er umfasst nicht nur direkte Weisungen, sondern auch die indirekte Steuerung des Verhaltens durch algorithmische Systeme, Sanktionspraktiken und </w:t>
      </w:r>
      <w:r w:rsidR="000D74B6">
        <w:t xml:space="preserve">Druck </w:t>
      </w:r>
      <w:r>
        <w:t xml:space="preserve">(Erwägungsgrund 30). Bei der Umsetzung ist es entscheidend, dass der nationale Begriff </w:t>
      </w:r>
      <w:r w:rsidR="000D74B6">
        <w:t xml:space="preserve">„</w:t>
      </w:r>
      <w:r>
        <w:t xml:space="preserve">Anweisungen und </w:t>
      </w:r>
      <w:r w:rsidR="000D74B6">
        <w:t xml:space="preserve">Kontrolle“ </w:t>
      </w:r>
      <w:r>
        <w:t xml:space="preserve">(z. B. im slowenischen ZDR-1, Artikel 4) so ausgelegt wird, dass er auch diese indirekten Formen </w:t>
      </w:r>
      <w:r w:rsidR="000D74B6">
        <w:t xml:space="preserve">der Unterordnung</w:t>
      </w:r>
      <w:r>
        <w:t xml:space="preserve"> umfasst</w:t>
      </w:r>
      <w:r>
        <w:t xml:space="preserve">.</w:t>
      </w:r>
    </w:p>
    <w:p w:rsidR="00D90A18" w:rsidP="00750824" w:rsidRDefault="00D90A18" w14:paraId="4831453B" w14:textId="77777777">
      <w:pPr>
        <w:jc w:val="both"/>
      </w:pPr>
    </w:p>
    <w:p w:rsidR="00983F19" w:rsidP="00750824" w:rsidRDefault="00000000" w14:paraId="2539B6BC" w14:textId="77DCA821">
      <w:pPr>
        <w:jc w:val="both"/>
      </w:pPr>
      <w:r>
        <w:t xml:space="preserve">Die Beweislast (</w:t>
      </w:r>
      <w:r w:rsidRPr="00792F1C">
        <w:t xml:space="preserve">„burden </w:t>
      </w:r>
      <w:r w:rsidRPr="00792F1C">
        <w:t xml:space="preserve">of </w:t>
      </w:r>
      <w:r w:rsidRPr="00792F1C" w:rsidR="000D74B6">
        <w:t xml:space="preserve">proof“</w:t>
      </w:r>
      <w:r>
        <w:t xml:space="preserve">) für die Widerlegung dieser Vermutung wird auf die Plattform verlagert. Diese </w:t>
      </w:r>
      <w:r>
        <w:t xml:space="preserve">muss</w:t>
      </w:r>
      <w:r w:rsidR="000D74B6">
        <w:t xml:space="preserve">, wenn sie die Vermutung nicht akzeptiert, </w:t>
      </w:r>
      <w:r>
        <w:t xml:space="preserve">nachweisen, dass es sich bei dem Vertragsverhältnis nicht um </w:t>
      </w:r>
      <w:r w:rsidR="00CF3B80">
        <w:t xml:space="preserve">ein Arbeitsverhältnis</w:t>
      </w:r>
      <w:r>
        <w:t xml:space="preserve"> handelt</w:t>
      </w:r>
      <w:r>
        <w:t xml:space="preserve">. Die Richtlinie verschärft diesen Standard nicht durch die Forderung nach ergänzenden Kriterien</w:t>
      </w:r>
      <w:r w:rsidR="000D74B6">
        <w:t xml:space="preserve">; </w:t>
      </w:r>
      <w:r>
        <w:t xml:space="preserve">wie die Expertengruppe der Europäischen Kommission erläutert hat, </w:t>
      </w:r>
      <w:r>
        <w:rPr>
          <w:b/>
          <w:bCs/>
        </w:rPr>
        <w:t xml:space="preserve">verlangt </w:t>
      </w:r>
      <w:r>
        <w:t xml:space="preserve">Artikel 5 </w:t>
      </w:r>
      <w:r>
        <w:rPr>
          <w:b/>
          <w:bCs/>
        </w:rPr>
        <w:t xml:space="preserve">von den Mitgliedstaaten nicht, in ihren Umsetzungsmaßnahmen Kriterien festzulegen</w:t>
      </w:r>
      <w:r w:rsidR="000D74B6">
        <w:t xml:space="preserve">. </w:t>
      </w:r>
      <w:r>
        <w:t xml:space="preserve">Es reicht aus, Tatsachen festzustellen, die auf Weisungen und Kontrolle hindeuten. Der geforderte Beweisstandard ist vergleichbar mit </w:t>
      </w:r>
      <w:r>
        <w:rPr>
          <w:i/>
          <w:iCs/>
        </w:rPr>
        <w:t xml:space="preserve">dem Prima-facie-Prinzip </w:t>
      </w:r>
      <w:r>
        <w:t xml:space="preserve">im EU-Recht zum Diskriminierungsverbot: Es reicht aus, dass die Tatsachen eine Unterordnung zumindest wahrscheinlich oder möglich machen. Die Richtlinie verlangt keinen vollständigen Beweis.</w:t>
      </w:r>
    </w:p>
    <w:p w:rsidR="00D90A18" w:rsidP="00750824" w:rsidRDefault="00D90A18" w14:paraId="32241D05" w14:textId="77777777">
      <w:pPr>
        <w:jc w:val="both"/>
      </w:pPr>
    </w:p>
    <w:p w:rsidR="00983F19" w:rsidP="00750824" w:rsidRDefault="00000000" w14:paraId="2E7A10AD" w14:textId="5847BA8D">
      <w:pPr>
        <w:jc w:val="both"/>
      </w:pPr>
      <w:r>
        <w:t xml:space="preserve">Die Rechtsvermutung ist im Zusammenhang mit Erwägungsgrund 30 zu lesen, in dem betont wird, dass Anweisungen und Kontrolle bei </w:t>
      </w:r>
      <w:r>
        <w:t xml:space="preserve">der Plattformarbeit oft nicht direkt, sondern indirekt erfolgen </w:t>
      </w:r>
      <w:r w:rsidR="00D7386B">
        <w:t xml:space="preserve">– </w:t>
      </w:r>
      <w:r>
        <w:t xml:space="preserve">über algorithmische Systeme, Sanktionspraktiken und Druck, die ein bestimmtes Verhalten fördern. Die Plattformen verfügen über alle Daten zur Art des Verhältnisses, insbesondere über die Algorithmen, über die sie die Arbeitnehmer steuern. Genau dies rechtfertigt die Umkehr der Beweislast.</w:t>
      </w:r>
    </w:p>
    <w:p w:rsidR="00D90A18" w:rsidP="00750824" w:rsidRDefault="00D90A18" w14:paraId="1BDE77BE" w14:textId="77777777">
      <w:pPr>
        <w:jc w:val="both"/>
      </w:pPr>
    </w:p>
    <w:p w:rsidR="00983F19" w:rsidP="00750824" w:rsidRDefault="00000000" w14:paraId="40A48505" w14:textId="77777777">
      <w:pPr>
        <w:jc w:val="both"/>
      </w:pPr>
      <w:r>
        <w:t xml:space="preserve">Die Richtlinie sieht vor, dass die Rechtsvermutung in allen relevanten </w:t>
      </w:r>
      <w:r>
        <w:rPr>
          <w:b/>
          <w:bCs/>
        </w:rPr>
        <w:t xml:space="preserve">Verwaltungs- und Gerichtsverfahren </w:t>
      </w:r>
      <w:r>
        <w:t xml:space="preserve">zur Feststellung des Beschäftigungsstatus </w:t>
      </w:r>
      <w:r>
        <w:t xml:space="preserve">gilt</w:t>
      </w:r>
      <w:r>
        <w:t xml:space="preserve">. Sie gilt nicht automatisch in Steuer-,</w:t>
      </w:r>
      <w:r>
        <w:lastRenderedPageBreak/>
      </w:r>
      <w:r>
        <w:t xml:space="preserve"> Straf- und Sozialverfahren, obwohl die Mitgliedstaaten sie auch auf diese ausweiten dürfen. Die Anwendung der Vermutung ist nicht rückwirkend: Für Arbeitsverhältnisse, die vor dem 2. Dezember 2026 bestanden und zu diesem Zeitpunkt bereits geschlossen waren, werden die Rechte aus dem </w:t>
      </w:r>
      <w:r>
        <w:t xml:space="preserve">neu definierten </w:t>
      </w:r>
      <w:r>
        <w:t xml:space="preserve">Status nur für den Zeitraum nach diesem Datum anerkannt.</w:t>
      </w:r>
    </w:p>
    <w:p w:rsidR="00D90A18" w:rsidP="00750824" w:rsidRDefault="00D90A18" w14:paraId="028FF839" w14:textId="77777777">
      <w:pPr>
        <w:jc w:val="both"/>
      </w:pPr>
    </w:p>
    <w:p w:rsidR="00983F19" w:rsidP="00750824" w:rsidRDefault="00000000" w14:paraId="6832494B" w14:textId="6E9DCF73">
      <w:pPr>
        <w:jc w:val="both"/>
      </w:pPr>
      <w:r>
        <w:t xml:space="preserve">Von besonderer Bedeutung sind zwei Bestimmungen zur Einleitung von Verfahren. Gemäß Artikel 5 Absatz 4 haben </w:t>
      </w:r>
      <w:r>
        <w:t xml:space="preserve">Arbeitnehmer und ihre Vertreter </w:t>
      </w:r>
      <w:r>
        <w:rPr>
          <w:b/>
          <w:bCs/>
        </w:rPr>
        <w:t xml:space="preserve">das Recht</w:t>
      </w:r>
      <w:r>
        <w:t xml:space="preserve">, ein Verfahren einzuleiten. Gemäß Artikel 5 Absatz 5 sind die zuständigen nationalen Behörden </w:t>
      </w:r>
      <w:r>
        <w:rPr>
          <w:b/>
          <w:bCs/>
        </w:rPr>
        <w:t xml:space="preserve">verpflichtet</w:t>
      </w:r>
      <w:r>
        <w:t xml:space="preserve">, geeignete Maßnahmen oder Verfahren einzuleiten, wenn sie der Ansicht sind, dass eine Person möglicherweise falsch eingestuft wurde </w:t>
      </w:r>
      <w:r w:rsidR="00D7386B">
        <w:t xml:space="preserve">– </w:t>
      </w:r>
      <w:r>
        <w:t xml:space="preserve">und zwar </w:t>
      </w:r>
      <w:r>
        <w:rPr>
          <w:b/>
          <w:bCs/>
        </w:rPr>
        <w:t xml:space="preserve">unabhängig von der Zustimmung des Arbeitnehmers</w:t>
      </w:r>
      <w:r>
        <w:t xml:space="preserve">. Darüber hinaus hat die Arbeitnehmervertretung gemäß Artikel 19 der Richtlinie das Recht, in Verfahren im Namen eines oder mehrerer Arbeitnehmer aufzutreten, was den Weg für die kollektive Durchsetzung von Rechten ebnet.</w:t>
      </w:r>
    </w:p>
    <w:p w:rsidR="00D90A18" w:rsidP="00750824" w:rsidRDefault="00D90A18" w14:paraId="6C32B0FD" w14:textId="77777777">
      <w:pPr>
        <w:jc w:val="both"/>
      </w:pPr>
    </w:p>
    <w:p w:rsidR="00983F19" w:rsidP="00750824" w:rsidRDefault="00000000" w14:paraId="6FBCDC95" w14:textId="476D66BA">
      <w:pPr>
        <w:jc w:val="both"/>
      </w:pPr>
      <w:r>
        <w:rPr>
          <w:b/>
          <w:bCs/>
        </w:rPr>
        <w:t xml:space="preserve">Der Rahmen für unterstützende Maßnahmen (Artikel 6) </w:t>
      </w:r>
      <w:r>
        <w:t xml:space="preserve">verpflichtet die Mitgliedstaaten, einen umfassenden Rahmen von Maßnahmen zur wirksamen Umsetzung der Rechtsvermutung zu schaffen. Dieser Rahmen muss die Ausarbeitung von Leitlinien und praktischen Empfehlungen für Plattformen, Arbeitnehmer und Sozialpartner umfassen; die Einrichtung von Verfahren, mit denen die zuständigen Behörden proaktiv Plattformen identifizieren, gezielt gegen sie vorgehen und sie ahnden, die gegen die Vorschriften zum Beschäftigungsstatus verstoßen; wirksame Kontrollen und Inspektionen, insbesondere bei Plattformen, bei denen </w:t>
      </w:r>
      <w:r>
        <w:t xml:space="preserve">bereits </w:t>
      </w:r>
      <w:r w:rsidR="00CF3B80">
        <w:t xml:space="preserve">ein Beschäftigungsverhältnis </w:t>
      </w:r>
      <w:r>
        <w:t xml:space="preserve">festgestellt </w:t>
      </w:r>
      <w:r w:rsidR="00CF3B80">
        <w:t xml:space="preserve">wurde</w:t>
      </w:r>
      <w:r>
        <w:t xml:space="preserve">; sowie eine angemessene Schulung der Kontrollbehörden, einschließlich technischer Fachkenntnisse im Bereich des algorithmischen Managements.</w:t>
      </w:r>
    </w:p>
    <w:p w:rsidR="00983F19" w:rsidP="00750824" w:rsidRDefault="00000000" w14:paraId="3B6737F1" w14:textId="77777777">
      <w:pPr>
        <w:pStyle w:val="Naslov2"/>
        <w:jc w:val="both"/>
      </w:pPr>
      <w:bookmarkStart w:name="_Toc233699486" w:id="14"/>
      <w:bookmarkStart w:name="ugotovitve-iz-prakse" w:id="15"/>
      <w:bookmarkEnd w:id="13"/>
      <w:r>
        <w:t xml:space="preserve">3.2 Erkenntnisse aus der Praxis</w:t>
      </w:r>
      <w:bookmarkEnd w:id="14"/>
    </w:p>
    <w:p w:rsidR="00983F19" w:rsidP="00750824" w:rsidRDefault="00000000" w14:paraId="01D9DD1D" w14:textId="77777777">
      <w:pPr>
        <w:pStyle w:val="Naslov3"/>
        <w:jc w:val="both"/>
      </w:pPr>
      <w:bookmarkStart w:name="praznina-med-pravico-in-stvarnostjo" w:id="16"/>
      <w:r>
        <w:t xml:space="preserve">Die Kluft zwischen Recht und Realität</w:t>
      </w:r>
    </w:p>
    <w:p w:rsidR="00983F19" w:rsidP="00750824" w:rsidRDefault="00000000" w14:paraId="1E045CBB" w14:textId="58FAC5BB">
      <w:pPr>
        <w:jc w:val="both"/>
      </w:pPr>
      <w:r>
        <w:t xml:space="preserve">Die Erfahrungen aus den Partnerländern des SDDP-Projekts zeigen, dass die Frage der Rechtsvermutung und der Feststellung des Beschäftigungsstatus der komplexeste und politisch sensibelste Bereich bei der Umsetzung der Richtlinie ist. Gleichzeitig ist er entscheidend für alle übrigen Rechte: Ohne Beschäftigungsstatus haben Gewerkschaften kein Recht, Arbeitnehmer zu vertreten; ohne Beschäftigungsstatus gilt der Tarifvertrag nicht für den Arbeitnehmer; ohne Beschäftigungsstatus gibt es keine </w:t>
      </w:r>
      <w:r w:rsidR="000D74B6">
        <w:t xml:space="preserve">Arbeitnehmer- und </w:t>
      </w:r>
      <w:r>
        <w:t xml:space="preserve">Sozialrechte</w:t>
      </w:r>
      <w:r w:rsidR="000D74B6">
        <w:t xml:space="preserve">.</w:t>
      </w:r>
    </w:p>
    <w:p w:rsidR="000D74B6" w:rsidP="00750824" w:rsidRDefault="000D74B6" w14:paraId="2F2FEA86" w14:textId="77777777">
      <w:pPr>
        <w:jc w:val="both"/>
      </w:pPr>
    </w:p>
    <w:p w:rsidR="00983F19" w:rsidP="00750824" w:rsidRDefault="00000000" w14:paraId="28663872" w14:textId="77777777">
      <w:pPr>
        <w:jc w:val="both"/>
      </w:pPr>
      <w:r>
        <w:t xml:space="preserve">Die Zwischenkonferenz des SDDP-Projekts (Ljubljana, Mai 2025) hat dies eindeutig bestätigt: Ohne Beschäftigungsstatus bleiben alle übrigen Rechte aus der Richtlinie unerreichbar.</w:t>
      </w:r>
    </w:p>
    <w:p w:rsidR="00983F19" w:rsidP="00750824" w:rsidRDefault="00000000" w14:paraId="749034F8" w14:textId="77777777">
      <w:pPr>
        <w:pStyle w:val="Naslov3"/>
        <w:jc w:val="both"/>
      </w:pPr>
      <w:bookmarkStart w:name="Xb628c4a68f4dd592c51cb0fabb9c985081de79b" w:id="17"/>
      <w:bookmarkEnd w:id="16"/>
      <w:r>
        <w:t xml:space="preserve">Spanien: Von der Missachtung des Gesetzes bis zur Androhung einer Freiheitsstrafe</w:t>
      </w:r>
    </w:p>
    <w:p w:rsidR="00983F19" w:rsidP="00750824" w:rsidRDefault="00000000" w14:paraId="5B4CF9D7" w14:textId="789C054D">
      <w:pPr>
        <w:jc w:val="both"/>
      </w:pPr>
      <w:r>
        <w:t xml:space="preserve">Spanien bietet </w:t>
      </w:r>
      <w:r>
        <w:t xml:space="preserve">die</w:t>
      </w:r>
      <w:r w:rsidR="000D74B6">
        <w:t xml:space="preserve"> umfassendste </w:t>
      </w:r>
      <w:r>
        <w:t xml:space="preserve">Erfahrung </w:t>
      </w:r>
      <w:r w:rsidR="00D7386B">
        <w:t xml:space="preserve">– </w:t>
      </w:r>
      <w:r>
        <w:t xml:space="preserve">sowohl was Erfolge als auch was Gefahren angeht. Nach gerichtlichen Erfolgen der Gewerkschaften verabschiedete die spanische Regierung im Jahr 2021 </w:t>
      </w:r>
      <w:r>
        <w:t xml:space="preserve">das</w:t>
      </w:r>
      <w:r>
        <w:t xml:space="preserve"> sogenannte </w:t>
      </w:r>
      <w:r>
        <w:t xml:space="preserve">„Lieferanten-Gesetz“ (</w:t>
      </w:r>
      <w:r>
        <w:rPr>
          <w:i/>
          <w:iCs/>
        </w:rPr>
        <w:t xml:space="preserve">„Ley </w:t>
      </w:r>
      <w:r w:rsidR="000D74B6">
        <w:rPr>
          <w:i/>
          <w:iCs/>
        </w:rPr>
        <w:t xml:space="preserve">Rider“</w:t>
      </w:r>
      <w:r>
        <w:t xml:space="preserve">), das für den Bereich der Lebensmittellieferungen eine Vermutung </w:t>
      </w:r>
      <w:r w:rsidR="00CF3B80">
        <w:t xml:space="preserve">des Arbeitsverhältnisses</w:t>
      </w:r>
      <w:r>
        <w:t xml:space="preserve"> einführt</w:t>
      </w:r>
      <w:r>
        <w:t xml:space="preserve">. Die Reaktion der Plattformen war sehr vielsagend und verlief in drei Phasen.</w:t>
      </w:r>
    </w:p>
    <w:p w:rsidR="000D74B6" w:rsidP="00750824" w:rsidRDefault="000D74B6" w14:paraId="2F0C8863" w14:textId="77777777">
      <w:pPr>
        <w:jc w:val="both"/>
      </w:pPr>
    </w:p>
    <w:p w:rsidR="00983F19" w:rsidP="00750824" w:rsidRDefault="00000000" w14:paraId="33198EBD" w14:textId="4A6FB9E6">
      <w:pPr>
        <w:jc w:val="both"/>
      </w:pPr>
      <w:r>
        <w:t xml:space="preserve">In der ersten Phase </w:t>
      </w:r>
      <w:r>
        <w:t xml:space="preserve">kündigte</w:t>
      </w:r>
      <w:r>
        <w:t xml:space="preserve"> </w:t>
      </w:r>
      <w:r>
        <w:t xml:space="preserve">Glovo </w:t>
      </w:r>
      <w:r w:rsidR="00D7386B">
        <w:t xml:space="preserve">– </w:t>
      </w:r>
      <w:r>
        <w:t xml:space="preserve">die größte spanische Plattform mit rund 12.000 Lieferfahrern </w:t>
      </w:r>
      <w:r w:rsidR="00D7386B">
        <w:t xml:space="preserve">– </w:t>
      </w:r>
      <w:r>
        <w:t xml:space="preserve">die Einstellung von nur etwa 2.000 Personen (20 %) an. Die angebotenen Arbeitsverträge sahen eine minimale wöchentliche Stundenzahl vor und enthielten Bedingungen, die deutlich schlechter waren als das bisherige Einkommen, sodass die meisten Lieferfahrer sie nicht annahmen. Gleichzeitig</w:t>
      </w:r>
      <w:r>
        <w:t xml:space="preserve"> änderte</w:t>
      </w:r>
      <w:r>
        <w:t xml:space="preserve"> </w:t>
      </w:r>
      <w:r>
        <w:t xml:space="preserve">Glovo </w:t>
      </w:r>
      <w:r>
        <w:t xml:space="preserve">die algorithmischen Parameter so, dass der Anschein von Autonomie erweckt wurde </w:t>
      </w:r>
      <w:r w:rsidR="00D7386B">
        <w:t xml:space="preserve">– </w:t>
      </w:r>
      <w:r>
        <w:t xml:space="preserve">freie Anmeldung ohne Terminauswahl, die Möglichkeit, Aufträge abzulehnen </w:t>
      </w:r>
      <w:r w:rsidR="00D7386B">
        <w:t xml:space="preserve">–</w:t>
      </w:r>
      <w:r>
        <w:t xml:space="preserve">, womit das Unternehmen versuchte, Elemente </w:t>
      </w:r>
      <w:r w:rsidR="000D74B6">
        <w:t xml:space="preserve">der Unterordnung der Beschäftigten </w:t>
      </w:r>
      <w:r>
        <w:t xml:space="preserve">zu untergraben</w:t>
      </w:r>
      <w:r>
        <w:t xml:space="preserve">.</w:t>
      </w:r>
    </w:p>
    <w:p w:rsidR="000D74B6" w:rsidP="00750824" w:rsidRDefault="000D74B6" w14:paraId="6D06A04D" w14:textId="77777777">
      <w:pPr>
        <w:jc w:val="both"/>
      </w:pPr>
    </w:p>
    <w:p w:rsidR="00983F19" w:rsidP="00750824" w:rsidRDefault="00000000" w14:paraId="7685B622" w14:textId="51AC6A7F">
      <w:pPr>
        <w:jc w:val="both"/>
      </w:pPr>
      <w:r>
        <w:lastRenderedPageBreak/>
      </w:r>
      <w:r>
        <w:t xml:space="preserve">In einer zweiten Phase folgten Jahre voller Rechtsstreitigkeiten. Die spanische Arbeitsaufsichtsbehörde </w:t>
      </w:r>
      <w:r>
        <w:t xml:space="preserve">verhängte</w:t>
      </w:r>
      <w:r>
        <w:t xml:space="preserve"> </w:t>
      </w:r>
      <w:r w:rsidR="000D74B6">
        <w:t xml:space="preserve">gegen Glovo </w:t>
      </w:r>
      <w:r>
        <w:t xml:space="preserve">eine Rekordstrafe in Höhe von 79 Millionen Euro, während die Sozialversicherungsbehörde insgesamt rund 450 Millionen Euro an Strafen und ausstehenden Beiträgen forderte. Die Gerichte entschieden konsequent zugunsten der Arbeitnehmer. Im Jahr 2022 änderte Spanien das Strafgesetzbuch so, dass die Scheinselbstständigkeit zu einer Straftat wurde.</w:t>
      </w:r>
    </w:p>
    <w:p w:rsidR="000D74B6" w:rsidP="00750824" w:rsidRDefault="000D74B6" w14:paraId="73B12AA2" w14:textId="77777777">
      <w:pPr>
        <w:jc w:val="both"/>
      </w:pPr>
    </w:p>
    <w:p w:rsidR="00983F19" w:rsidP="00750824" w:rsidRDefault="00000000" w14:paraId="02A92F84" w14:textId="71AF2FA0">
      <w:pPr>
        <w:jc w:val="both"/>
      </w:pPr>
      <w:r>
        <w:t xml:space="preserve">Die entscheidende Wende trat erst in der dritten Phase ein, als der Mitbegründer und Geschäftsführer </w:t>
      </w:r>
      <w:r>
        <w:t xml:space="preserve">von Glovo, </w:t>
      </w:r>
      <w:r>
        <w:t xml:space="preserve">Óscar </w:t>
      </w:r>
      <w:r>
        <w:t xml:space="preserve">Pierre, strafrechtlich verfolgt </w:t>
      </w:r>
      <w:r>
        <w:t xml:space="preserve">wurde</w:t>
      </w:r>
      <w:r>
        <w:t xml:space="preserve">. Am Tag vor der Gerichtsverhandlung </w:t>
      </w:r>
      <w:r w:rsidR="00D7386B">
        <w:t xml:space="preserve">– </w:t>
      </w:r>
      <w:r>
        <w:t xml:space="preserve">im Dezember 2024 </w:t>
      </w:r>
      <w:r w:rsidR="00D7386B">
        <w:t xml:space="preserve">– </w:t>
      </w:r>
      <w:r>
        <w:t xml:space="preserve">gab</w:t>
      </w:r>
      <w:r>
        <w:t xml:space="preserve"> </w:t>
      </w:r>
      <w:r>
        <w:t xml:space="preserve">Glovo </w:t>
      </w:r>
      <w:r>
        <w:t xml:space="preserve">bekannt, dass </w:t>
      </w:r>
      <w:r>
        <w:t xml:space="preserve">alle Lieferfahrer </w:t>
      </w:r>
      <w:r w:rsidR="000D74B6">
        <w:t xml:space="preserve">fest angestellt </w:t>
      </w:r>
      <w:r w:rsidR="000D74B6">
        <w:t xml:space="preserve">würden</w:t>
      </w:r>
      <w:r>
        <w:t xml:space="preserve">. Diese Erfahrung zeigt eindeutig, dass eine klare gesetzliche Regelung zur Rechtsvermutung </w:t>
      </w:r>
      <w:r w:rsidR="00CF3B80">
        <w:t xml:space="preserve">eines Arbeitsverhältnisses </w:t>
      </w:r>
      <w:r>
        <w:t xml:space="preserve">allein nicht ausreicht </w:t>
      </w:r>
      <w:r w:rsidR="00D7386B">
        <w:t xml:space="preserve">– </w:t>
      </w:r>
      <w:r w:rsidR="000D74B6">
        <w:t xml:space="preserve">erforderlich </w:t>
      </w:r>
      <w:r>
        <w:t xml:space="preserve">ist </w:t>
      </w:r>
      <w:r w:rsidR="000D74B6">
        <w:t xml:space="preserve">eine wirksame Durchsetzung</w:t>
      </w:r>
      <w:r>
        <w:t xml:space="preserve">, die über rein finanzielle Sanktionen hinausgeht und die strafrechtliche Verantwortung der Verantwortlichen einbezieht.</w:t>
      </w:r>
    </w:p>
    <w:p w:rsidR="000D74B6" w:rsidP="00750824" w:rsidRDefault="000D74B6" w14:paraId="7C98E11A" w14:textId="77777777">
      <w:pPr>
        <w:jc w:val="both"/>
      </w:pPr>
    </w:p>
    <w:p w:rsidR="00983F19" w:rsidP="00750824" w:rsidRDefault="00000000" w14:paraId="2F90837E" w14:textId="6BB51443">
      <w:pPr>
        <w:jc w:val="both"/>
      </w:pPr>
      <w:r>
        <w:t xml:space="preserve">Gleichzeitig </w:t>
      </w:r>
      <w:r>
        <w:t xml:space="preserve">zeigt die</w:t>
      </w:r>
      <w:r w:rsidR="000D74B6">
        <w:t xml:space="preserve"> spanische </w:t>
      </w:r>
      <w:r>
        <w:t xml:space="preserve">Erfahrung eine systemische Einschränkung auf: Das Gesetz über Lieferfahrer gilt nur für die Lieferung von Lebensmitteln, nicht jedoch für alle </w:t>
      </w:r>
      <w:r>
        <w:t xml:space="preserve">Plattformarbeiter. </w:t>
      </w:r>
      <w:r>
        <w:t xml:space="preserve">Uber </w:t>
      </w:r>
      <w:r>
        <w:t xml:space="preserve">Eats </w:t>
      </w:r>
      <w:r>
        <w:t xml:space="preserve">hat nach Verabschiedung des Gesetzes sein gesamtes Geschäftsmodell auf ein System umgestellt</w:t>
      </w:r>
      <w:r w:rsidR="000D74B6">
        <w:t xml:space="preserve">, </w:t>
      </w:r>
      <w:r>
        <w:t xml:space="preserve">das </w:t>
      </w:r>
      <w:r>
        <w:t xml:space="preserve">ausschließlich auf Subunternehmern </w:t>
      </w:r>
      <w:r w:rsidR="000D74B6">
        <w:t xml:space="preserve">basiert</w:t>
      </w:r>
      <w:r w:rsidR="000D74B6">
        <w:t xml:space="preserve">,</w:t>
      </w:r>
      <w:r w:rsidR="000D74B6">
        <w:t xml:space="preserve"> </w:t>
      </w:r>
      <w:r>
        <w:t xml:space="preserve">das</w:t>
      </w:r>
      <w:r w:rsidR="000D74B6">
        <w:t xml:space="preserve"> sogenannte </w:t>
      </w:r>
      <w:r>
        <w:t xml:space="preserve">„Fleet-System“</w:t>
      </w:r>
      <w:r w:rsidR="000D74B6">
        <w:t xml:space="preserve">, </w:t>
      </w:r>
      <w:r>
        <w:t xml:space="preserve">und damit formal die Anforderung einer Festanstellung erfüllt, </w:t>
      </w:r>
      <w:r>
        <w:t xml:space="preserve">die prekäre Beschäftigungsverhältnisse</w:t>
      </w:r>
      <w:r>
        <w:t xml:space="preserve"> jedoch über Vermittler reproduziert</w:t>
      </w:r>
      <w:r>
        <w:t xml:space="preserve">. Dies zeigt, dass jede sektorbezogene Regulierung </w:t>
      </w:r>
      <w:r w:rsidR="000D74B6">
        <w:t xml:space="preserve">ineffizient</w:t>
      </w:r>
      <w:r>
        <w:t xml:space="preserve"> ist</w:t>
      </w:r>
      <w:r>
        <w:t xml:space="preserve">.</w:t>
      </w:r>
    </w:p>
    <w:p w:rsidR="00983F19" w:rsidP="00750824" w:rsidRDefault="00000000" w14:paraId="56113684" w14:textId="77777777">
      <w:pPr>
        <w:pStyle w:val="Naslov3"/>
        <w:jc w:val="both"/>
      </w:pPr>
      <w:bookmarkStart w:name="belgija-domneva-brez-izvršbe" w:id="18"/>
      <w:bookmarkEnd w:id="17"/>
      <w:r>
        <w:t xml:space="preserve">Belgien: Vermutung ohne Durchsetzung</w:t>
      </w:r>
    </w:p>
    <w:p w:rsidR="00983F19" w:rsidP="00750824" w:rsidRDefault="00000000" w14:paraId="6D654A34" w14:textId="7244F666">
      <w:pPr>
        <w:jc w:val="both"/>
      </w:pPr>
      <w:r w:rsidR="00792F1C">
        <w:t xml:space="preserve">Die Erfahrungen in Belgien </w:t>
      </w:r>
      <w:r w:rsidR="000D74B6">
        <w:t xml:space="preserve">zeigen </w:t>
      </w:r>
      <w:r>
        <w:t xml:space="preserve">ein besorgniserregendes Muster. Die belgische Gesetzgebung enthält eine Variante der rechtlichen Vermutung </w:t>
      </w:r>
      <w:r w:rsidR="00CF3B80">
        <w:t xml:space="preserve">des Arbeitsverhältnisses</w:t>
      </w:r>
      <w:r>
        <w:t xml:space="preserve">, doch in der Praxis hat sich nichts geändert. Auf einer Konferenz in Ljubljana erklärte ein belgischer Gewerkschaftsvertreter, dass das Vorhandensein einer gesetzlichen Bestimmung zur Vermutung ohne entsprechende Kontrollkapazitäten und Sanktionen nur ein toter Buchstabe </w:t>
      </w:r>
      <w:r w:rsidR="000D74B6">
        <w:t xml:space="preserve">auf dem Papier </w:t>
      </w:r>
      <w:r>
        <w:t xml:space="preserve">sei</w:t>
      </w:r>
      <w:r>
        <w:t xml:space="preserve">: </w:t>
      </w:r>
      <w:r>
        <w:rPr>
          <w:i/>
          <w:iCs/>
        </w:rPr>
        <w:t xml:space="preserve">„Belgien hat eine Liste von Kriterien für ein Arbeitsverhältnis, aber </w:t>
      </w:r>
      <w:r w:rsidR="000D74B6">
        <w:rPr>
          <w:i/>
          <w:iCs/>
        </w:rPr>
        <w:t xml:space="preserve">es fehlt die Durchsetzung des Gesetzes</w:t>
      </w:r>
      <w:r>
        <w:rPr>
          <w:i/>
          <w:iCs/>
        </w:rPr>
        <w:t xml:space="preserve">.“</w:t>
      </w:r>
      <w:r>
        <w:t xml:space="preserve"> Der Fall </w:t>
      </w:r>
      <w:r>
        <w:t xml:space="preserve">von „Takeaway“</w:t>
      </w:r>
      <w:r>
        <w:t xml:space="preserve">, das als Werbeunternehmen registriert ist, um die besser bezahlten Branchentarifverträge des Transportsektors zu umgehen, verdeutlicht, dass die Plattformen jede Gesetzeslücke ausnutzen </w:t>
      </w:r>
      <w:r w:rsidR="00D7386B">
        <w:t xml:space="preserve">– </w:t>
      </w:r>
      <w:r>
        <w:t xml:space="preserve">von der Vertragsform bis zur Branchenzuordnung.</w:t>
      </w:r>
    </w:p>
    <w:p w:rsidR="00983F19" w:rsidP="00750824" w:rsidRDefault="00000000" w14:paraId="61DCAE71" w14:textId="77777777">
      <w:pPr>
        <w:pStyle w:val="Naslov3"/>
        <w:jc w:val="both"/>
      </w:pPr>
      <w:bookmarkStart w:name="italija-tretji-status-kot-past" w:id="19"/>
      <w:bookmarkEnd w:id="18"/>
      <w:r>
        <w:t xml:space="preserve">Italien: Der dritte Status als Falle</w:t>
      </w:r>
    </w:p>
    <w:p w:rsidR="00983F19" w:rsidP="00750824" w:rsidRDefault="00000000" w14:paraId="6A1D0123" w14:textId="1A771B3B">
      <w:pPr>
        <w:jc w:val="both"/>
      </w:pPr>
      <w:r>
        <w:t xml:space="preserve">Italien steht vor einer besonderen Herausforderung: Neben der klassischen Unterscheidung zwischen Arbeitnehmern und Selbstständigen gibt es zwei Zwischenkategorien. Die Gewerkschaften </w:t>
      </w:r>
      <w:r w:rsidR="006928D1">
        <w:t xml:space="preserve">warnen </w:t>
      </w:r>
      <w:r>
        <w:t xml:space="preserve">davor, dass die Richtlinie, wenn sie unachtsam umgesetzt wird, </w:t>
      </w:r>
      <w:r w:rsidRPr="00792F1C">
        <w:t xml:space="preserve">den </w:t>
      </w:r>
      <w:r>
        <w:t xml:space="preserve">dritten Status (</w:t>
      </w:r>
      <w:r w:rsidRPr="00792F1C">
        <w:t xml:space="preserve">„para-subordinate </w:t>
      </w:r>
      <w:r w:rsidR="006928D1">
        <w:t xml:space="preserve">workers“</w:t>
      </w:r>
      <w:r>
        <w:t xml:space="preserve">) </w:t>
      </w:r>
      <w:r w:rsidR="006928D1">
        <w:t xml:space="preserve">legalisieren</w:t>
      </w:r>
      <w:r>
        <w:t xml:space="preserve"> würde</w:t>
      </w:r>
      <w:r>
        <w:t xml:space="preserve">, den die Plattformen als </w:t>
      </w:r>
      <w:r>
        <w:t xml:space="preserve">„Lösung“</w:t>
      </w:r>
      <w:r>
        <w:t xml:space="preserve"> vorschlagen</w:t>
      </w:r>
      <w:r w:rsidR="006928D1">
        <w:t xml:space="preserve">. </w:t>
      </w:r>
      <w:r>
        <w:t xml:space="preserve">Die Erfahrung </w:t>
      </w:r>
      <w:r>
        <w:t xml:space="preserve">von JustEat</w:t>
      </w:r>
      <w:r>
        <w:t xml:space="preserve">, das als einziges unter den großen Plattformen echte Arbeitsverträge abgeschlossen hat, zeigt, dass dies möglich ist </w:t>
      </w:r>
      <w:r w:rsidR="00D7386B">
        <w:t xml:space="preserve">– </w:t>
      </w:r>
      <w:r>
        <w:t xml:space="preserve">doch der politische Kontext </w:t>
      </w:r>
      <w:r>
        <w:t xml:space="preserve">einer rechtsextremen Regierung blockiert die Umsetzung der Richtlinie. Die Gewerkschaften konzentrieren sich daher auf regionale Vereinbarungen und Tarifverhandlungen.</w:t>
      </w:r>
    </w:p>
    <w:p w:rsidR="00983F19" w:rsidP="00750824" w:rsidRDefault="00000000" w14:paraId="75C17E9E" w14:textId="77777777">
      <w:pPr>
        <w:pStyle w:val="Naslov3"/>
        <w:jc w:val="both"/>
      </w:pPr>
      <w:bookmarkStart w:name="slovenija-čakanje-na-ministrstvo" w:id="20"/>
      <w:bookmarkEnd w:id="19"/>
      <w:r>
        <w:t xml:space="preserve">Slowenien: Warten auf das Ministerium</w:t>
      </w:r>
    </w:p>
    <w:p w:rsidR="00983F19" w:rsidP="00750824" w:rsidRDefault="00000000" w14:paraId="1B236A9D" w14:textId="3D37079A">
      <w:pPr>
        <w:jc w:val="both"/>
      </w:pPr>
      <w:r>
        <w:t xml:space="preserve">In Slowenien </w:t>
      </w:r>
      <w:r>
        <w:t xml:space="preserve">dominiert </w:t>
      </w:r>
      <w:r>
        <w:t xml:space="preserve">Wolt </w:t>
      </w:r>
      <w:r>
        <w:t xml:space="preserve">den Markt </w:t>
      </w:r>
      <w:r>
        <w:t xml:space="preserve">für Plattform-Lieferdienste mit einem Modell der Selbstständigkeit. Die Gewerkschaften sehen sich mit einer Ambivalenz unter den Beschäftigten selbst konfrontiert: Die Beschäftigten erkennen ihre Abhängigkeit von der Plattform an, erwarten aber gleichzeitig, dass das Ministerium das Problem löst </w:t>
      </w:r>
      <w:r w:rsidR="00D7386B">
        <w:t xml:space="preserve">– </w:t>
      </w:r>
      <w:r>
        <w:t xml:space="preserve">und nicht die Tarifverhandlungen. </w:t>
      </w:r>
      <w:r w:rsidR="006928D1">
        <w:t xml:space="preserve">Nach den Parlamentswahlen </w:t>
      </w:r>
      <w:r>
        <w:t xml:space="preserve">im März 2026 ist der politische Wille für eine ambitionierte Umsetzung der Richtlinie ungewiss. Slowenien wartet traditionell bis zum letzten Moment, wenn es um die Umsetzung europäischer Richtlinien geht. Gleichzeitig schlägt der Gewerkschaftsverband ZSSS in seinen Leitlinien zur Umsetzung vom April 2025 vor, dass Slowenien die Richtlinie nutzen sollte, um</w:t>
      </w:r>
      <w:r>
        <w:lastRenderedPageBreak/>
      </w:r>
      <w:r>
        <w:t xml:space="preserve"> systemische Veränderungen </w:t>
      </w:r>
      <w:r>
        <w:t xml:space="preserve">durchzusetzen</w:t>
      </w:r>
      <w:r>
        <w:t xml:space="preserve">: die Einführung </w:t>
      </w:r>
      <w:r>
        <w:rPr>
          <w:b/>
          <w:bCs/>
        </w:rPr>
        <w:t xml:space="preserve">einer allgemeinen Vermutung </w:t>
      </w:r>
      <w:r w:rsidR="00CF3B80">
        <w:rPr>
          <w:b/>
          <w:bCs/>
        </w:rPr>
        <w:t xml:space="preserve">eines Arbeitsverhältnisses bzw. einer Beschäftigung </w:t>
      </w:r>
      <w:r>
        <w:rPr>
          <w:b/>
          <w:bCs/>
        </w:rPr>
        <w:t xml:space="preserve">für alle Tätigkeiten in </w:t>
      </w:r>
      <w:r w:rsidR="006928D1">
        <w:rPr>
          <w:b/>
          <w:bCs/>
        </w:rPr>
        <w:t xml:space="preserve">Slowenien</w:t>
      </w:r>
      <w:r w:rsidR="006928D1">
        <w:t xml:space="preserve">, </w:t>
      </w:r>
      <w:r>
        <w:t xml:space="preserve">nicht nur für </w:t>
      </w:r>
      <w:r>
        <w:t xml:space="preserve">Plattformarbeit.</w:t>
      </w:r>
    </w:p>
    <w:p w:rsidR="00983F19" w:rsidP="00750824" w:rsidRDefault="00000000" w14:paraId="38BDBC36" w14:textId="77777777">
      <w:pPr>
        <w:pStyle w:val="Naslov3"/>
        <w:jc w:val="both"/>
      </w:pPr>
      <w:bookmarkStart w:name="problem-podizvajalcev" w:id="21"/>
      <w:bookmarkEnd w:id="20"/>
      <w:r>
        <w:t xml:space="preserve">Das Problem der Subunternehmer</w:t>
      </w:r>
    </w:p>
    <w:p w:rsidR="00983F19" w:rsidP="00750824" w:rsidRDefault="00000000" w14:paraId="61EA3FC7" w14:textId="60717B63">
      <w:pPr>
        <w:jc w:val="both"/>
      </w:pPr>
      <w:bookmarkStart w:name="X1bf507dade63a3b9248d91b10533f96b3456f6d" w:id="22"/>
      <w:bookmarkEnd w:id="21"/>
      <w:r>
        <w:t xml:space="preserve">Alle Partnerländer kommen zu dem gemeinsamen Schluss, dass </w:t>
      </w:r>
      <w:r>
        <w:t xml:space="preserve">die Vergabe von Unteraufträgen </w:t>
      </w:r>
      <w:r>
        <w:t xml:space="preserve">(</w:t>
      </w:r>
      <w:r w:rsidR="006928D1">
        <w:t xml:space="preserve">„Subcontracting“</w:t>
      </w:r>
      <w:r>
        <w:t xml:space="preserve">) zunehmend zum gängigsten Mechanismus wird, um die rechtliche Vermutung </w:t>
      </w:r>
      <w:r w:rsidR="00CF3B80">
        <w:t xml:space="preserve">eines Arbeitsverhältnisses </w:t>
      </w:r>
      <w:r w:rsidR="006928D1">
        <w:t xml:space="preserve">und die Verantwortung </w:t>
      </w:r>
      <w:r w:rsidR="006928D1">
        <w:t xml:space="preserve">der Plattformen </w:t>
      </w:r>
      <w:r w:rsidR="006928D1">
        <w:t xml:space="preserve">im Allgemeinen </w:t>
      </w:r>
      <w:r>
        <w:t xml:space="preserve">zu umgehen</w:t>
      </w:r>
      <w:r>
        <w:t xml:space="preserve">. In Deutschland </w:t>
      </w:r>
      <w:r>
        <w:t xml:space="preserve">stellen </w:t>
      </w:r>
      <w:r>
        <w:t xml:space="preserve">die Gewerkschaften auf der Grundlage der Erfahrungen mit der Gesetzgebung im Postsektor (Begrenzung </w:t>
      </w:r>
      <w:r>
        <w:t xml:space="preserve">von Unterauftragnehmerketten bei der Paketzustellung) fest, dass Plattformen zunehmend auf Modelle mit Unterauftragnehmerketten umsteigen, bei denen die Beschäftigten formal nicht bei der Plattform angestellt sind. In Spanien sind Plattformen wie </w:t>
      </w:r>
      <w:r>
        <w:t xml:space="preserve">Glovo</w:t>
      </w:r>
      <w:r>
        <w:t xml:space="preserve">, </w:t>
      </w:r>
      <w:r>
        <w:t xml:space="preserve">Uber </w:t>
      </w:r>
      <w:r>
        <w:t xml:space="preserve">Eats </w:t>
      </w:r>
      <w:r>
        <w:t xml:space="preserve">und Just </w:t>
      </w:r>
      <w:r>
        <w:t xml:space="preserve">Eat </w:t>
      </w:r>
      <w:r>
        <w:t xml:space="preserve">nach Inkrafttreten des Gesetzes </w:t>
      </w:r>
      <w:r>
        <w:rPr>
          <w:i/>
          <w:iCs/>
        </w:rPr>
        <w:t xml:space="preserve">„Ley Rider</w:t>
      </w:r>
      <w:r w:rsidR="006928D1">
        <w:rPr>
          <w:i/>
          <w:iCs/>
        </w:rPr>
        <w:t xml:space="preserve">“ </w:t>
      </w:r>
      <w:r>
        <w:t xml:space="preserve">auf </w:t>
      </w:r>
      <w:r>
        <w:t xml:space="preserve">Subunternehmermodelle</w:t>
      </w:r>
      <w:r>
        <w:t xml:space="preserve"> umgestiegen</w:t>
      </w:r>
      <w:r>
        <w:t xml:space="preserve">, weshalb die Gewerkschaften oft gar nicht wissen, wer der tatsächliche Arbeitgeber des Arbeitnehmers ist.</w:t>
      </w:r>
    </w:p>
    <w:p w:rsidR="00D90A18" w:rsidP="00750824" w:rsidRDefault="00D90A18" w14:paraId="729D9F2A" w14:textId="77777777">
      <w:pPr>
        <w:jc w:val="both"/>
      </w:pPr>
    </w:p>
    <w:p w:rsidR="00983F19" w:rsidP="00750824" w:rsidRDefault="00000000" w14:paraId="23F0015A" w14:textId="77777777">
      <w:pPr>
        <w:jc w:val="both"/>
      </w:pPr>
      <w:bookmarkStart w:name="X464365a3056fb9d1594f024ef98aa7e37f41722" w:id="23"/>
      <w:bookmarkEnd w:id="22"/>
      <w:r>
        <w:t xml:space="preserve">Die Richtlinie über </w:t>
      </w:r>
      <w:r>
        <w:t xml:space="preserve">Plattformarbeit geht in Artikel 3 auf dieses Problem ein und verlangt, dass Arbeitnehmer, die über Vermittler tätig sind, denselben Schutz genießen wie diejenigen, die in einem direkten Verhältnis zur Plattform stehen, einschließlich Mechanismen der gesamtschuldnerischen Haftung. Die tatsächliche Umsetzung dieser Bestimmung wird jedoch eine entscheidende Bewährungsprobe sein.</w:t>
      </w:r>
    </w:p>
    <w:p w:rsidR="00983F19" w:rsidP="00750824" w:rsidRDefault="00000000" w14:paraId="49708D2C" w14:textId="77777777">
      <w:pPr>
        <w:pStyle w:val="Naslov3"/>
        <w:jc w:val="both"/>
      </w:pPr>
      <w:bookmarkStart w:name="Xb9c5b4a731a8b417512c018455fc5f559bc3d6e" w:id="24"/>
      <w:bookmarkEnd w:id="23"/>
      <w:r>
        <w:t xml:space="preserve">Gemeinsame strukturelle Feststellung: Wer leitet das Verfahren ein?</w:t>
      </w:r>
    </w:p>
    <w:p w:rsidR="00983F19" w:rsidP="00750824" w:rsidRDefault="00000000" w14:paraId="7DE4A2A7" w14:textId="5D09F7E6">
      <w:pPr>
        <w:jc w:val="both"/>
      </w:pPr>
      <w:r>
        <w:t xml:space="preserve">Auf der Konferenz hob Tea Jarc (ETUC) die zentrale praktische Herausforderung hervor: Um die Rechtsvermutung geltend zu machen, muss jemand ein Verfahren einleiten. Die Arbeitnehmer tun dies oft nicht, weil sie Einkommensverluste befürchten. Gerichtsverfahren sind langwierig und kostspielig. Daher legt der EGB den Schwerpunkt vor allem auf </w:t>
      </w:r>
      <w:r>
        <w:rPr>
          <w:b/>
          <w:bCs/>
        </w:rPr>
        <w:t xml:space="preserve">Verwaltungsverfahren </w:t>
      </w:r>
      <w:r w:rsidR="006928D1">
        <w:t xml:space="preserve">und </w:t>
      </w:r>
      <w:r>
        <w:t xml:space="preserve">Arbeitsaufsichtsbehörden, die </w:t>
      </w:r>
      <w:r>
        <w:rPr>
          <w:b/>
          <w:bCs/>
        </w:rPr>
        <w:t xml:space="preserve">verpflichtet</w:t>
      </w:r>
      <w:r>
        <w:t xml:space="preserve"> sind</w:t>
      </w:r>
      <w:r>
        <w:t xml:space="preserve">, ein Verfahren einzuleiten, wenn sie Anzeichen für eine falsche Einstufung </w:t>
      </w:r>
      <w:r>
        <w:rPr>
          <w:b/>
          <w:bCs/>
        </w:rPr>
        <w:t xml:space="preserve">ohne Zustimmung des Arbeitnehmers </w:t>
      </w:r>
      <w:r>
        <w:t xml:space="preserve">feststellen</w:t>
      </w:r>
      <w:r>
        <w:t xml:space="preserve">. Die Richtlinie enthält diese Verpflichtung in Artikel 5 Absatz 5, doch ihre wirksame Umsetzung setzt voraus, dass die Arbeitsaufsichtsbehörden personell und fachlich angemessen ausgestattet sind.</w:t>
      </w:r>
    </w:p>
    <w:p w:rsidR="00983F19" w:rsidP="00750824" w:rsidRDefault="00000000" w14:paraId="4740E06C" w14:textId="77777777">
      <w:pPr>
        <w:pStyle w:val="Naslov2"/>
        <w:jc w:val="both"/>
      </w:pPr>
      <w:bookmarkStart w:name="_Toc233699487" w:id="25"/>
      <w:bookmarkStart w:name="priporočila" w:id="26"/>
      <w:bookmarkEnd w:id="15"/>
      <w:bookmarkEnd w:id="24"/>
      <w:r>
        <w:t xml:space="preserve">3.3 Empfehlungen</w:t>
      </w:r>
      <w:bookmarkEnd w:id="25"/>
    </w:p>
    <w:p w:rsidR="00983F19" w:rsidP="00750824" w:rsidRDefault="00000000" w14:paraId="1EEE5D89" w14:textId="77777777">
      <w:pPr>
        <w:jc w:val="both"/>
      </w:pPr>
      <w:r>
        <w:t xml:space="preserve">Auf der Grundlage einer Analyse der Anforderungen der Richtlinie, der Erfahrungen aus der Praxis und der Beratungen der Expertengruppe der Europäischen Kommission formulieren wir die folgenden Empfehlungen an die Mitgliedstaaten zur Umsetzung von Kapitel II der Richtlinie.</w:t>
      </w:r>
    </w:p>
    <w:p w:rsidR="00D90A18" w:rsidP="00750824" w:rsidRDefault="00D90A18" w14:paraId="3987237E" w14:textId="77777777">
      <w:pPr>
        <w:jc w:val="both"/>
      </w:pPr>
    </w:p>
    <w:p w:rsidR="00D90A18" w:rsidP="00750824" w:rsidRDefault="00000000" w14:paraId="106960A2" w14:textId="63A00551">
      <w:pPr>
        <w:pStyle w:val="Naslov3"/>
        <w:jc w:val="both"/>
      </w:pPr>
      <w:r>
        <w:t xml:space="preserve">Empfehlung 3.1 [RICHTLINIE]: Rechtsvermutung </w:t>
      </w:r>
      <w:r w:rsidR="00CF3B80">
        <w:t xml:space="preserve">eines Arbeitsverhältnisses </w:t>
      </w:r>
      <w:r>
        <w:t xml:space="preserve">ohne zusätzliche Kriterien</w:t>
      </w:r>
    </w:p>
    <w:p w:rsidR="00D90A18" w:rsidP="00750824" w:rsidRDefault="00000000" w14:paraId="35ACE1BF" w14:textId="64747BBE">
      <w:pPr>
        <w:jc w:val="both"/>
      </w:pPr>
      <w:r>
        <w:t xml:space="preserve">Die Mitgliedstaaten sollten bei der Umsetzung von Artikel 5 keine zusätzlichen Kriterien oder Listen von Indikatoren einführen, die erfüllt sein müssen, bevor die Rechtsvermutung </w:t>
      </w:r>
      <w:r w:rsidR="00CF3B80">
        <w:t xml:space="preserve">eines Arbeitsverhältnisses</w:t>
      </w:r>
      <w:r>
        <w:t xml:space="preserve"> </w:t>
      </w:r>
      <w:r>
        <w:t xml:space="preserve">greift. Die Expertengruppe der Europäischen Kommission hat dies unmissverständlich klargestellt: Die Richtlinie verlangt keine Kriterien, sondern lediglich die Feststellung von Tatsachen, die auf Weisungen und Kontrolle hindeuten, wobei der Maßstab mit </w:t>
      </w:r>
      <w:r>
        <w:rPr>
          <w:i/>
          <w:iCs/>
        </w:rPr>
        <w:t xml:space="preserve">dem Prima-facie-Grundsatz </w:t>
      </w:r>
      <w:r>
        <w:t xml:space="preserve">im </w:t>
      </w:r>
      <w:r>
        <w:t xml:space="preserve">EU-Antidiskriminierungsrecht </w:t>
      </w:r>
      <w:r>
        <w:t xml:space="preserve">vergleichbar ist</w:t>
      </w:r>
      <w:r>
        <w:t xml:space="preserve">. Es reicht aus, dass die Tatsachen </w:t>
      </w:r>
      <w:r w:rsidR="006B029C">
        <w:t xml:space="preserve">darauf hindeuten, dass eine Unterordnung möglich ist; </w:t>
      </w:r>
      <w:r w:rsidR="006B029C">
        <w:t xml:space="preserve">eindeutige </w:t>
      </w:r>
      <w:r w:rsidR="006B029C">
        <w:t xml:space="preserve">Beweise </w:t>
      </w:r>
      <w:r>
        <w:t xml:space="preserve">sind</w:t>
      </w:r>
      <w:r>
        <w:t xml:space="preserve"> nicht </w:t>
      </w:r>
      <w:r>
        <w:t xml:space="preserve">erforderlich</w:t>
      </w:r>
      <w:r>
        <w:t xml:space="preserve">. Die Erfahrungen in Belgien </w:t>
      </w:r>
      <w:r w:rsidR="006B029C">
        <w:t xml:space="preserve">zeigen</w:t>
      </w:r>
      <w:r>
        <w:t xml:space="preserve">, dass lange Listen von Kriterien den Plattformen zugutekommen, nicht den Arbeitnehmern: Die Plattformen passen die Verträge und die Arbeitsorganisation einfach so an, dass formal keines der Kriterien erfüllt ist </w:t>
      </w:r>
      <w:r w:rsidR="006B029C">
        <w:t xml:space="preserve">oder nur zu wenige davon erfüllt sind</w:t>
      </w:r>
      <w:r>
        <w:t xml:space="preserve">.</w:t>
      </w:r>
    </w:p>
    <w:p w:rsidR="005418CA" w:rsidP="00750824" w:rsidRDefault="005418CA" w14:paraId="528984B3" w14:textId="77777777">
      <w:pPr>
        <w:jc w:val="both"/>
      </w:pPr>
    </w:p>
    <w:p w:rsidR="00D90A18" w:rsidP="00750824" w:rsidRDefault="00000000" w14:paraId="445D2D62" w14:textId="2A3B60B3">
      <w:pPr>
        <w:pStyle w:val="Naslov3"/>
        <w:jc w:val="both"/>
      </w:pPr>
      <w:r>
        <w:t xml:space="preserve">Empfehlung 3.2 [RICHTLINIE]: Verwaltungsverfahren als primärer Weg zur Feststellung des Status</w:t>
      </w:r>
    </w:p>
    <w:p w:rsidR="00983F19" w:rsidP="00750824" w:rsidRDefault="00000000" w14:paraId="45A2F001" w14:textId="3908CFB5">
      <w:pPr>
        <w:jc w:val="both"/>
      </w:pPr>
      <w:r>
        <w:lastRenderedPageBreak/>
      </w:r>
      <w:r>
        <w:t xml:space="preserve">Die Mitgliedstaaten sollten bei der Umsetzung von Artikel 5 </w:t>
      </w:r>
      <w:r>
        <w:rPr>
          <w:b/>
          <w:bCs/>
        </w:rPr>
        <w:t xml:space="preserve">Verwaltungsverfahren vor den Arbeitsaufsichtsbehörden </w:t>
      </w:r>
      <w:r>
        <w:t xml:space="preserve">einrichten oder ausbauen</w:t>
      </w:r>
      <w:r>
        <w:t xml:space="preserve">,</w:t>
      </w:r>
      <w:r>
        <w:t xml:space="preserve"> die </w:t>
      </w:r>
      <w:r>
        <w:t xml:space="preserve">parallel zu gerichtlichen Verfahren </w:t>
      </w:r>
      <w:r>
        <w:t xml:space="preserve">den vorrangigen Weg zur Feststellung des arbeitsrechtlichen Status </w:t>
      </w:r>
      <w:r>
        <w:t xml:space="preserve">von Plattformarbeitern</w:t>
      </w:r>
      <w:r>
        <w:t xml:space="preserve"> darstellen</w:t>
      </w:r>
      <w:r>
        <w:t xml:space="preserve">. Verwaltungsverfahren sind schneller, kostengünstiger und für Arbeitnehmer in </w:t>
      </w:r>
      <w:r>
        <w:t xml:space="preserve">prekären </w:t>
      </w:r>
      <w:r>
        <w:t xml:space="preserve">Verhältnissen </w:t>
      </w:r>
      <w:r>
        <w:t xml:space="preserve">leichter zugänglich</w:t>
      </w:r>
      <w:r>
        <w:t xml:space="preserve">. Die Praxis zeigt, dass die Zustimmung der Arbeitnehmer zu einem Gerichtsverfahren oft </w:t>
      </w:r>
      <w:r w:rsidR="006B029C">
        <w:t xml:space="preserve">nicht </w:t>
      </w:r>
      <w:r>
        <w:t xml:space="preserve">zu erwarten </w:t>
      </w:r>
      <w:r>
        <w:t xml:space="preserve">ist </w:t>
      </w:r>
      <w:r w:rsidR="00D7386B">
        <w:t xml:space="preserve">– </w:t>
      </w:r>
      <w:r>
        <w:t xml:space="preserve">die Arbeitnehmer befürchten den Verlust des Zugangs zur Plattform </w:t>
      </w:r>
      <w:r w:rsidR="006B029C">
        <w:t xml:space="preserve">bzw. ihres Einkommens; daher ist es von entscheidender Bedeutung, dass die Verfahren ohne ihre Zustimmung eingeleitet werden können</w:t>
      </w:r>
      <w:r>
        <w:t xml:space="preserve">. Gemäß Artikel 5 Absatz 5 der Richtlinie ist die Arbeitsaufsichtsbehörde verpflichtet, ein Verfahren ohne Zustimmung des Arbeitnehmers einzuleiten, wenn sie Anzeichen für </w:t>
      </w:r>
      <w:r w:rsidR="006B029C">
        <w:t xml:space="preserve">einen falschen arbeitsrechtlichen Status der Arbeitnehmer </w:t>
      </w:r>
      <w:r>
        <w:t xml:space="preserve">feststellt</w:t>
      </w:r>
      <w:r>
        <w:t xml:space="preserve">. Diese Verpflichtung muss ausdrücklich in </w:t>
      </w:r>
      <w:r w:rsidR="006B029C">
        <w:t xml:space="preserve">die</w:t>
      </w:r>
      <w:r>
        <w:t xml:space="preserve"> nationalen </w:t>
      </w:r>
      <w:r w:rsidR="006B029C">
        <w:t xml:space="preserve">Umsetzungsgesetze</w:t>
      </w:r>
      <w:r>
        <w:t xml:space="preserve"> aufgenommen werden</w:t>
      </w:r>
      <w:r>
        <w:t xml:space="preserve">.</w:t>
      </w:r>
    </w:p>
    <w:p w:rsidR="00D90A18" w:rsidP="00750824" w:rsidRDefault="00D90A18" w14:paraId="16DE2351" w14:textId="77777777">
      <w:pPr>
        <w:jc w:val="both"/>
      </w:pPr>
    </w:p>
    <w:p w:rsidR="00D90A18" w:rsidP="00750824" w:rsidRDefault="00000000" w14:paraId="62FDA2CE" w14:textId="2022511F">
      <w:pPr>
        <w:pStyle w:val="Naslov3"/>
        <w:jc w:val="both"/>
      </w:pPr>
      <w:r>
        <w:t xml:space="preserve">Empfehlung 3.3 [ÜBERTRIFFT DAS MINIMUM]: Stärkung der Arbeitsaufsichtsbehörden durch Personal und algorithmische Fachkompetenz</w:t>
      </w:r>
    </w:p>
    <w:p w:rsidR="00D90A18" w:rsidP="00750824" w:rsidRDefault="00000000" w14:paraId="375BA482" w14:textId="09351655">
      <w:pPr>
        <w:jc w:val="both"/>
      </w:pPr>
      <w:r>
        <w:t xml:space="preserve">Artikel 6 der Richtlinie verlangt wirksame </w:t>
      </w:r>
      <w:r>
        <w:t xml:space="preserve">Inspektionen sowie eine angemessene Qualifizierung der zuständigen Behörden im Bereich des algorithmischen Handels. Alle Partnerländer berichten, dass die Aufsichtsbehörden weder über ausreichendes Personal noch über das technische Fachwissen verfügen, um </w:t>
      </w:r>
      <w:r>
        <w:t xml:space="preserve">algorithmisch vermittelte Überwachung </w:t>
      </w:r>
      <w:r w:rsidR="00352350">
        <w:t xml:space="preserve">zu verstehen und </w:t>
      </w:r>
      <w:r>
        <w:t xml:space="preserve">zu beurteilen. Wir empfehlen den Regierungen, bei der Umsetzung der Richtlinie konkrete Haushaltsmittel bereitzustellen für: die Einstellung neuer Inspektoren mit Spezialisierung auf digitale Geschäftsmodelle, die Einrichtung oder den Ausbau sogenannter </w:t>
      </w:r>
      <w:r w:rsidR="00352350">
        <w:t xml:space="preserve">„Plattformwirtschafts-Einheiten“ </w:t>
      </w:r>
      <w:r>
        <w:t xml:space="preserve">innerhalb der bestehenden Aufsichtsbehörden sowie die Sicherstellung des Zugangs zu technischen Experten für algorithmisches Management für den Bedarf einzelner Fälle. Das spanische Beispiel zeigt, dass intensive Inspektionstätigkeiten in Kombination mit der Androhung strafrechtlicher Haftung </w:t>
      </w:r>
      <w:r w:rsidR="00D7386B">
        <w:t xml:space="preserve">– </w:t>
      </w:r>
      <w:r>
        <w:t xml:space="preserve">nicht nur finanzieller Sanktionen </w:t>
      </w:r>
      <w:r w:rsidR="00D7386B">
        <w:t xml:space="preserve">– </w:t>
      </w:r>
      <w:r>
        <w:t xml:space="preserve">einen entscheidenden Wandel im Verhalten der Plattformen bewirken.</w:t>
      </w:r>
    </w:p>
    <w:p w:rsidR="006B029C" w:rsidP="00750824" w:rsidRDefault="006B029C" w14:paraId="0AEE926B" w14:textId="77777777">
      <w:pPr>
        <w:jc w:val="both"/>
      </w:pPr>
    </w:p>
    <w:p w:rsidR="00D90A18" w:rsidP="00750824" w:rsidRDefault="00000000" w14:paraId="51C2E9BD" w14:textId="06788943">
      <w:pPr>
        <w:pStyle w:val="Naslov3"/>
        <w:jc w:val="both"/>
      </w:pPr>
      <w:r>
        <w:t xml:space="preserve">Empfehlung 3.4 [ÜBERSTEIGT DAS MINIMUM]: </w:t>
      </w:r>
      <w:r w:rsidR="00A25A76">
        <w:t xml:space="preserve">Solidarische </w:t>
      </w:r>
      <w:r>
        <w:t xml:space="preserve">Haftung der gesamten Vermittlerkette</w:t>
      </w:r>
    </w:p>
    <w:p w:rsidR="00D90A18" w:rsidP="00750824" w:rsidRDefault="00000000" w14:paraId="3D8DE1AF" w14:textId="6F0F5E56">
      <w:pPr>
        <w:jc w:val="both"/>
      </w:pPr>
      <w:r>
        <w:t xml:space="preserve">Siehe vollständig Empfehlung 2.3. Im Zusammenhang mit der Rechtsvermutung </w:t>
      </w:r>
      <w:r w:rsidR="00CF3B80">
        <w:t xml:space="preserve">eines Arbeitsverhältnisses </w:t>
      </w:r>
      <w:r>
        <w:t xml:space="preserve">betonen wir: </w:t>
      </w:r>
      <w:r>
        <w:t xml:space="preserve">Die Vergabe von Unteraufträgen </w:t>
      </w:r>
      <w:r>
        <w:t xml:space="preserve">ist zum häufigsten Mechanismus zur Umgehung der Rechtsvermutung geworden. Ohne </w:t>
      </w:r>
      <w:r>
        <w:t xml:space="preserve">eine </w:t>
      </w:r>
      <w:r>
        <w:t xml:space="preserve">verbindliche </w:t>
      </w:r>
      <w:r w:rsidR="00A25A76">
        <w:t xml:space="preserve">gesamtschuldnerische </w:t>
      </w:r>
      <w:r>
        <w:t xml:space="preserve">Haftung wird jede Rechtsvermutung </w:t>
      </w:r>
      <w:r w:rsidR="00CF3B80">
        <w:t xml:space="preserve">des Arbeitsverhältnisses </w:t>
      </w:r>
      <w:r>
        <w:t xml:space="preserve">durch </w:t>
      </w:r>
      <w:r w:rsidR="00352350">
        <w:t xml:space="preserve">die</w:t>
      </w:r>
      <w:r>
        <w:t xml:space="preserve"> einfache </w:t>
      </w:r>
      <w:r w:rsidR="00352350">
        <w:t xml:space="preserve">Einschaltung </w:t>
      </w:r>
      <w:r>
        <w:t xml:space="preserve">eines Subunternehmers zwischen der Plattform und dem Arbeitnehmer </w:t>
      </w:r>
      <w:r>
        <w:t xml:space="preserve">umgangen</w:t>
      </w:r>
      <w:r>
        <w:t xml:space="preserve">.</w:t>
      </w:r>
    </w:p>
    <w:p w:rsidR="005418CA" w:rsidP="00750824" w:rsidRDefault="005418CA" w14:paraId="69123DCA" w14:textId="77777777">
      <w:pPr>
        <w:jc w:val="both"/>
      </w:pPr>
    </w:p>
    <w:p w:rsidR="00D90A18" w:rsidP="00750824" w:rsidRDefault="00000000" w14:paraId="0717D13E" w14:textId="65383591">
      <w:pPr>
        <w:pStyle w:val="Naslov3"/>
        <w:jc w:val="both"/>
      </w:pPr>
      <w:r>
        <w:t xml:space="preserve">Empfehlung 3.5 [RICHTLINIE]: Kollektive Durchsetzung der Rechtsvermutung durch Gewerkschaften</w:t>
      </w:r>
    </w:p>
    <w:p w:rsidR="00983F19" w:rsidP="00750824" w:rsidRDefault="00000000" w14:paraId="37C2E2C2" w14:textId="18A8E766">
      <w:pPr>
        <w:jc w:val="both"/>
      </w:pPr>
      <w:r>
        <w:t xml:space="preserve">Artikel 19 der Richtlinie gewährt Arbeitnehmervertretern das Recht, in Verfahren im Namen eines oder mehrerer Arbeitnehmer aufzutreten. Die Mitgliedstaaten sollten diesen Mechanismus durch die Einführung klarer Verfahrensregeln stärken, die es den Gewerkschaften ermöglichen, kollektive oder Gruppenverfahren zur Feststellung </w:t>
      </w:r>
      <w:r>
        <w:t xml:space="preserve">des</w:t>
      </w:r>
      <w:r w:rsidR="00352350">
        <w:t xml:space="preserve"> arbeitsrechtlichen </w:t>
      </w:r>
      <w:r>
        <w:t xml:space="preserve">Status </w:t>
      </w:r>
      <w:r>
        <w:t xml:space="preserve">einzuleiten, </w:t>
      </w:r>
      <w:r>
        <w:t xml:space="preserve">ohne dass </w:t>
      </w:r>
      <w:r w:rsidR="00352350">
        <w:t xml:space="preserve">die individuelle Zustimmung </w:t>
      </w:r>
      <w:r>
        <w:t xml:space="preserve">jedes einzelnen Arbeitnehmers </w:t>
      </w:r>
      <w:r>
        <w:t xml:space="preserve">erforderlich ist</w:t>
      </w:r>
      <w:r>
        <w:t xml:space="preserve">. Auf der Konferenz in Ljubljana </w:t>
      </w:r>
      <w:r w:rsidR="00352350">
        <w:t xml:space="preserve">im Rahmen des SDDP-Projekts </w:t>
      </w:r>
      <w:r>
        <w:t xml:space="preserve">war dies eine gemeinsame Forderung aller beteiligten Gewerkschaftsorganisationen, die </w:t>
      </w:r>
      <w:r w:rsidR="00352350">
        <w:t xml:space="preserve">auch </w:t>
      </w:r>
      <w:r>
        <w:t xml:space="preserve">vom EGB</w:t>
      </w:r>
      <w:r w:rsidR="00352350">
        <w:t xml:space="preserve"> unterstützt wird</w:t>
      </w:r>
      <w:r>
        <w:t xml:space="preserve">. In Ländern, in denen Sammelklagen nicht möglich sind (z. B. Deutschland, Slowenien), ist die gesetzliche Einführung dieser Möglichkeit eine Voraussetzung für die wirksame Umsetzung der Richtlinie.</w:t>
      </w:r>
    </w:p>
    <w:p w:rsidR="00D90A18" w:rsidP="00750824" w:rsidRDefault="00D90A18" w14:paraId="4A81FEE6" w14:textId="77777777">
      <w:pPr>
        <w:jc w:val="both"/>
      </w:pPr>
    </w:p>
    <w:p w:rsidR="00D90A18" w:rsidP="00750824" w:rsidRDefault="00000000" w14:paraId="781C8FE6" w14:textId="47EC77EB">
      <w:pPr>
        <w:pStyle w:val="Naslov3"/>
        <w:jc w:val="both"/>
      </w:pPr>
      <w:r>
        <w:lastRenderedPageBreak/>
      </w:r>
      <w:r>
        <w:t xml:space="preserve">Empfehlung 3.6 [ÜBERTRIFFT DAS MINIMUM]: Sozialer Dialog als paralleler Weg </w:t>
      </w:r>
      <w:r w:rsidR="00D7386B">
        <w:t xml:space="preserve">– </w:t>
      </w:r>
      <w:r>
        <w:t xml:space="preserve">Feststellung des Status ohne Abwarten gerichtlicher Entscheidungen</w:t>
      </w:r>
    </w:p>
    <w:p w:rsidR="00983F19" w:rsidP="00750824" w:rsidRDefault="00000000" w14:paraId="7AC95C4B" w14:textId="2E3E2CBC">
      <w:pPr>
        <w:jc w:val="both"/>
      </w:pPr>
      <w:r>
        <w:t xml:space="preserve">Die Richtlinie ermöglicht es in Artikel 29 Absätze 3 und 4, dass die Sozialpartner die Bestimmungen der Richtlinie durch Tarifverträge umsetzen, wobei die allgemeinen Ziele der Richtlinie gewährleistet sein müssen. Dies eröffnet die Möglichkeit</w:t>
      </w:r>
      <w:r w:rsidR="001B1A93">
        <w:t xml:space="preserve">, </w:t>
      </w:r>
      <w:r>
        <w:t xml:space="preserve">bestehende Tarifverträge in verwandten Branchen (z. B. Postwesen, Transportwesen) auf Plattformarbeiter*innen auszuweiten, die vergleichbare Tätigkeiten ausüben. Ein solches Modell </w:t>
      </w:r>
      <w:r>
        <w:t xml:space="preserve">der „Tarifverträge als </w:t>
      </w:r>
      <w:r w:rsidR="001B1A93">
        <w:t xml:space="preserve">Brücke“ </w:t>
      </w:r>
      <w:r>
        <w:t xml:space="preserve">ist ein grundlegendes Element dieses Dokuments: Der soziale Dialog wartet nicht auf </w:t>
      </w:r>
      <w:r>
        <w:t xml:space="preserve">eine </w:t>
      </w:r>
      <w:r w:rsidR="00827187">
        <w:t xml:space="preserve">möglicherweise </w:t>
      </w:r>
      <w:r>
        <w:t xml:space="preserve">langwierige gerichtliche Entscheidung, die den Status rechtlich festlegt, sondern gewährleistet den Arbeitnehmern sofort konkrete Rechte. Die Regierung sollte solche Vereinbarungen durch Mediationsmechanismen und finanzielle Anreize für Plattformen, die sich freiwillig an Tarifverhandlungen beteiligen, aktiv fördern.</w:t>
      </w:r>
    </w:p>
    <w:p w:rsidR="00D90A18" w:rsidP="00750824" w:rsidRDefault="00D90A18" w14:paraId="19E69F43" w14:textId="77777777">
      <w:pPr>
        <w:jc w:val="both"/>
      </w:pPr>
    </w:p>
    <w:p w:rsidR="00D90A18" w:rsidP="00750824" w:rsidRDefault="00000000" w14:paraId="3F78841D" w14:textId="2BFBC407">
      <w:pPr>
        <w:pStyle w:val="Naslov3"/>
        <w:jc w:val="both"/>
      </w:pPr>
      <w:r>
        <w:t xml:space="preserve">Empfehlung 3.7 [AMBITIONIERT]: Allgemeine Vermutung </w:t>
      </w:r>
      <w:r w:rsidR="00CF3B80">
        <w:t xml:space="preserve">des Bestehens eines Arbeitsverhältnisses </w:t>
      </w:r>
      <w:r>
        <w:t xml:space="preserve">für alle Tätigkeiten</w:t>
      </w:r>
    </w:p>
    <w:p w:rsidR="00983F19" w:rsidP="00750824" w:rsidRDefault="00000000" w14:paraId="0D711DE9" w14:textId="13F86F4A">
      <w:pPr>
        <w:jc w:val="both"/>
      </w:pPr>
      <w:r>
        <w:t xml:space="preserve">Die Mitgliedstaaten sollten </w:t>
      </w:r>
      <w:r w:rsidR="00F2754C">
        <w:t xml:space="preserve">die Richtlinie als Gelegenheit </w:t>
      </w:r>
      <w:r>
        <w:t xml:space="preserve">für einen systemischen Wandel </w:t>
      </w:r>
      <w:r w:rsidR="00F2754C">
        <w:t xml:space="preserve">nutzen, </w:t>
      </w:r>
      <w:r w:rsidR="00F2754C">
        <w:t xml:space="preserve">um die Ausbreitung </w:t>
      </w:r>
      <w:r w:rsidR="00F2754C">
        <w:t xml:space="preserve">prekärer Beschäftigungsverhältnisse </w:t>
      </w:r>
      <w:r w:rsidR="00F2754C">
        <w:t xml:space="preserve">auf dem Arbeitsmarkt </w:t>
      </w:r>
      <w:r w:rsidR="00F2754C">
        <w:t xml:space="preserve">einzudämmen</w:t>
      </w:r>
      <w:r>
        <w:t xml:space="preserve">: Einführung einer allgemeinen Rechtsvermutung, dass jede Arbeit im Rahmen eines Arbeitsverhältnisses </w:t>
      </w:r>
      <w:r w:rsidR="00CF3B80">
        <w:t xml:space="preserve">oder einer Beschäftigung </w:t>
      </w:r>
      <w:r>
        <w:t xml:space="preserve">ausgeübt wird</w:t>
      </w:r>
      <w:r>
        <w:t xml:space="preserve">, es sei denn</w:t>
      </w:r>
      <w:r>
        <w:t xml:space="preserve">,</w:t>
      </w:r>
      <w:r>
        <w:t xml:space="preserve"> der Arbeitgeber </w:t>
      </w:r>
      <w:r>
        <w:t xml:space="preserve">weist im Einzelfall </w:t>
      </w:r>
      <w:r w:rsidRPr="005418CA">
        <w:rPr>
          <w:b/>
          <w:bCs/>
        </w:rPr>
        <w:t xml:space="preserve">vorab </w:t>
      </w:r>
      <w:r>
        <w:t xml:space="preserve">nach, dass keine Elemente eines Arbeitsverhältnisses </w:t>
      </w:r>
      <w:r w:rsidR="00615F18">
        <w:t xml:space="preserve">oder einer Beschäftigung </w:t>
      </w:r>
      <w:r>
        <w:t xml:space="preserve">vorliegen</w:t>
      </w:r>
      <w:r>
        <w:t xml:space="preserve">. Der ZSSS schlägt in seinen Leitlinien zur Umsetzung der Richtlinie (April 2025) diesen Ansatz für Slowenien vor</w:t>
      </w:r>
      <w:r w:rsidR="00F2754C">
        <w:t xml:space="preserve">; </w:t>
      </w:r>
      <w:r>
        <w:t xml:space="preserve">als Beispiel für bewährte Praxis empfehlen wir ihn auch anderen EU-Mitgliedstaaten, da er eine Umkehr der Beweislast für alle atypischen Arbeitsformen mit sich bringt, nicht nur für </w:t>
      </w:r>
      <w:r>
        <w:t xml:space="preserve">Plattformarbeit.</w:t>
      </w:r>
    </w:p>
    <w:p w:rsidR="005418CA" w:rsidP="00750824" w:rsidRDefault="005418CA" w14:paraId="577A9F2D" w14:textId="77777777">
      <w:pPr>
        <w:jc w:val="both"/>
      </w:pPr>
    </w:p>
    <w:p w:rsidR="00983F19" w:rsidP="00750824" w:rsidRDefault="00000000" w14:paraId="47953129" w14:textId="5AEB9B22">
      <w:pPr>
        <w:jc w:val="both"/>
      </w:pPr>
      <w:r>
        <w:t xml:space="preserve">Parallel dazu </w:t>
      </w:r>
      <w:r w:rsidR="00F2754C">
        <w:t xml:space="preserve">sollte </w:t>
      </w:r>
      <w:r>
        <w:t xml:space="preserve">ein Register atypischer Arbeitsformen eingerichtet </w:t>
      </w:r>
      <w:r w:rsidR="00F2754C">
        <w:t xml:space="preserve">werden</w:t>
      </w:r>
      <w:r>
        <w:t xml:space="preserve">, in dem die Gründe aufgeführt </w:t>
      </w:r>
      <w:r w:rsidR="00F2754C">
        <w:t xml:space="preserve">sind, die Elemente </w:t>
      </w:r>
      <w:r>
        <w:t xml:space="preserve">eines Arbeitsverhältnisses </w:t>
      </w:r>
      <w:r w:rsidR="00615F18">
        <w:t xml:space="preserve">bzw. Beschäftigung </w:t>
      </w:r>
      <w:r>
        <w:t xml:space="preserve">ausschließen, was den Aufsichtsbehörden eine systematische Kontrolle ermöglichen und ihnen die Befugnis verleihen würde, das Vorliegen von Arbeitsverhältnissen durch einen Bescheid festzustellen, der die unmittelbare Grundlage für die Anmeldung bei der Sozialversicherung </w:t>
      </w:r>
      <w:r w:rsidR="00F2754C">
        <w:t xml:space="preserve">bzw. für den Abschluss eines Arbeitsverhältnisses </w:t>
      </w:r>
      <w:r>
        <w:t xml:space="preserve">bilden würde</w:t>
      </w:r>
      <w:r>
        <w:t xml:space="preserve">. Ein solcher Ansatz würde die grundlegende Schwäche der bestehenden Regelung beseitigen </w:t>
      </w:r>
      <w:r w:rsidR="00D7386B">
        <w:t xml:space="preserve">– </w:t>
      </w:r>
      <w:r>
        <w:t xml:space="preserve">heute trägt der Arbeitnehmer die gesamte Beweislast und riskiert ein langwieriges Gerichtsverfahren, </w:t>
      </w:r>
      <w:r>
        <w:rPr>
          <w:b/>
          <w:bCs/>
        </w:rPr>
        <w:t xml:space="preserve">während der Arbeitgeber, der ein solches Verhältnis geschaffen hat, bequem abwartet</w:t>
      </w:r>
      <w:r>
        <w:t xml:space="preserve">. Die Richtlinie lässt einen solchen ehrgeizigeren Ansatz nicht nur zu, sondern fördert ihn im Sinne von Artikel 26 und Artikel 6 (Rahmen für flankierende Maßnahmen) ausdrücklich.</w:t>
      </w:r>
    </w:p>
    <w:p w:rsidR="00D90A18" w:rsidP="00750824" w:rsidRDefault="00D90A18" w14:paraId="418BD09B" w14:textId="77777777">
      <w:pPr>
        <w:jc w:val="both"/>
      </w:pPr>
    </w:p>
    <w:p w:rsidR="00983F19" w:rsidP="00750824" w:rsidRDefault="00000000" w14:paraId="2BCE9490" w14:textId="77777777">
      <w:pPr>
        <w:jc w:val="both"/>
      </w:pPr>
      <w:r>
        <w:rPr>
          <w:i/>
          <w:iCs/>
        </w:rPr>
        <w:t xml:space="preserve">Quellen: Bericht der Expertengruppe zur Umsetzung der Richtlinie (EU) 2024/2831 (Januar 2026); Protokoll der Zwischenkonferenz der SDDP, Ljubljana, Mai 2025; Leitlinien des ZSSS zur Umsetzung der Richtlinie (EU) 2024/2831 (April 2025, verabschiedet auf der 13. Sitzung des ZSSS-Präsidiums).</w:t>
      </w:r>
    </w:p>
    <w:p w:rsidR="00750824" w:rsidRDefault="00750824" w14:paraId="756DEE11" w14:textId="77777777">
      <w:pPr>
        <w:rPr>
          <w:b/>
          <w:bCs/>
          <w:color w:val="1F3864"/>
          <w:sz w:val="36"/>
          <w:szCs w:val="36"/>
        </w:rPr>
      </w:pPr>
      <w:bookmarkStart w:name="X8e939e3967694a792ac80ce4c2e3272ea45726e" w:id="27"/>
      <w:bookmarkEnd w:id="10"/>
      <w:bookmarkEnd w:id="26"/>
      <w:r>
        <w:br w:type="page"/>
      </w:r>
    </w:p>
    <w:p w:rsidR="00983F19" w:rsidP="00750824" w:rsidRDefault="00000000" w14:paraId="2F263261" w14:textId="42F96A40">
      <w:pPr>
        <w:pStyle w:val="Naslov1"/>
        <w:jc w:val="both"/>
      </w:pPr>
      <w:bookmarkStart w:name="_Toc233699488" w:id="28"/>
      <w:r>
        <w:lastRenderedPageBreak/>
      </w:r>
      <w:r>
        <w:t xml:space="preserve">Kapitel 4: Algorithmische Steuerung und menschliche Aufsicht</w:t>
      </w:r>
      <w:bookmarkEnd w:id="28"/>
    </w:p>
    <w:p w:rsidR="00983F19" w:rsidP="00750824" w:rsidRDefault="00000000" w14:paraId="67677373" w14:textId="77777777">
      <w:pPr>
        <w:pStyle w:val="Naslov2"/>
        <w:jc w:val="both"/>
      </w:pPr>
      <w:bookmarkStart w:name="_Toc233699489" w:id="29"/>
      <w:bookmarkStart w:name="zahteve-direktive-1" w:id="30"/>
      <w:r>
        <w:t xml:space="preserve">4.1 Anforderungen der Richtlinie</w:t>
      </w:r>
      <w:bookmarkEnd w:id="29"/>
    </w:p>
    <w:p w:rsidR="00983F19" w:rsidP="00750824" w:rsidRDefault="00000000" w14:paraId="06C4F62C" w14:textId="3B67F9E5">
      <w:pPr>
        <w:jc w:val="both"/>
      </w:pPr>
      <w:r>
        <w:t xml:space="preserve">Die Richtlinie </w:t>
      </w:r>
      <w:r>
        <w:t xml:space="preserve">widmet</w:t>
      </w:r>
      <w:r w:rsidR="00557445">
        <w:t xml:space="preserve"> der algorithmischen Steuerung </w:t>
      </w:r>
      <w:r>
        <w:t xml:space="preserve">das gesamte Kapitel III (Artikel 7–15), was </w:t>
      </w:r>
      <w:r w:rsidR="0069475D">
        <w:t xml:space="preserve">die Erkenntnis</w:t>
      </w:r>
      <w:r>
        <w:t xml:space="preserve"> widerspiegelt</w:t>
      </w:r>
      <w:r>
        <w:t xml:space="preserve">, dass die automatisierte Steuerung von Arbeitnehmern ein zentrales Merkmal </w:t>
      </w:r>
      <w:r>
        <w:t xml:space="preserve">der Plattformarbeit und zugleich eine ihrer größten Herausforderungen </w:t>
      </w:r>
      <w:r>
        <w:t xml:space="preserve">ist</w:t>
      </w:r>
      <w:r>
        <w:t xml:space="preserve">. Die Richtlinie legt drei Säulen für die Regulierung der algorithmischen Steuerung fest: Beschränkungen der Verarbeitung personenbezogener Daten, Transparenzanforderungen sowie das Recht auf menschliche Kontrolle und Überprüfung von Entscheidungen.</w:t>
      </w:r>
    </w:p>
    <w:p w:rsidR="00D90A18" w:rsidP="00750824" w:rsidRDefault="00D90A18" w14:paraId="4D249EF8" w14:textId="77777777">
      <w:pPr>
        <w:jc w:val="both"/>
      </w:pPr>
    </w:p>
    <w:p w:rsidR="00983F19" w:rsidP="00750824" w:rsidRDefault="00000000" w14:paraId="10F377A6" w14:textId="77777777">
      <w:pPr>
        <w:jc w:val="both"/>
      </w:pPr>
      <w:r>
        <w:rPr>
          <w:b/>
          <w:bCs/>
        </w:rPr>
        <w:t xml:space="preserve">Die Beschränkungen der Datenverarbeitung (Artikel 7) </w:t>
      </w:r>
      <w:r>
        <w:t xml:space="preserve">stellen absolute Verbote dar, gegen die Plattformen unter keinen Umständen verstoßen dürfen. Den Plattformen ist es ausdrücklich untersagt:</w:t>
      </w:r>
    </w:p>
    <w:p w:rsidR="00D90A18" w:rsidP="00750824" w:rsidRDefault="00D90A18" w14:paraId="6741CFD4" w14:textId="77777777">
      <w:pPr>
        <w:jc w:val="both"/>
      </w:pPr>
    </w:p>
    <w:p w:rsidR="00983F19" w:rsidP="00750824" w:rsidRDefault="00000000" w14:paraId="62CEDE84" w14:textId="77777777">
      <w:pPr>
        <w:numPr>
          <w:ilvl w:val="0"/>
          <w:numId w:val="3"/>
        </w:numPr>
        <w:jc w:val="both"/>
      </w:pPr>
      <w:r>
        <w:t xml:space="preserve">die automatisierte Verarbeitung von Daten über den emotionalen oder psychologischen Zustand der Arbeitnehmer,</w:t>
      </w:r>
    </w:p>
    <w:p w:rsidR="00983F19" w:rsidP="00750824" w:rsidRDefault="00000000" w14:paraId="353B5A60" w14:textId="77777777">
      <w:pPr>
        <w:numPr>
          <w:ilvl w:val="0"/>
          <w:numId w:val="3"/>
        </w:numPr>
        <w:jc w:val="both"/>
      </w:pPr>
      <w:r>
        <w:t xml:space="preserve">auf private Gespräche zwischen Arbeitnehmern oder zwischen Arbeitnehmern und ihren Vertretern zuzugreifen,</w:t>
      </w:r>
    </w:p>
    <w:p w:rsidR="00983F19" w:rsidP="00750824" w:rsidRDefault="00000000" w14:paraId="4106E858" w14:textId="77777777">
      <w:pPr>
        <w:numPr>
          <w:ilvl w:val="0"/>
          <w:numId w:val="3"/>
        </w:numPr>
        <w:jc w:val="both"/>
      </w:pPr>
      <w:r>
        <w:t xml:space="preserve">die Erhebung personenbezogener Daten außerhalb der Arbeitszeit (wenn der Arbeitnehmer keine Arbeit anbietet oder verrichtet),</w:t>
      </w:r>
    </w:p>
    <w:p w:rsidR="00983F19" w:rsidP="00750824" w:rsidRDefault="00000000" w14:paraId="410C5F25" w14:textId="77777777">
      <w:pPr>
        <w:numPr>
          <w:ilvl w:val="0"/>
          <w:numId w:val="3"/>
        </w:numPr>
        <w:jc w:val="both"/>
      </w:pPr>
      <w:r>
        <w:t xml:space="preserve">die Verarbeitung von Daten zur Vorhersage der Ausübung von Grundrechten (einschließlich des Rechts auf gewerkschaftliche Vereinigung und Streik) sowie das Ziehen von Schlussfolgerungen über die rassische oder ethnische Herkunft, den Gesundheitszustand, die Gewerkschaftszugehörigkeit oder andere besondere Datenkategorien auf der Grundlage anderer personenbezogener Daten.</w:t>
      </w:r>
    </w:p>
    <w:p w:rsidR="00D90A18" w:rsidP="00750824" w:rsidRDefault="00D90A18" w14:paraId="12AAECDB" w14:textId="77777777">
      <w:pPr>
        <w:ind w:start="720"/>
        <w:jc w:val="both"/>
      </w:pPr>
    </w:p>
    <w:p w:rsidR="00983F19" w:rsidP="00750824" w:rsidRDefault="00000000" w14:paraId="424D3BF0" w14:textId="234A481F">
      <w:pPr>
        <w:jc w:val="both"/>
      </w:pPr>
      <w:r>
        <w:t xml:space="preserve">Wie die Expertengruppe </w:t>
      </w:r>
      <w:r w:rsidR="0069475D">
        <w:t xml:space="preserve">der Europäischen Kommission </w:t>
      </w:r>
      <w:r>
        <w:t xml:space="preserve">zur Umsetzung der Richtlinie </w:t>
      </w:r>
      <w:r>
        <w:t xml:space="preserve">erläutert hat</w:t>
      </w:r>
      <w:r>
        <w:t xml:space="preserve">, gelten diese Verbote in einem weiteren Umfang als die Datenschutz-Grundverordnung (DSGVO) und als </w:t>
      </w:r>
      <w:r w:rsidR="005418CA">
        <w:t xml:space="preserve">der „</w:t>
      </w:r>
      <w:r>
        <w:t xml:space="preserve">AI </w:t>
      </w:r>
      <w:r w:rsidR="005418CA">
        <w:t xml:space="preserve">Act“ </w:t>
      </w:r>
      <w:r>
        <w:t xml:space="preserve">(Gesetz über künstliche Intelligenz</w:t>
      </w:r>
      <w:r w:rsidR="0069475D">
        <w:t xml:space="preserve">).</w:t>
      </w:r>
      <w:r>
        <w:t xml:space="preserve"> </w:t>
      </w:r>
      <w:r>
        <w:t xml:space="preserve">Sie gelten für alle automatisierten Systeme, nicht nur für Systeme der künstlichen Intelligenz, und lassen keine Ausnahmen auf der Grundlage der Einwilligung des Arbeitnehmers zu, da die Einwilligung im Kontext des Machtverhältnisses zwischen der Plattform und dem Arbeitnehmer nicht frei sein kann.</w:t>
      </w:r>
    </w:p>
    <w:p w:rsidR="00D90A18" w:rsidP="00750824" w:rsidRDefault="00D90A18" w14:paraId="280150BD" w14:textId="77777777">
      <w:pPr>
        <w:jc w:val="both"/>
      </w:pPr>
    </w:p>
    <w:p w:rsidR="00983F19" w:rsidP="00750824" w:rsidRDefault="00BB574B" w14:paraId="55832160" w14:textId="14EF0076">
      <w:pPr>
        <w:jc w:val="both"/>
      </w:pPr>
      <w:r>
        <w:rPr>
          <w:b/>
          <w:bCs/>
        </w:rPr>
        <w:t xml:space="preserve">Artikel 9 (Transparenz) </w:t>
      </w:r>
      <w:r>
        <w:t xml:space="preserve">verlangt, dass Plattformen den Arbeitnehmern, ihren Vertretern und den zuständigen Behörden detaillierte Informationen über die Funktionsweise automatisierter Überwachungs- und Entscheidungssysteme offenlegen. Dazu gehören die Kategorien der von den Systemen verarbeiteten Daten, die Parameter, die die Entscheidungen beeinflussen, sowie die relative Gewichtung der einzelnen Parameter. Von besonderer Bedeutung ist die Verpflichtung zur Offenlegung der Gründe für Entscheidungen über die Einschränkung, vorübergehende Sperrung oder Löschung des Kontos eines Arbeitnehmers sowie für die Verweigerung der Bezahlung der geleisteten Arbeit. Die Informationen müssen in klarer und verständlicher Sprache bereitgestellt werden, und die Arbeitnehmer müssen sie spätestens am ersten Arbeitstag sowie vor jeder Änderung, die sich auf die Arbeitsbedingungen auswirkt, erhalten.</w:t>
      </w:r>
    </w:p>
    <w:p w:rsidR="00D90A18" w:rsidP="00750824" w:rsidRDefault="00D90A18" w14:paraId="22A43AFD" w14:textId="77777777">
      <w:pPr>
        <w:jc w:val="both"/>
      </w:pPr>
    </w:p>
    <w:p w:rsidR="00983F19" w:rsidP="00750824" w:rsidRDefault="00BB574B" w14:paraId="1177D0F5" w14:textId="1AD19168">
      <w:pPr>
        <w:jc w:val="both"/>
      </w:pPr>
      <w:r>
        <w:rPr>
          <w:b/>
          <w:bCs/>
        </w:rPr>
        <w:t xml:space="preserve">Artikel 10 (Menschliche Überwachung) </w:t>
      </w:r>
      <w:r>
        <w:t xml:space="preserve">verpflichtet die Mitgliedstaaten, eine regelmäßige Überwachung und Bewertung der Auswirkungen automatisierter Systeme auf die Arbeitsbedingungen sicherzustellen, einschließlich einer Bewertung des Diskriminierungsrisikos. Die Plattformen müssen ausreichende personelle Ressourcen für die Überwachung bereitstellen, wobei die mit der Überwachung betrauten Personen über eine angemessene Qualifikation und die Befugnis verfügen müssen, automatisierte Entscheidungen aufzuheben. Jede Entscheidung über die Einschränkung oder Löschung eines Kontos muss von einem Menschen bestätigt werden.</w:t>
      </w:r>
    </w:p>
    <w:p w:rsidR="00D90A18" w:rsidP="00750824" w:rsidRDefault="00D90A18" w14:paraId="3C9800B3" w14:textId="77777777">
      <w:pPr>
        <w:jc w:val="both"/>
      </w:pPr>
    </w:p>
    <w:p w:rsidR="00983F19" w:rsidP="00750824" w:rsidRDefault="00BB574B" w14:paraId="2E5FA79F" w14:textId="1732E3A8">
      <w:pPr>
        <w:jc w:val="both"/>
      </w:pPr>
      <w:r>
        <w:rPr>
          <w:b/>
          <w:bCs/>
        </w:rPr>
        <w:lastRenderedPageBreak/>
      </w:r>
      <w:r>
        <w:rPr>
          <w:b/>
          <w:bCs/>
        </w:rPr>
        <w:t xml:space="preserve">Artikel 11 (Recht auf menschliche Überprüfung) </w:t>
      </w:r>
      <w:r>
        <w:t xml:space="preserve">gewährt den Arbeitnehmern das Recht auf eine Begründung und Überprüfung jeder Entscheidung eines automatisierten Systems, die ihre Arbeitsbedingungen wesentlich beeinflusst. Die Plattform muss ohne unnötige Verzögerung, spätestens am Tag des Inkrafttretens der Entscheidung, eine Begründung vorlegen. Ein Arbeitnehmer oder seine Vertreter können eine erneute Überprüfung der Entscheidung durch einen Menschen verlangen, und die Plattform muss ohne unnötige Verzögerung mit einer begründeten Entscheidung antworten.</w:t>
      </w:r>
    </w:p>
    <w:p w:rsidR="00D90A18" w:rsidP="00750824" w:rsidRDefault="00D90A18" w14:paraId="26AE5B60" w14:textId="77777777">
      <w:pPr>
        <w:jc w:val="both"/>
      </w:pPr>
    </w:p>
    <w:p w:rsidR="00983F19" w:rsidP="00750824" w:rsidRDefault="00BB574B" w14:paraId="09F438D6" w14:textId="15EAB0FB">
      <w:pPr>
        <w:jc w:val="both"/>
      </w:pPr>
      <w:r>
        <w:rPr>
          <w:b/>
          <w:bCs/>
        </w:rPr>
        <w:t xml:space="preserve">Artikel 12 (Sicherheit und Gesundheit) </w:t>
      </w:r>
      <w:r>
        <w:t xml:space="preserve">verbietet ausdrücklich den Einsatz von Algorithmen, die einen unverhältnismäßigen Druck auf die Arbeitnehmer ausüben oder deren körperliche oder geistige Gesundheit gefährden. Dies umfasst das Verbot von Systemen, die gefährliches Verhalten fördern (z. B. zu schnelles Fahren bei Lieferfahrern) oder notwendige Pausen verhindern.</w:t>
      </w:r>
    </w:p>
    <w:p w:rsidR="00983F19" w:rsidP="00750824" w:rsidRDefault="00000000" w14:paraId="79351DBD" w14:textId="77777777">
      <w:pPr>
        <w:pStyle w:val="Naslov2"/>
        <w:jc w:val="both"/>
      </w:pPr>
      <w:bookmarkStart w:name="_Toc233699490" w:id="31"/>
      <w:bookmarkStart w:name="ugotovitve-iz-prakse-1" w:id="32"/>
      <w:bookmarkEnd w:id="30"/>
      <w:r>
        <w:t xml:space="preserve">4.2 Erkenntnisse aus der Praxis</w:t>
      </w:r>
      <w:bookmarkEnd w:id="31"/>
    </w:p>
    <w:p w:rsidR="00983F19" w:rsidP="00750824" w:rsidRDefault="00000000" w14:paraId="05C2DE1D" w14:textId="77777777">
      <w:pPr>
        <w:pStyle w:val="Naslov3"/>
        <w:jc w:val="both"/>
      </w:pPr>
      <w:bookmarkStart w:name="algoritem-kot-šef-v-stroju" w:id="33"/>
      <w:r>
        <w:t xml:space="preserve">Der Algorithmus als „Chef in der Maschine“</w:t>
      </w:r>
    </w:p>
    <w:p w:rsidR="00983F19" w:rsidP="00750824" w:rsidRDefault="00000000" w14:paraId="1FCFBB28" w14:textId="72E72BD0">
      <w:pPr>
        <w:jc w:val="both"/>
      </w:pPr>
      <w:r>
        <w:t xml:space="preserve">Die Praxis </w:t>
      </w:r>
      <w:r>
        <w:t xml:space="preserve">der Plattformarbeit zeigt, dass die algorithmische Steuerung nicht nur ein technisches Werkzeug zur Arbeitsorganisation darstellt, sondern ein umfassendes Kontrollsystem, das alle klassischen Führungsfunktionen übernimmt </w:t>
      </w:r>
      <w:r w:rsidR="00D7386B">
        <w:t xml:space="preserve">– </w:t>
      </w:r>
      <w:r>
        <w:t xml:space="preserve">Aufgabenverteilung, Leistungsbewertung, Überwachung, </w:t>
      </w:r>
      <w:r w:rsidR="00944A43">
        <w:t xml:space="preserve">Sanktionierung </w:t>
      </w:r>
      <w:r>
        <w:t xml:space="preserve">und Entlassung </w:t>
      </w:r>
      <w:r w:rsidR="00D7386B">
        <w:t xml:space="preserve">– </w:t>
      </w:r>
      <w:r>
        <w:t xml:space="preserve">oft ohne jegliche menschliche Intervention.</w:t>
      </w:r>
    </w:p>
    <w:p w:rsidR="00D90A18" w:rsidP="00750824" w:rsidRDefault="00D90A18" w14:paraId="7F4B9EFB" w14:textId="77777777">
      <w:pPr>
        <w:jc w:val="both"/>
      </w:pPr>
    </w:p>
    <w:p w:rsidR="00983F19" w:rsidP="00750824" w:rsidRDefault="00000000" w14:paraId="131EFEE5" w14:textId="0BC879B3">
      <w:pPr>
        <w:jc w:val="both"/>
      </w:pPr>
      <w:r w:rsidR="00944A43">
        <w:t xml:space="preserve">Das</w:t>
      </w:r>
      <w:r>
        <w:t xml:space="preserve"> österreichische </w:t>
      </w:r>
      <w:r w:rsidR="00944A43">
        <w:t xml:space="preserve">Beispiel </w:t>
      </w:r>
      <w:r>
        <w:t xml:space="preserve">veranschaulicht den Mechanismus dieser Kontrolle anhand von drei Ebenen: Auf </w:t>
      </w:r>
      <w:r>
        <w:rPr>
          <w:b/>
          <w:bCs/>
        </w:rPr>
        <w:t xml:space="preserve">der</w:t>
      </w:r>
      <w:r>
        <w:t xml:space="preserve"> ersten, </w:t>
      </w:r>
      <w:r>
        <w:rPr>
          <w:b/>
          <w:bCs/>
        </w:rPr>
        <w:t xml:space="preserve">der Datenebene</w:t>
      </w:r>
      <w:r>
        <w:t xml:space="preserve">, erfasst die Plattform über das Smartphone kontinuierlich Daten, die ein menschlicher Vorgesetzter niemals verfolgen könnte: GPS-Standort, Beschleunigung, Inaktivitätszeiten, Reaktionsgeschwindigkeit auf Aufträge </w:t>
      </w:r>
      <w:r w:rsidR="00944A43">
        <w:t xml:space="preserve">…</w:t>
      </w:r>
    </w:p>
    <w:p w:rsidR="00D90A18" w:rsidP="00750824" w:rsidRDefault="00D90A18" w14:paraId="27254679" w14:textId="77777777">
      <w:pPr>
        <w:jc w:val="both"/>
      </w:pPr>
    </w:p>
    <w:p w:rsidR="00983F19" w:rsidP="00750824" w:rsidRDefault="00000000" w14:paraId="5C0D5B09" w14:textId="2ECE3FAC">
      <w:pPr>
        <w:jc w:val="both"/>
      </w:pPr>
      <w:r>
        <w:t xml:space="preserve">Auf </w:t>
      </w:r>
      <w:r>
        <w:rPr>
          <w:b/>
          <w:bCs/>
        </w:rPr>
        <w:t xml:space="preserve">der</w:t>
      </w:r>
      <w:r>
        <w:t xml:space="preserve"> zweiten, </w:t>
      </w:r>
      <w:r>
        <w:rPr>
          <w:b/>
          <w:bCs/>
        </w:rPr>
        <w:t xml:space="preserve">der Prozessebene</w:t>
      </w:r>
      <w:r>
        <w:t xml:space="preserve">, werden diese Daten in </w:t>
      </w:r>
      <w:r>
        <w:t xml:space="preserve">undurchsichtige </w:t>
      </w:r>
      <w:r>
        <w:t xml:space="preserve">Leistungskennzahlen </w:t>
      </w:r>
      <w:r>
        <w:t xml:space="preserve">umgewandelt</w:t>
      </w:r>
      <w:r>
        <w:t xml:space="preserve">, die über das Verbleiben des Arbeitnehmers auf der Plattform entscheiden. Ein typisches Beispiel ist </w:t>
      </w:r>
      <w:r>
        <w:t xml:space="preserve">die</w:t>
      </w:r>
      <w:r>
        <w:t xml:space="preserve"> sogenannte </w:t>
      </w:r>
      <w:r w:rsidR="00A275F6">
        <w:t xml:space="preserve">„</w:t>
      </w:r>
      <w:r>
        <w:t xml:space="preserve">Exzellenzbewertung</w:t>
      </w:r>
      <w:r w:rsidR="00A275F6">
        <w:t xml:space="preserve">“, </w:t>
      </w:r>
      <w:r>
        <w:t xml:space="preserve">die beispielsweise </w:t>
      </w:r>
      <w:r>
        <w:t xml:space="preserve">von Foodora</w:t>
      </w:r>
      <w:r>
        <w:t xml:space="preserve"> verwendet wird </w:t>
      </w:r>
      <w:r w:rsidR="00D7386B">
        <w:t xml:space="preserve">– </w:t>
      </w:r>
      <w:r>
        <w:t xml:space="preserve">eine </w:t>
      </w:r>
      <w:r>
        <w:t xml:space="preserve">gamifizierte </w:t>
      </w:r>
      <w:r>
        <w:t xml:space="preserve">Kennzahl von 0 bis 100, die auf der Grundlage von Kundenbewertungen, Effizienz und Verfügbarkeit in Zeiten erhöhter Nachfrage berechnet wird. Eine höhere Bewertung ermöglicht vorrangigen Zugang zum Dienstplan und zu lukrativen Schichten</w:t>
      </w:r>
      <w:r w:rsidR="00A275F6">
        <w:t xml:space="preserve">, während </w:t>
      </w:r>
      <w:r>
        <w:t xml:space="preserve">eine niedrigere Bewertung den Arbeitnehmer faktisch dafür bestraft, dass er seine Freizeit nutzt.</w:t>
      </w:r>
    </w:p>
    <w:p w:rsidR="00D90A18" w:rsidP="00750824" w:rsidRDefault="00D90A18" w14:paraId="076A4243" w14:textId="77777777">
      <w:pPr>
        <w:jc w:val="both"/>
      </w:pPr>
    </w:p>
    <w:p w:rsidR="00983F19" w:rsidP="00750824" w:rsidRDefault="00000000" w14:paraId="127CBD97" w14:textId="7110B01F">
      <w:pPr>
        <w:jc w:val="both"/>
      </w:pPr>
      <w:r>
        <w:t xml:space="preserve">Auf </w:t>
      </w:r>
      <w:r>
        <w:rPr>
          <w:b/>
          <w:bCs/>
        </w:rPr>
        <w:t xml:space="preserve">der</w:t>
      </w:r>
      <w:r>
        <w:t xml:space="preserve"> dritten, </w:t>
      </w:r>
      <w:r>
        <w:rPr>
          <w:b/>
          <w:bCs/>
        </w:rPr>
        <w:t xml:space="preserve">der Ausführungsebene</w:t>
      </w:r>
      <w:r>
        <w:t xml:space="preserve">, gibt das System nicht nur Empfehlungen ab, sondern setzt Entscheidungen eigenständig um </w:t>
      </w:r>
      <w:r w:rsidR="00D7386B">
        <w:t xml:space="preserve">– </w:t>
      </w:r>
      <w:r>
        <w:t xml:space="preserve">einschließlich </w:t>
      </w:r>
      <w:r>
        <w:t xml:space="preserve">des</w:t>
      </w:r>
      <w:r>
        <w:t xml:space="preserve"> sogenannten </w:t>
      </w:r>
      <w:r w:rsidR="00A275F6">
        <w:t xml:space="preserve">„Roboter-Rauswurfs“ </w:t>
      </w:r>
      <w:r>
        <w:t xml:space="preserve">(</w:t>
      </w:r>
      <w:r w:rsidR="00A275F6">
        <w:t xml:space="preserve">„Robo-Firing“</w:t>
      </w:r>
      <w:r>
        <w:t xml:space="preserve">), bei der das Konto eines Arbeitnehmers automatisch </w:t>
      </w:r>
      <w:r>
        <w:t xml:space="preserve">deaktiviert</w:t>
      </w:r>
      <w:r>
        <w:t xml:space="preserve"> wird</w:t>
      </w:r>
      <w:r>
        <w:t xml:space="preserve">, wenn seine Kennzahlen unter einen vorab festgelegten Schwellenwert fallen (z. B. eine Stornierungsrate von 20 Prozent bei </w:t>
      </w:r>
      <w:r>
        <w:t xml:space="preserve">Uber</w:t>
      </w:r>
      <w:r>
        <w:t xml:space="preserve">), oft ohne jegliche menschliche Überprüfung oder die Möglichkeit einer Erklärung. Dieses System schafft ein Umfeld ständigen </w:t>
      </w:r>
      <w:r w:rsidR="00A275F6">
        <w:t xml:space="preserve">„Technostresses“, </w:t>
      </w:r>
      <w:r>
        <w:t xml:space="preserve">in dem die Angst vor dem Algorithmus gefährliche Verhaltensmuster hervorruft </w:t>
      </w:r>
      <w:r w:rsidR="00A275F6">
        <w:t xml:space="preserve">– </w:t>
      </w:r>
      <w:r>
        <w:t xml:space="preserve">von überhöhter Geschwindigkeit bei </w:t>
      </w:r>
      <w:r w:rsidR="00A275F6">
        <w:t xml:space="preserve">Lieferfahrern </w:t>
      </w:r>
      <w:r>
        <w:t xml:space="preserve">bis hin zum Verzicht auf Pausen </w:t>
      </w:r>
      <w:r w:rsidR="00A275F6">
        <w:t xml:space="preserve">– </w:t>
      </w:r>
      <w:r>
        <w:t xml:space="preserve">und zu chronischer Angst bei den Beschäftigten führt.</w:t>
      </w:r>
    </w:p>
    <w:p w:rsidR="00983F19" w:rsidP="00750824" w:rsidRDefault="00000000" w14:paraId="5681F4A3" w14:textId="77777777">
      <w:pPr>
        <w:pStyle w:val="Naslov3"/>
        <w:jc w:val="both"/>
      </w:pPr>
      <w:bookmarkStart w:name="izkušnje-iz-držav-partneric-projekta" w:id="34"/>
      <w:bookmarkEnd w:id="33"/>
      <w:r>
        <w:t xml:space="preserve">Erfahrungen aus den Partnerländern des Projekts</w:t>
      </w:r>
    </w:p>
    <w:p w:rsidR="00983F19" w:rsidP="00750824" w:rsidRDefault="00000000" w14:paraId="5293068D" w14:textId="0693E896">
      <w:pPr>
        <w:jc w:val="both"/>
      </w:pPr>
      <w:r>
        <w:rPr>
          <w:b/>
          <w:bCs/>
        </w:rPr>
        <w:t xml:space="preserve">In Österreich </w:t>
      </w:r>
      <w:r>
        <w:t xml:space="preserve">wurde 2020 der erste Branchentarifvertrag für </w:t>
      </w:r>
      <w:r>
        <w:t xml:space="preserve">Plattform-Lieferfahrer</w:t>
      </w:r>
      <w:r>
        <w:t xml:space="preserve"> unterzeichnet</w:t>
      </w:r>
      <w:r>
        <w:t xml:space="preserve">, der zwischen der Gewerkschaft </w:t>
      </w:r>
      <w:r w:rsidR="00A275F6">
        <w:t xml:space="preserve">VIDA </w:t>
      </w:r>
      <w:r>
        <w:t xml:space="preserve">und den Arbeitgeberverbänden </w:t>
      </w:r>
      <w:r>
        <w:t xml:space="preserve">geschlossen wurde</w:t>
      </w:r>
      <w:r>
        <w:t xml:space="preserve">. Der Vertrag sicherte Mindestlöhne (bis 2023 über 1.730 </w:t>
      </w:r>
      <w:r w:rsidR="00A275F6">
        <w:t xml:space="preserve">Euro</w:t>
      </w:r>
      <w:r>
        <w:t xml:space="preserve">) und Ausstattungszuschüsse, war jedoch bei der Regulierung des Algorithmus selbst deutlich weniger erfolgreich </w:t>
      </w:r>
      <w:r w:rsidR="00D7386B">
        <w:t xml:space="preserve">– </w:t>
      </w:r>
      <w:r>
        <w:t xml:space="preserve">er enthält nämlich keine vergleichbaren Bestimmungen zur Datentransparenz, wie sie in den Vereinbarungen </w:t>
      </w:r>
      <w:r>
        <w:t xml:space="preserve">in</w:t>
      </w:r>
      <w:r>
        <w:lastRenderedPageBreak/>
      </w:r>
      <w:r>
        <w:t xml:space="preserve"> Spanien oder Dänemark </w:t>
      </w:r>
      <w:r>
        <w:t xml:space="preserve">zu finden sind</w:t>
      </w:r>
      <w:r>
        <w:t xml:space="preserve">. Der zentrale Konflikt auf dem österreichischen Arbeitsmarkt bleibt der Status </w:t>
      </w:r>
      <w:r>
        <w:t xml:space="preserve">des</w:t>
      </w:r>
      <w:r w:rsidR="00A275F6">
        <w:t xml:space="preserve"> „</w:t>
      </w:r>
      <w:r>
        <w:t xml:space="preserve">freien </w:t>
      </w:r>
      <w:r w:rsidR="00A275F6">
        <w:t xml:space="preserve">Dienstnehmers“ </w:t>
      </w:r>
      <w:r>
        <w:t xml:space="preserve">(</w:t>
      </w:r>
      <w:r>
        <w:t xml:space="preserve">„Freier </w:t>
      </w:r>
      <w:r w:rsidR="00A275F6">
        <w:t xml:space="preserve">Dienstnehmer“</w:t>
      </w:r>
      <w:r>
        <w:t xml:space="preserve">), ein hybrider Status zwischen Arbeitnehmer und Selbstständigem, den Plattformen wie </w:t>
      </w:r>
      <w:r>
        <w:t xml:space="preserve">Foodora </w:t>
      </w:r>
      <w:r>
        <w:t xml:space="preserve">und </w:t>
      </w:r>
      <w:r>
        <w:t xml:space="preserve">Lieferando </w:t>
      </w:r>
      <w:r>
        <w:t xml:space="preserve">aggressiv ausnutzen. Die Reform, die im Januar 2026 in Kraft treten wird, sieht gesetzliche Kündigungsfristen und die Möglichkeit vor</w:t>
      </w:r>
      <w:r w:rsidR="003A5607">
        <w:t xml:space="preserve">,</w:t>
      </w:r>
      <w:r>
        <w:t xml:space="preserve"> freie Dienstnehmer in Tarifverträge einzubeziehen</w:t>
      </w:r>
      <w:r w:rsidR="003A5607">
        <w:t xml:space="preserve">, </w:t>
      </w:r>
      <w:r>
        <w:t xml:space="preserve">was den Weg für Verhandlungen über algorithmische Schutzmaßnahmen auch für diese </w:t>
      </w:r>
      <w:r w:rsidR="003A5607">
        <w:t xml:space="preserve">Arbeitnehmergruppe</w:t>
      </w:r>
      <w:r>
        <w:t xml:space="preserve"> ebnet</w:t>
      </w:r>
      <w:r>
        <w:t xml:space="preserve">.</w:t>
      </w:r>
    </w:p>
    <w:p w:rsidR="00D90A18" w:rsidP="00750824" w:rsidRDefault="00D90A18" w14:paraId="6D6F3A4B" w14:textId="77777777">
      <w:pPr>
        <w:jc w:val="both"/>
      </w:pPr>
    </w:p>
    <w:p w:rsidR="00983F19" w:rsidP="00750824" w:rsidRDefault="00000000" w14:paraId="5F1C3EBD" w14:textId="363F28E3">
      <w:pPr>
        <w:jc w:val="both"/>
      </w:pPr>
      <w:r>
        <w:t xml:space="preserve">Eine strukturelle Herausforderung in Österreich bleibt die Definition </w:t>
      </w:r>
      <w:r w:rsidR="003A5607">
        <w:t xml:space="preserve">des „Betriebs</w:t>
      </w:r>
      <w:r>
        <w:t xml:space="preserve">“: Das österreichische Recht verlangt für die Einrichtung eines Betriebsrats eine physische Geschäftsstelle, was es Plattformen, die zentral von Berlin oder anderswo aus gesteuert werden, ermöglicht, die Mitbestimmung der Arbeitnehmer zu umgehen. Während </w:t>
      </w:r>
      <w:r>
        <w:t xml:space="preserve">die Foodora-</w:t>
      </w:r>
      <w:r>
        <w:t xml:space="preserve">Kuriere </w:t>
      </w:r>
      <w:r>
        <w:t xml:space="preserve">erfolgreich einen Betriebsrat gegründet </w:t>
      </w:r>
      <w:r>
        <w:t xml:space="preserve">haben</w:t>
      </w:r>
      <w:r>
        <w:t xml:space="preserve">, hat </w:t>
      </w:r>
      <w:r>
        <w:t xml:space="preserve">Lieferando </w:t>
      </w:r>
      <w:r>
        <w:t xml:space="preserve">ähnliche Versuche rechtlich angefochten.</w:t>
      </w:r>
    </w:p>
    <w:p w:rsidR="00D90A18" w:rsidP="00750824" w:rsidRDefault="00D90A18" w14:paraId="599FBD4A" w14:textId="77777777">
      <w:pPr>
        <w:jc w:val="both"/>
      </w:pPr>
    </w:p>
    <w:p w:rsidR="00983F19" w:rsidP="00750824" w:rsidRDefault="00000000" w14:paraId="602D978C" w14:textId="1838B825">
      <w:pPr>
        <w:jc w:val="both"/>
      </w:pPr>
      <w:r>
        <w:t xml:space="preserve">In</w:t>
      </w:r>
      <w:r>
        <w:rPr>
          <w:b/>
          <w:bCs/>
        </w:rPr>
        <w:t xml:space="preserve"> Slowenien </w:t>
      </w:r>
      <w:r>
        <w:t xml:space="preserve">herrscht eine deutliche Dominanz einer einzigen Plattform, </w:t>
      </w:r>
      <w:r>
        <w:t xml:space="preserve">Wolt</w:t>
      </w:r>
      <w:r>
        <w:t xml:space="preserve">, bei der die Beschäftigten als Selbstständige tätig sind und keinen Zugang zu Informationen über die Funktionsweise des Algorithmus haben. Die Podiumsdiskussion hat gezeigt, dass die Beschäftigten oft gar nicht verstehen, dass es der Algorithmus ist, der ihre Arbeitsbedingungen bestimmt </w:t>
      </w:r>
      <w:r w:rsidR="00D7386B">
        <w:t xml:space="preserve">– </w:t>
      </w:r>
      <w:r>
        <w:t xml:space="preserve">von der Zuweisung der Aufträge bis hin zum tatsächlichen Verdienst. Die gewerkschaftliche Organisierung wird zusätzlich erschwert, da ein großer Teil der Beschäftigten Migranten sind, die mit Studentenvisa arbeiten, ihre Rechte nicht kennen und sich in </w:t>
      </w:r>
      <w:r>
        <w:t xml:space="preserve">einer </w:t>
      </w:r>
      <w:r>
        <w:t xml:space="preserve">noch </w:t>
      </w:r>
      <w:r>
        <w:t xml:space="preserve">prekäreren </w:t>
      </w:r>
      <w:r>
        <w:t xml:space="preserve">Lage </w:t>
      </w:r>
      <w:r>
        <w:t xml:space="preserve">befinden</w:t>
      </w:r>
      <w:r>
        <w:t xml:space="preserve">. Eine zentrale Erkenntnis für Slowenien </w:t>
      </w:r>
      <w:r w:rsidR="003A5607">
        <w:t xml:space="preserve">ist, dass </w:t>
      </w:r>
      <w:r>
        <w:t xml:space="preserve">viele Arbeitnehmer erwarten, dass ihre Probleme vom Ministerium oder durch den Wettbewerb gelöst werden und nicht durch Tarifverhandlungen, was auch auf ein mangelndes Bewusstsein für die Rolle des sozialen Dialogs bei der Regulierung des algorithmischen Managements hindeutet.</w:t>
      </w:r>
    </w:p>
    <w:p w:rsidR="00D90A18" w:rsidP="00750824" w:rsidRDefault="00D90A18" w14:paraId="501BC3A1" w14:textId="77777777">
      <w:pPr>
        <w:jc w:val="both"/>
      </w:pPr>
    </w:p>
    <w:p w:rsidR="00983F19" w:rsidP="00750824" w:rsidRDefault="00000000" w14:paraId="542CD54C" w14:textId="3BFB7244">
      <w:pPr>
        <w:jc w:val="both"/>
      </w:pPr>
      <w:r>
        <w:rPr>
          <w:b/>
          <w:bCs/>
        </w:rPr>
        <w:t xml:space="preserve">Italien </w:t>
      </w:r>
      <w:r>
        <w:t xml:space="preserve">sticht durch die Erfahrung mit einem Tarifvertrag mit </w:t>
      </w:r>
      <w:r>
        <w:t xml:space="preserve">JustEat</w:t>
      </w:r>
      <w:r>
        <w:t xml:space="preserve"> hervor</w:t>
      </w:r>
      <w:r>
        <w:t xml:space="preserve">, der den Druck des Algorithmus durch </w:t>
      </w:r>
      <w:r>
        <w:t xml:space="preserve">eine</w:t>
      </w:r>
      <w:r w:rsidR="003A5607">
        <w:t xml:space="preserve"> festgelegte </w:t>
      </w:r>
      <w:r>
        <w:t xml:space="preserve">Höchstzahl von Lieferungen </w:t>
      </w:r>
      <w:r w:rsidR="003A5607">
        <w:t xml:space="preserve">– </w:t>
      </w:r>
      <w:r>
        <w:t xml:space="preserve">vier pro Stunde – </w:t>
      </w:r>
      <w:r>
        <w:t xml:space="preserve">begrenzt</w:t>
      </w:r>
      <w:r>
        <w:t xml:space="preserve">. Dieser Ansatz stellt die Sicherheit der Menschen vor die algorithmische Optimierung und stellt sicher, dass das Streben nach Effizienz die körperlichen Grenzen der Beschäftigten nicht außer Acht lässt.</w:t>
      </w:r>
    </w:p>
    <w:p w:rsidR="00D90A18" w:rsidP="00750824" w:rsidRDefault="00D90A18" w14:paraId="56FFAE55" w14:textId="77777777">
      <w:pPr>
        <w:jc w:val="both"/>
      </w:pPr>
    </w:p>
    <w:p w:rsidR="00983F19" w:rsidP="00750824" w:rsidRDefault="00000000" w14:paraId="29CFD809" w14:textId="4A63BC91">
      <w:pPr>
        <w:jc w:val="both"/>
      </w:pPr>
      <w:r>
        <w:rPr>
          <w:b/>
          <w:bCs/>
        </w:rPr>
        <w:t xml:space="preserve">Spanien </w:t>
      </w:r>
      <w:r>
        <w:t xml:space="preserve">ist ein Paradebeispiel sowohl für Erfolge als auch für Fallstricke. Nach der Verabschiedung des Gesetzes über Lieferfahrer schlossen die Gewerkschaften CCOO und UGT einen Tarifvertrag mit </w:t>
      </w:r>
      <w:r>
        <w:t xml:space="preserve">JustEat </w:t>
      </w:r>
      <w:r>
        <w:t xml:space="preserve">España </w:t>
      </w:r>
      <w:r>
        <w:t xml:space="preserve">ab</w:t>
      </w:r>
      <w:r>
        <w:t xml:space="preserve">, der nicht nur die Löhne regelt, sondern auch eine gemeinsame Kommission zur Überwachung des Algorithmus einrichtet </w:t>
      </w:r>
      <w:r w:rsidR="00D7386B">
        <w:t xml:space="preserve">– </w:t>
      </w:r>
      <w:r>
        <w:t xml:space="preserve">ein Gremium, das regelmäßig zusammentritt, um die Fairness der algorithmischen Parameter zu überprüfen, einschließlich der Frage, ob der Zuweisungsalgorithmus bestimmte Gebiete oder Bevölkerungsgruppen diskriminiert. Die Erfahrungen in Spanien offenbaren jedoch auch eine entscheidende Falle: Das Gesetz schreibt zwar den Zugang zu den algorithmischen Parametern vor, </w:t>
      </w:r>
      <w:r w:rsidRPr="005418CA">
        <w:t xml:space="preserve">sieht </w:t>
      </w:r>
      <w:r>
        <w:t xml:space="preserve">jedoch </w:t>
      </w:r>
      <w:r w:rsidRPr="005418CA">
        <w:t xml:space="preserve">keine Konsequenzen für die Nichteinhaltung dieser Vorschrift vor</w:t>
      </w:r>
      <w:r w:rsidRPr="00873676">
        <w:t xml:space="preserve">.</w:t>
      </w:r>
    </w:p>
    <w:p w:rsidR="00D90A18" w:rsidP="00750824" w:rsidRDefault="00D90A18" w14:paraId="259F8CFD" w14:textId="77777777">
      <w:pPr>
        <w:jc w:val="both"/>
      </w:pPr>
    </w:p>
    <w:p w:rsidR="00983F19" w:rsidP="00750824" w:rsidRDefault="00000000" w14:paraId="74F096D4" w14:textId="5DA98B40">
      <w:pPr>
        <w:jc w:val="both"/>
      </w:pPr>
      <w:r>
        <w:t xml:space="preserve">Nach der Verabschiedung des Gesetzes hat </w:t>
      </w:r>
      <w:r>
        <w:t xml:space="preserve">Glovo </w:t>
      </w:r>
      <w:r>
        <w:t xml:space="preserve">sein gesamtes Geschäftsmodell umstrukturiert</w:t>
      </w:r>
      <w:r w:rsidR="00873676">
        <w:t xml:space="preserve">. </w:t>
      </w:r>
      <w:r>
        <w:t xml:space="preserve">Anstatt die meisten Lieferanten fest anzustellen, bot er ihnen lediglich Minimalverträge mit einer geringen wöchentlichen Stundenzahl an, die die meisten nicht akzeptierten; gleichzeitig änderte er die algorithmischen Parameter so, dass der Anschein von Autonomie erweckt wurde. Erst die Androhung strafrechtlicher Haftung </w:t>
      </w:r>
      <w:r w:rsidR="00D7386B">
        <w:t xml:space="preserve">– </w:t>
      </w:r>
      <w:r>
        <w:t xml:space="preserve">nicht die Forderung nach Transparenz </w:t>
      </w:r>
      <w:r w:rsidR="00D7386B">
        <w:t xml:space="preserve">– </w:t>
      </w:r>
      <w:r>
        <w:t xml:space="preserve">zwang die Plattform zur Einhaltung </w:t>
      </w:r>
      <w:r w:rsidR="00873676">
        <w:t xml:space="preserve">des Gesetzes</w:t>
      </w:r>
      <w:r>
        <w:t xml:space="preserve">. </w:t>
      </w:r>
    </w:p>
    <w:p w:rsidR="00D90A18" w:rsidP="00750824" w:rsidRDefault="00D90A18" w14:paraId="4CD749D0" w14:textId="77777777">
      <w:pPr>
        <w:jc w:val="both"/>
      </w:pPr>
    </w:p>
    <w:p w:rsidR="00983F19" w:rsidP="00750824" w:rsidRDefault="00000000" w14:paraId="7A3781B5" w14:textId="776D3D41">
      <w:pPr>
        <w:jc w:val="both"/>
      </w:pPr>
      <w:r>
        <w:rPr>
          <w:b/>
          <w:bCs/>
        </w:rPr>
        <w:t xml:space="preserve">Dänemark </w:t>
      </w:r>
      <w:r>
        <w:t xml:space="preserve">bietet ein innovatives Haftungsmodell: Eine Vereinbarung zwischen der Gewerkschaft 3F und der Reinigungsplattform </w:t>
      </w:r>
      <w:r>
        <w:t xml:space="preserve">Hilfr </w:t>
      </w:r>
      <w:r>
        <w:t xml:space="preserve">legt fest, dass die Plattform für jede automatisierte Entscheidung rechtlich haftbar bleibt. Entscheidend </w:t>
      </w:r>
      <w:r w:rsidR="00873676">
        <w:t xml:space="preserve">ist, dass </w:t>
      </w:r>
      <w:r>
        <w:t xml:space="preserve">die Beweislast </w:t>
      </w:r>
      <w:r>
        <w:t xml:space="preserve">auf die Plattform verlagert </w:t>
      </w:r>
      <w:r w:rsidR="00873676">
        <w:t xml:space="preserve">wird</w:t>
      </w:r>
      <w:r w:rsidR="00873676">
        <w:t xml:space="preserve">: </w:t>
      </w:r>
      <w:r>
        <w:t xml:space="preserve">Wenn ein Algorithmus </w:t>
      </w:r>
      <w:r>
        <w:t xml:space="preserve">einen Arbeitnehmer </w:t>
      </w:r>
      <w:r>
        <w:t xml:space="preserve">deaktiviert </w:t>
      </w:r>
      <w:r>
        <w:t xml:space="preserve">oder dessen Profil ausblendet und die Plattform nicht in verständlicher Sprache erklären kann, warum, ist die Entscheidung automatisch ungültig. Dies verhindert wirksam </w:t>
      </w:r>
      <w:r w:rsidR="00873676">
        <w:t xml:space="preserve">unbegründete Sanktionen.</w:t>
      </w:r>
    </w:p>
    <w:p w:rsidR="00983F19" w:rsidP="00750824" w:rsidRDefault="00000000" w14:paraId="3E77F218" w14:textId="77777777">
      <w:pPr>
        <w:pStyle w:val="Naslov3"/>
        <w:jc w:val="both"/>
      </w:pPr>
      <w:bookmarkStart w:name="skupne-ugotovitve" w:id="35"/>
      <w:bookmarkEnd w:id="34"/>
      <w:r>
        <w:lastRenderedPageBreak/>
      </w:r>
      <w:r>
        <w:t xml:space="preserve">Gemeinsame Schlussfolgerungen</w:t>
      </w:r>
    </w:p>
    <w:p w:rsidR="00983F19" w:rsidP="00750824" w:rsidRDefault="00000000" w14:paraId="1A8F4795" w14:textId="77777777">
      <w:pPr>
        <w:jc w:val="both"/>
      </w:pPr>
      <w:r>
        <w:t xml:space="preserve">Aus der vergleichenden Analyse lassen sich drei zentrale Muster ableiten:</w:t>
      </w:r>
    </w:p>
    <w:p w:rsidR="00D90A18" w:rsidP="00750824" w:rsidRDefault="00D90A18" w14:paraId="05B9CFD6" w14:textId="77777777">
      <w:pPr>
        <w:jc w:val="both"/>
      </w:pPr>
    </w:p>
    <w:p w:rsidR="00983F19" w:rsidP="00750824" w:rsidRDefault="00000000" w14:paraId="4466FAC4" w14:textId="77777777">
      <w:pPr>
        <w:jc w:val="both"/>
      </w:pPr>
      <w:r>
        <w:t xml:space="preserve">Erstens </w:t>
      </w:r>
      <w:r>
        <w:t xml:space="preserve">bleibt </w:t>
      </w:r>
      <w:r>
        <w:rPr>
          <w:b/>
          <w:bCs/>
        </w:rPr>
        <w:t xml:space="preserve">die Informationsasymmetrie </w:t>
      </w:r>
      <w:r>
        <w:t xml:space="preserve">ein grundlegendes Problem. Die Plattformen verfügen über alle Daten, während die Arbeitnehmer durch ein System gesteuert werden, in das sie keinen </w:t>
      </w:r>
      <w:r>
        <w:t xml:space="preserve">Einblick</w:t>
      </w:r>
      <w:r>
        <w:t xml:space="preserve"> haben</w:t>
      </w:r>
      <w:r>
        <w:t xml:space="preserve">. Ohne Zugang zu den Daten ist es weder möglich, Verstöße zu erkennen noch darüber zu verhandeln.</w:t>
      </w:r>
    </w:p>
    <w:p w:rsidR="00D90A18" w:rsidP="00750824" w:rsidRDefault="00D90A18" w14:paraId="3DAF099E" w14:textId="77777777">
      <w:pPr>
        <w:jc w:val="both"/>
      </w:pPr>
    </w:p>
    <w:p w:rsidR="00983F19" w:rsidP="00750824" w:rsidRDefault="00000000" w14:paraId="7F10D91F" w14:textId="77777777">
      <w:pPr>
        <w:jc w:val="both"/>
      </w:pPr>
      <w:r>
        <w:t xml:space="preserve">Zweitens </w:t>
      </w:r>
      <w:r>
        <w:rPr>
          <w:b/>
          <w:bCs/>
        </w:rPr>
        <w:t xml:space="preserve">ist Transparenz ohne Sanktionen wirkungslos</w:t>
      </w:r>
      <w:r>
        <w:t xml:space="preserve">. Die Erfahrungen in Spanien belegen dies eindeutig: Die gesetzliche Verpflichtung zur Offenlegung algorithmischer Parameter ohne vorgesehene Konsequenzen bei Verstößen ermöglicht es den Plattformen, diese Anforderung einfach zu ignorieren.</w:t>
      </w:r>
    </w:p>
    <w:p w:rsidR="00D90A18" w:rsidP="00750824" w:rsidRDefault="00D90A18" w14:paraId="44667B97" w14:textId="77777777">
      <w:pPr>
        <w:jc w:val="both"/>
      </w:pPr>
    </w:p>
    <w:p w:rsidR="00983F19" w:rsidP="00750824" w:rsidRDefault="00000000" w14:paraId="2AA0171D" w14:textId="2E4F4808">
      <w:pPr>
        <w:jc w:val="both"/>
      </w:pPr>
      <w:r>
        <w:t xml:space="preserve">Drittens </w:t>
      </w:r>
      <w:r>
        <w:rPr>
          <w:b/>
          <w:bCs/>
        </w:rPr>
        <w:t xml:space="preserve">geht die algorithmische Steuerung über </w:t>
      </w:r>
      <w:r>
        <w:rPr>
          <w:b/>
          <w:bCs/>
        </w:rPr>
        <w:t xml:space="preserve">die Arbeit </w:t>
      </w:r>
      <w:r>
        <w:rPr>
          <w:b/>
          <w:bCs/>
        </w:rPr>
        <w:t xml:space="preserve">auf Plattformen</w:t>
      </w:r>
      <w:r>
        <w:rPr>
          <w:b/>
          <w:bCs/>
        </w:rPr>
        <w:t xml:space="preserve"> hinaus</w:t>
      </w:r>
      <w:r>
        <w:t xml:space="preserve">. Wie der österreichische Beitrag hervorhebt, </w:t>
      </w:r>
      <w:r>
        <w:t xml:space="preserve">breiten </w:t>
      </w:r>
      <w:r>
        <w:t xml:space="preserve">sich Praktiken </w:t>
      </w:r>
      <w:r>
        <w:t xml:space="preserve">des</w:t>
      </w:r>
      <w:r>
        <w:t xml:space="preserve"> digitalen </w:t>
      </w:r>
      <w:r>
        <w:t xml:space="preserve">Taylorismus </w:t>
      </w:r>
      <w:r>
        <w:t xml:space="preserve">rasch auf klassische Arbeitsumfelder aus </w:t>
      </w:r>
      <w:r w:rsidR="00D7386B">
        <w:t xml:space="preserve">– </w:t>
      </w:r>
      <w:r>
        <w:t xml:space="preserve">Logistik, Einzelhandel, Gastronomie, Gesundheitswesen. Eine Regulierung, die sich ausschließlich auf Plattformen beschränkt, wird in wenigen Jahren überholt sein.</w:t>
      </w:r>
    </w:p>
    <w:p w:rsidR="00983F19" w:rsidP="00750824" w:rsidRDefault="00000000" w14:paraId="5AA38368" w14:textId="77777777">
      <w:pPr>
        <w:pStyle w:val="Naslov2"/>
        <w:jc w:val="both"/>
      </w:pPr>
      <w:bookmarkStart w:name="_Toc233699491" w:id="36"/>
      <w:bookmarkStart w:name="priporočila-1" w:id="37"/>
      <w:bookmarkEnd w:id="32"/>
      <w:bookmarkEnd w:id="35"/>
      <w:r>
        <w:t xml:space="preserve">4.3 Empfehlungen</w:t>
      </w:r>
      <w:bookmarkEnd w:id="36"/>
    </w:p>
    <w:p w:rsidR="00983F19" w:rsidP="00750824" w:rsidRDefault="00000000" w14:paraId="4DF51EBF" w14:textId="77777777">
      <w:pPr>
        <w:jc w:val="both"/>
      </w:pPr>
      <w:r>
        <w:t xml:space="preserve">Auf der Grundlage einer Analyse der Anforderungen der Richtlinie, praktischer Erfahrungen und der Diskussionen der Expertengruppe der Europäischen Kommission formulieren wir die folgenden Empfehlungen für die Mitgliedstaaten zur Umsetzung von Kapitel III der Richtlinie in nationales Recht.</w:t>
      </w:r>
    </w:p>
    <w:p w:rsidR="00D90A18" w:rsidP="00750824" w:rsidRDefault="00D90A18" w14:paraId="4FA969CA" w14:textId="77777777">
      <w:pPr>
        <w:jc w:val="both"/>
      </w:pPr>
    </w:p>
    <w:p w:rsidR="00D90A18" w:rsidP="00750824" w:rsidRDefault="00000000" w14:paraId="3CB79453" w14:textId="29A95505">
      <w:pPr>
        <w:pStyle w:val="Naslov3"/>
        <w:jc w:val="both"/>
      </w:pPr>
      <w:r>
        <w:t xml:space="preserve">Empfehlung 4.1 [ÜBERSTEIGT DIE MINDESTANFORDERUNGEN]: Automatische Ungültigkeit nicht begründeter algorithmischer Entscheidungen</w:t>
      </w:r>
    </w:p>
    <w:p w:rsidR="00983F19" w:rsidP="00750824" w:rsidRDefault="00000000" w14:paraId="69C20213" w14:textId="6F319C59">
      <w:pPr>
        <w:jc w:val="both"/>
      </w:pPr>
      <w:r>
        <w:t xml:space="preserve">Zur Stärkung der Transparenz schlagen wir die Einführung eines Mechanismus vor, wonach jede algorithmische Entscheidung (z. B. über die Sperrung eines Kontos oder die Kürzung einer Vergütung), die die Plattform nicht in verständlicher Sprache begründen kann, </w:t>
      </w:r>
      <w:r>
        <w:rPr>
          <w:b/>
          <w:bCs/>
        </w:rPr>
        <w:t xml:space="preserve">automatisch ungültig </w:t>
      </w:r>
      <w:r>
        <w:t xml:space="preserve">wird</w:t>
      </w:r>
      <w:r>
        <w:t xml:space="preserve">. Dieser Ansatz, der sich am dänischen Modell orientiert, kehrt die </w:t>
      </w:r>
      <w:r w:rsidR="00844626">
        <w:t xml:space="preserve">Beweislast</w:t>
      </w:r>
      <w:r>
        <w:t xml:space="preserve"> um</w:t>
      </w:r>
      <w:r>
        <w:t xml:space="preserve">: Anstatt dass der Arbeitnehmer die Unrechtmäßigkeit nachweisen muss, muss die Plattform die Verständlichkeit und Rechtmäßigkeit der Entscheidung nachweisen, andernfalls wird diese für nichtig erklärt.</w:t>
      </w:r>
    </w:p>
    <w:p w:rsidR="00D90A18" w:rsidP="00750824" w:rsidRDefault="00D90A18" w14:paraId="52D68F82" w14:textId="77777777">
      <w:pPr>
        <w:jc w:val="both"/>
      </w:pPr>
    </w:p>
    <w:p w:rsidR="00D90A18" w:rsidP="00750824" w:rsidRDefault="00000000" w14:paraId="0C4C4AB1" w14:textId="2610BF6C">
      <w:pPr>
        <w:pStyle w:val="Naslov3"/>
        <w:jc w:val="both"/>
      </w:pPr>
      <w:r>
        <w:t xml:space="preserve">Empfehlung 4.2 [ÜBERTRIFFT DAS MINIMUM]: Algorithmische </w:t>
      </w:r>
      <w:r>
        <w:t xml:space="preserve">Mitbestimmung </w:t>
      </w:r>
      <w:r>
        <w:t xml:space="preserve">durch Arbeitnehmerräte und Gewerkschaften </w:t>
      </w:r>
      <w:r w:rsidR="00D7386B">
        <w:t xml:space="preserve">– </w:t>
      </w:r>
      <w:r>
        <w:t xml:space="preserve">gemeinsame Ausschüsse</w:t>
      </w:r>
    </w:p>
    <w:p w:rsidR="00D90A18" w:rsidP="00750824" w:rsidRDefault="00000000" w14:paraId="65DA2152" w14:textId="3D276E36">
      <w:pPr>
        <w:jc w:val="both"/>
      </w:pPr>
      <w:r>
        <w:t xml:space="preserve">Transparenz ist nur der erste Schritt</w:t>
      </w:r>
      <w:r w:rsidR="00844626">
        <w:t xml:space="preserve">; die Verknüpfung </w:t>
      </w:r>
      <w:r>
        <w:t xml:space="preserve">mit aktiver Mitbestimmung </w:t>
      </w:r>
      <w:r w:rsidR="00C60A82">
        <w:t xml:space="preserve">muss wirksam sein</w:t>
      </w:r>
      <w:r>
        <w:t xml:space="preserve">. Wir empfehlen, dass die Mitgliedstaaten die Rechte der Arbeitnehmerräte und Gewerkschaftsvertreter so erweitern, dass sie das Recht auf Zustimmung (oder zumindest das Recht auf Anhörung mit aufschiebender Wirkung) vor der Einführung oder wesentlichen Änderung algorithmischer Parameter umfassen, die sich auf die Vergütung, die Arbeitsintensität oder die Aufgabenverteilung auswirken. Der österreichische Vorschlag eines Vetorechts in Bezug auf algorithmische Parameter </w:t>
      </w:r>
      <w:r w:rsidR="00D7386B">
        <w:t xml:space="preserve">– </w:t>
      </w:r>
      <w:r>
        <w:t xml:space="preserve">in Anlehnung an die bestehende Zustimmungspflicht für die Einführung von Videoüberwachung </w:t>
      </w:r>
      <w:r w:rsidR="00D7386B">
        <w:t xml:space="preserve">– </w:t>
      </w:r>
      <w:r>
        <w:t xml:space="preserve">stellt ein konkretes Modell für die Umsetzung von Artikel 13 der Richtlinie in eine wirksame Mitbestimmungs Praxis dar.</w:t>
      </w:r>
    </w:p>
    <w:p w:rsidR="005418CA" w:rsidP="00750824" w:rsidRDefault="005418CA" w14:paraId="1500E6F4" w14:textId="77777777">
      <w:pPr>
        <w:jc w:val="both"/>
      </w:pPr>
    </w:p>
    <w:p w:rsidR="00D90A18" w:rsidP="00750824" w:rsidRDefault="00000000" w14:paraId="66376D91" w14:textId="57A86EEE">
      <w:pPr>
        <w:pStyle w:val="Naslov3"/>
        <w:jc w:val="both"/>
      </w:pPr>
      <w:r>
        <w:t xml:space="preserve">Empfehlung 4.3 [RICHTLINIE]: Einstufung von algorithmischem Druck als psychosoziales Risiko</w:t>
      </w:r>
    </w:p>
    <w:p w:rsidR="00983F19" w:rsidP="00750824" w:rsidRDefault="00000000" w14:paraId="77732E56" w14:textId="24918187">
      <w:pPr>
        <w:jc w:val="both"/>
      </w:pPr>
      <w:r>
        <w:lastRenderedPageBreak/>
      </w:r>
      <w:r>
        <w:t xml:space="preserve">Artikel 12 der Richtlinie verbietet ausdrücklich den Einsatz von Algorithmen, die einen unverhältnismäßigen Druck auf Arbeitnehmer ausüben. Wir empfehlen, dass die Mitgliedstaaten in ihren nationalen Rechtsvorschriften zum Arbeitsschutz algorithmischen Druck </w:t>
      </w:r>
      <w:r w:rsidR="00D7386B">
        <w:t xml:space="preserve">– </w:t>
      </w:r>
      <w:r>
        <w:t xml:space="preserve">einschließlich </w:t>
      </w:r>
      <w:r>
        <w:t xml:space="preserve">gamifizierter </w:t>
      </w:r>
      <w:r>
        <w:t xml:space="preserve">Ranglisten, Countdown-Timer, ständiger digitaler Überwachung und Systemen, die notwendige Pausen verhindern </w:t>
      </w:r>
      <w:r w:rsidR="00D7386B">
        <w:t xml:space="preserve">– </w:t>
      </w:r>
      <w:r>
        <w:t xml:space="preserve">ausdrücklich </w:t>
      </w:r>
      <w:r>
        <w:t xml:space="preserve">als </w:t>
      </w:r>
      <w:r w:rsidRPr="005418CA">
        <w:rPr>
          <w:b/>
          <w:bCs/>
        </w:rPr>
        <w:t xml:space="preserve">psychosoziales Risiko </w:t>
      </w:r>
      <w:r>
        <w:t xml:space="preserve">definieren</w:t>
      </w:r>
      <w:r>
        <w:t xml:space="preserve">. Dies würde es den Arbeitsaufsichtsbehörden ermöglichen, </w:t>
      </w:r>
      <w:r w:rsidR="008A4BD4">
        <w:t xml:space="preserve">einen toxischen Algorithmus </w:t>
      </w:r>
      <w:r>
        <w:t xml:space="preserve">mit derselben Strenge zu behandeln wie eine physische Gefahr am Arbeitsplatz, einschließlich der Verhängung von Geldbußen und Anordnungen zur Einstellung der Nutzung des Systems. </w:t>
      </w:r>
      <w:r w:rsidR="008A4BD4">
        <w:t xml:space="preserve">Denn eine solche Funktionsweise des Algorithmus stellt eine physische Gefahr am Arbeitsplatz dar. </w:t>
      </w:r>
    </w:p>
    <w:p w:rsidR="00D90A18" w:rsidP="00750824" w:rsidRDefault="00D90A18" w14:paraId="18C59135" w14:textId="77777777">
      <w:pPr>
        <w:jc w:val="both"/>
      </w:pPr>
    </w:p>
    <w:p w:rsidR="00D90A18" w:rsidP="00750824" w:rsidRDefault="00000000" w14:paraId="7F129147" w14:textId="41EDB068">
      <w:pPr>
        <w:pStyle w:val="Naslov3"/>
        <w:jc w:val="both"/>
      </w:pPr>
      <w:r>
        <w:t xml:space="preserve">Empfehlung 4.4 [ÜBERTRIFFT DAS MINIMUM]: Kollektiver Datenzugriff für Gewerkschaften</w:t>
      </w:r>
    </w:p>
    <w:p w:rsidR="00D90A18" w:rsidP="00750824" w:rsidRDefault="00000000" w14:paraId="065C3E6B" w14:textId="77777777">
      <w:pPr>
        <w:jc w:val="both"/>
      </w:pPr>
      <w:r>
        <w:t xml:space="preserve">Einzelanträge auf Datenzugang (gemäß Artikel 15 DSGVO) sind ineffizient, da sie nur einen Ausschnitt des Gesamtbildes offenlegen und für den einzelnen Arbeitnehmer eine übermäßige Belastung darstellen. Wir empfehlen, dass die Mitgliedstaaten bei der Umsetzung der Rechte aus den Artikeln 9 und 15 der Richtlinie ein gesetzliches Recht der Gewerkschaften auf kollektiven Zugang zu aggregierten Daten über die Funktionsweise algorithmischer Systeme einführen. </w:t>
      </w:r>
    </w:p>
    <w:p w:rsidR="00D90A18" w:rsidP="00750824" w:rsidRDefault="00D90A18" w14:paraId="1BD33875" w14:textId="77777777">
      <w:pPr>
        <w:jc w:val="both"/>
      </w:pPr>
    </w:p>
    <w:p w:rsidR="00983F19" w:rsidP="00750824" w:rsidRDefault="00000000" w14:paraId="1129B314" w14:textId="2252D104">
      <w:pPr>
        <w:jc w:val="both"/>
      </w:pPr>
      <w:r>
        <w:t xml:space="preserve">Die Finanzierung unabhängiger Experten, die den Gewerkschaften bei der Analyse dieser Daten helfen, muss aus einem nationalen Fonds für die unabhängige Überprüfung von Algorithmen sichergestellt werden (siehe Empfehlung 6.1). Dies würde es den Gewerkschaften ermöglichen, durch die Zusammenführung der Daten </w:t>
      </w:r>
      <w:r>
        <w:t xml:space="preserve">von </w:t>
      </w:r>
      <w:r>
        <w:t xml:space="preserve">Tausenden </w:t>
      </w:r>
      <w:r>
        <w:t xml:space="preserve">von Arbeitnehmern die Logik des Systems statistisch nachzuvollziehen und verborgene Muster von Diskriminierung oder Lohnverstößen aufzudecken </w:t>
      </w:r>
      <w:r w:rsidR="00D7386B">
        <w:t xml:space="preserve">– </w:t>
      </w:r>
      <w:r>
        <w:t xml:space="preserve">ein Ansatz, den der EGB als </w:t>
      </w:r>
      <w:r>
        <w:t xml:space="preserve">„Reverse Engineering des Chefs“ </w:t>
      </w:r>
      <w:r>
        <w:t xml:space="preserve">empfiehlt</w:t>
      </w:r>
      <w:r w:rsidR="008A4BD4">
        <w:t xml:space="preserve">. </w:t>
      </w:r>
      <w:r>
        <w:t xml:space="preserve">Das Recht auf kollektiven Datenzugriff sollte ausdrücklich vom </w:t>
      </w:r>
      <w:r w:rsidR="008A4BD4">
        <w:t xml:space="preserve">Schutz </w:t>
      </w:r>
      <w:r>
        <w:t xml:space="preserve">von Geschäftsgeheimnissen </w:t>
      </w:r>
      <w:r>
        <w:t xml:space="preserve">getrennt werden</w:t>
      </w:r>
      <w:r>
        <w:t xml:space="preserve">, den Plattformen häufig missbrauchen, um jeglichen Einblick zu verhindern.</w:t>
      </w:r>
    </w:p>
    <w:p w:rsidR="00D90A18" w:rsidP="00750824" w:rsidRDefault="00D90A18" w14:paraId="07C7C030" w14:textId="77777777">
      <w:pPr>
        <w:jc w:val="both"/>
      </w:pPr>
    </w:p>
    <w:p w:rsidR="00D90A18" w:rsidP="00750824" w:rsidRDefault="00000000" w14:paraId="76E6BE8C" w14:textId="72B2B8B6">
      <w:pPr>
        <w:pStyle w:val="Naslov3"/>
        <w:jc w:val="both"/>
      </w:pPr>
      <w:r>
        <w:t xml:space="preserve">Empfehlung 4.5 [ÜBERTRIFFT DAS MINIMUM]: Aktualisierung des Begriffs </w:t>
      </w:r>
      <w:r w:rsidR="008A4BD4">
        <w:t xml:space="preserve">„Arbeitsplatz“ </w:t>
      </w:r>
      <w:r>
        <w:t xml:space="preserve">für das digitale Zeitalter</w:t>
      </w:r>
    </w:p>
    <w:p w:rsidR="00983F19" w:rsidP="00750824" w:rsidRDefault="00000000" w14:paraId="0D28EBDC" w14:textId="2C0E8FF1">
      <w:pPr>
        <w:jc w:val="both"/>
      </w:pPr>
      <w:r>
        <w:t xml:space="preserve">Zur wirksamen Durchsetzung der Informations- und Anhörungsrechte gemäß Artikel 13 der Richtlinie müssen die Mitgliedstaaten sicherstellen, dass die nationale Gesetzgebung die digitale Infrastruktur der Plattform als Arbeitsplatz anerkennt</w:t>
      </w:r>
      <w:r w:rsidR="008A4BD4">
        <w:t xml:space="preserve">.</w:t>
      </w:r>
      <w:r>
        <w:t xml:space="preserve"> Wenn eine Plattform über eine App Kontroll- und Verwaltungsfunktionen ausübt, muss diese digitale Infrastruktur rechtlich ausreichen, um eine Arbeitnehmervertretung einzurichten. Ohne diese Aktualisierung können Plattformen weiterhin den dezentralen Charakter der Arbeit als Argument anführen, um die Mitbestimmung der Arbeitnehmer abzulehnen </w:t>
      </w:r>
      <w:r w:rsidR="00D7386B">
        <w:t xml:space="preserve">– </w:t>
      </w:r>
      <w:r>
        <w:t xml:space="preserve">was in direktem Widerspruch zum Zweck der Richtlinie steht.</w:t>
      </w:r>
    </w:p>
    <w:p w:rsidR="00D90A18" w:rsidP="00750824" w:rsidRDefault="00D90A18" w14:paraId="75ED1915" w14:textId="77777777">
      <w:pPr>
        <w:jc w:val="both"/>
      </w:pPr>
    </w:p>
    <w:p w:rsidR="00983F19" w:rsidP="00750824" w:rsidRDefault="00000000" w14:paraId="23E82361" w14:textId="77777777">
      <w:pPr>
        <w:jc w:val="both"/>
        <w:rPr>
          <w:i/>
          <w:iCs/>
        </w:rPr>
      </w:pPr>
      <w:r>
        <w:rPr>
          <w:i/>
          <w:iCs/>
        </w:rPr>
        <w:t xml:space="preserve">Quellen: Österreichischer Beitrag der SDDP </w:t>
      </w:r>
      <w:r>
        <w:rPr>
          <w:i/>
          <w:iCs/>
        </w:rPr>
        <w:t xml:space="preserve">„The </w:t>
      </w:r>
      <w:r>
        <w:rPr>
          <w:i/>
          <w:iCs/>
        </w:rPr>
        <w:t xml:space="preserve">Boss </w:t>
      </w:r>
      <w:r>
        <w:rPr>
          <w:i/>
          <w:iCs/>
        </w:rPr>
        <w:t xml:space="preserve">in </w:t>
      </w:r>
      <w:r>
        <w:rPr>
          <w:i/>
          <w:iCs/>
        </w:rPr>
        <w:t xml:space="preserve">the </w:t>
      </w:r>
      <w:r>
        <w:rPr>
          <w:i/>
          <w:iCs/>
        </w:rPr>
        <w:t xml:space="preserve">Machine“ (2025); Bericht der Expertengruppe zur Umsetzung der Richtlinie (EU) 2024/2831 (Januar 2026); Protokoll der Zwischenkonferenz der SDDP, Ljubljana, Mai 2025; ETUC-Leitfaden zum algorithmischen Management.</w:t>
      </w:r>
    </w:p>
    <w:p w:rsidR="005418CA" w:rsidP="00750824" w:rsidRDefault="005418CA" w14:paraId="1A14BA97" w14:textId="77777777">
      <w:pPr>
        <w:jc w:val="both"/>
      </w:pPr>
    </w:p>
    <w:p w:rsidR="00FC19E2" w:rsidP="00750824" w:rsidRDefault="00000000" w14:paraId="1BA217AF" w14:textId="4C1588BA">
      <w:pPr>
        <w:pStyle w:val="Naslov3"/>
        <w:jc w:val="both"/>
      </w:pPr>
      <w:r>
        <w:t xml:space="preserve">Empfehlung 4.6 [RICHTLINIE]: Hohe Standards für die menschliche Überprüfung aller PPPW, unabhängig vom Beschäftigungsstatus</w:t>
      </w:r>
    </w:p>
    <w:p w:rsidR="00FC19E2" w:rsidP="00750824" w:rsidRDefault="00615AD5" w14:paraId="34734714" w14:textId="373CCEC3">
      <w:pPr>
        <w:jc w:val="both"/>
      </w:pPr>
      <w:r>
        <w:t xml:space="preserve">Die Erfahrungen zeigen, dass Plattformen Arbeitnehmer dazu ermutigen, in die Selbstständigkeit zu wechseln, um den strengeren Anforderungen an das algorithmische Management zu entgehen, die für Arbeitnehmer in </w:t>
      </w:r>
      <w:r w:rsidR="00615F18">
        <w:t xml:space="preserve">einem „</w:t>
      </w:r>
      <w:r w:rsidR="00615F18">
        <w:lastRenderedPageBreak/>
      </w:r>
      <w:r w:rsidR="00615F18">
        <w:t xml:space="preserve"> “ Beschäftigungsverhältnis </w:t>
      </w:r>
      <w:r>
        <w:t xml:space="preserve">gelten</w:t>
      </w:r>
      <w:r>
        <w:t xml:space="preserve">. Die Richtlinie (Artikel</w:t>
      </w:r>
      <w:r>
        <w:t xml:space="preserve"> 7–11) gewährleistet für alle PPPW hohe Standards für die menschliche Überprüfung automatisierter Entscheidungen, unabhängig von ihrem Beschäftigungsstatus, insbesondere das Verbot der vollständigen Automatisierung von Entscheidungen über die Einschränkung oder Beendigung des Zugangs zur Plattform (Artikel 10 Absatz 5) und das Recht auf eine inhaltliche Überprüfung durch eine qualifizierte Person (Artikel 11). Die Mitgliedstaaten sollten bei der Umsetzung ausdrücklich bestätigen, dass diese Rechte nicht unter Berufung auf den Status als Selbstständiger oder gewerblicher Nutzer bedingt ausgeschlossen werden können.</w:t>
      </w:r>
    </w:p>
    <w:p w:rsidR="00615AD5" w:rsidP="00750824" w:rsidRDefault="00615AD5" w14:paraId="06D40930" w14:textId="77777777">
      <w:pPr>
        <w:jc w:val="both"/>
      </w:pPr>
    </w:p>
    <w:p w:rsidR="00FC19E2" w:rsidP="00750824" w:rsidRDefault="00000000" w14:paraId="457A8E13" w14:textId="4590CF18">
      <w:pPr>
        <w:jc w:val="both"/>
      </w:pPr>
      <w:r>
        <w:t xml:space="preserve">Was gewerbliche Nutzer betrifft, die ansonsten unter die P2B-Verordnung fallen (Artikel 11 Absatz 5 der Richtlinie</w:t>
      </w:r>
      <w:r w:rsidR="00615AD5">
        <w:t xml:space="preserve">), </w:t>
      </w:r>
      <w:r>
        <w:t xml:space="preserve">lässt die Richtlinie in Artikel 26 Absatz 2 ausdrücklich zu, dass die Mitgliedstaaten höhere Schutzstandards als die Mindeststandards vorsehen. Die Ministerien sollten eine sinnvolle Ausweitung der Anforderungen an die menschliche Überprüfung, die derzeit für PPPW gelten, auf alle natürlichen Personen in Betracht ziehen, die wirtschaftlich von der Plattform abhängig sind</w:t>
      </w:r>
      <w:r w:rsidR="00615AD5">
        <w:t xml:space="preserve">, </w:t>
      </w:r>
      <w:r>
        <w:t xml:space="preserve">unabhängig von der vertraglichen Form </w:t>
      </w:r>
      <w:r w:rsidR="00615AD5">
        <w:t xml:space="preserve">der Arbeit</w:t>
      </w:r>
      <w:r>
        <w:t xml:space="preserve">.</w:t>
      </w:r>
    </w:p>
    <w:p w:rsidR="00615AD5" w:rsidP="00750824" w:rsidRDefault="00615AD5" w14:paraId="7ED492EB" w14:textId="77777777">
      <w:pPr>
        <w:jc w:val="both"/>
      </w:pPr>
    </w:p>
    <w:p w:rsidR="00FC19E2" w:rsidP="00750824" w:rsidRDefault="00000000" w14:paraId="09A95782" w14:textId="77777777">
      <w:pPr>
        <w:jc w:val="both"/>
      </w:pPr>
      <w:r>
        <w:rPr>
          <w:i/>
          <w:iCs/>
        </w:rPr>
        <w:t xml:space="preserve">Quellen: Richtlinie (EU) 2024/2831, Artikel 10 Absatz 5, Artikel 11, Artikel 26 Absatz 2, Artikel 11 Absatz 5 und Verordnung (EU) 2019/1150 (P2B); Bericht der Expertengruppe (Januar 2026), S. 48–52.</w:t>
      </w:r>
    </w:p>
    <w:p w:rsidR="00750824" w:rsidRDefault="00750824" w14:paraId="2A5BAE56" w14:textId="77777777">
      <w:pPr>
        <w:rPr>
          <w:b/>
          <w:bCs/>
          <w:color w:val="1F3864"/>
          <w:sz w:val="36"/>
          <w:szCs w:val="36"/>
        </w:rPr>
      </w:pPr>
      <w:bookmarkStart w:name="poglavje-6-varstvo-podatkov-in-zasebnost" w:id="38"/>
      <w:bookmarkEnd w:id="27"/>
      <w:bookmarkEnd w:id="37"/>
      <w:r>
        <w:br w:type="page"/>
      </w:r>
    </w:p>
    <w:p w:rsidR="00983F19" w:rsidP="00750824" w:rsidRDefault="00000000" w14:paraId="408EB938" w14:textId="1552F3B2">
      <w:pPr>
        <w:pStyle w:val="Naslov1"/>
        <w:jc w:val="both"/>
      </w:pPr>
      <w:bookmarkStart w:name="_Toc233699492" w:id="39"/>
      <w:r>
        <w:lastRenderedPageBreak/>
      </w:r>
      <w:r>
        <w:t xml:space="preserve">Kapitel 5: Datenschutz und Privatsphäre</w:t>
      </w:r>
      <w:bookmarkEnd w:id="39"/>
    </w:p>
    <w:p w:rsidR="00983F19" w:rsidP="00750824" w:rsidRDefault="00000000" w14:paraId="3E646C84" w14:textId="67926478">
      <w:pPr>
        <w:jc w:val="both"/>
      </w:pPr>
      <w:r>
        <w:t xml:space="preserve">Algorithmisches Management </w:t>
      </w:r>
      <w:r>
        <w:t xml:space="preserve">ist</w:t>
      </w:r>
      <w:r>
        <w:t xml:space="preserve"> nicht nur eine organisatorische Technik</w:t>
      </w:r>
      <w:r w:rsidR="003F2469">
        <w:t xml:space="preserve">, </w:t>
      </w:r>
      <w:r>
        <w:t xml:space="preserve">sondern ein Überwachungssystem, das über </w:t>
      </w:r>
      <w:r>
        <w:t xml:space="preserve">die Datenerhebung </w:t>
      </w:r>
      <w:r>
        <w:t xml:space="preserve">funktioniert</w:t>
      </w:r>
      <w:r>
        <w:t xml:space="preserve">. Jeder Klick in der App, jede Sekunde Verzögerung, jede Ablehnung einer Bestellung wird von der Plattform erfasst und interpretiert. Die Artikel 7 bis 11 der Richtlinie regeln, was die Plattform mit diesen Daten tun darf und was nicht. Dies ist einer der einschneidendsten Teile der Richtlinie: Während die DSGVO allgemeine Regeln festlegt, führt die Richtlinie strengere und </w:t>
      </w:r>
      <w:r w:rsidR="003F2469">
        <w:t xml:space="preserve">spezifischere </w:t>
      </w:r>
      <w:r>
        <w:t xml:space="preserve">Verbote </w:t>
      </w:r>
      <w:r>
        <w:t xml:space="preserve">ein</w:t>
      </w:r>
      <w:r>
        <w:t xml:space="preserve">, die auch durch die Einwilligung des Arbeitnehmers nicht umgangen werden können. Der Datenschutz bei </w:t>
      </w:r>
      <w:r>
        <w:t xml:space="preserve">der Plattformarbeit </w:t>
      </w:r>
      <w:r>
        <w:t xml:space="preserve">ist</w:t>
      </w:r>
      <w:r>
        <w:t xml:space="preserve"> nicht nur eine Frage der Privatsphäre</w:t>
      </w:r>
      <w:r w:rsidR="003F2469">
        <w:t xml:space="preserve">, </w:t>
      </w:r>
      <w:r>
        <w:t xml:space="preserve">sondern eine Voraussetzung für einen gleichberechtigten sozialen Dialog.</w:t>
      </w:r>
    </w:p>
    <w:p w:rsidR="00983F19" w:rsidP="00750824" w:rsidRDefault="00000000" w14:paraId="2DA3CF42" w14:textId="77777777">
      <w:pPr>
        <w:pStyle w:val="Naslov2"/>
        <w:jc w:val="both"/>
      </w:pPr>
      <w:bookmarkStart w:name="_Toc233699493" w:id="40"/>
      <w:bookmarkStart w:name="zahteve-direktive-2" w:id="41"/>
      <w:r>
        <w:t xml:space="preserve">5.1 Anforderungen der Richtlinie</w:t>
      </w:r>
      <w:bookmarkEnd w:id="40"/>
    </w:p>
    <w:p w:rsidR="00983F19" w:rsidP="00750824" w:rsidRDefault="00000000" w14:paraId="0052DF83" w14:textId="215473CC">
      <w:pPr>
        <w:jc w:val="both"/>
      </w:pPr>
      <w:r>
        <w:t xml:space="preserve">Artikel 7 führt absolute Verbote der Verarbeitung personenbezogener Daten durch automatisierte Systeme ein. Es handelt sich um Verbote, die strenger sind als die der Datenschutz-Grundverordnung (DSGVO) und </w:t>
      </w:r>
      <w:r w:rsidR="000B201C">
        <w:t xml:space="preserve">die auch durch </w:t>
      </w:r>
      <w:r>
        <w:t xml:space="preserve">die Einwilligung des Arbeitnehmers nicht </w:t>
      </w:r>
      <w:r w:rsidR="000B201C">
        <w:t xml:space="preserve">außer Kraft gesetzt</w:t>
      </w:r>
      <w:r>
        <w:t xml:space="preserve"> werden können</w:t>
      </w:r>
      <w:r>
        <w:t xml:space="preserve">. In Erwägungsgrund 39 der Richtlinie wird nämlich klar dargelegt, dass die Einwilligung bei </w:t>
      </w:r>
      <w:r>
        <w:t xml:space="preserve">der Plattformarbeit nicht freiwillig sein kann: Ein Arbeitnehmer, der die Konsequenzen fürchtet, kann keine freie Entscheidung treffen. Plattformen können daher keine gültige Einwilligung für </w:t>
      </w:r>
      <w:r w:rsidR="000B201C">
        <w:t xml:space="preserve">eine</w:t>
      </w:r>
      <w:r>
        <w:t xml:space="preserve"> verbotene </w:t>
      </w:r>
      <w:r w:rsidR="000B201C">
        <w:t xml:space="preserve">Datenverarbeitung</w:t>
      </w:r>
      <w:r>
        <w:t xml:space="preserve"> einholen</w:t>
      </w:r>
      <w:r>
        <w:t xml:space="preserve">.</w:t>
      </w:r>
      <w:r>
        <w:rPr>
          <w:rStyle w:val="Sprotnaopomba-sklic"/>
        </w:rPr>
        <w:footnoteReference w:id="4"/>
      </w:r>
    </w:p>
    <w:p w:rsidR="00D90A18" w:rsidP="00750824" w:rsidRDefault="00D90A18" w14:paraId="0655517A" w14:textId="77777777">
      <w:pPr>
        <w:jc w:val="both"/>
      </w:pPr>
    </w:p>
    <w:p w:rsidR="00983F19" w:rsidP="00750824" w:rsidRDefault="00000000" w14:paraId="1223613C" w14:textId="77777777">
      <w:pPr>
        <w:jc w:val="both"/>
      </w:pPr>
      <w:r>
        <w:t xml:space="preserve">Konkrete Verbote sind:</w:t>
      </w:r>
    </w:p>
    <w:p w:rsidR="00983F19" w:rsidP="00750824" w:rsidRDefault="00000000" w14:paraId="7255E736" w14:textId="3FEB102F">
      <w:pPr>
        <w:numPr>
          <w:ilvl w:val="0"/>
          <w:numId w:val="4"/>
        </w:numPr>
        <w:jc w:val="both"/>
      </w:pPr>
      <w:r>
        <w:t xml:space="preserve">das Verbot der Erhebung und Verarbeitung von Daten über </w:t>
      </w:r>
      <w:r>
        <w:rPr>
          <w:b/>
          <w:bCs/>
        </w:rPr>
        <w:t xml:space="preserve">den emotionalen oder psychologischen Zustand </w:t>
      </w:r>
      <w:r>
        <w:t xml:space="preserve">des Arbeitnehmers (Artikel 7 Absatz 1 </w:t>
      </w:r>
      <w:r w:rsidR="000B201C">
        <w:t xml:space="preserve">Buchstabe a),</w:t>
      </w:r>
    </w:p>
    <w:p w:rsidR="00983F19" w:rsidP="00750824" w:rsidRDefault="00000000" w14:paraId="64940747" w14:textId="37D8A1F5">
      <w:pPr>
        <w:numPr>
          <w:ilvl w:val="0"/>
          <w:numId w:val="4"/>
        </w:numPr>
        <w:jc w:val="both"/>
      </w:pPr>
      <w:r>
        <w:t xml:space="preserve">das Verbot des Zugriffs auf </w:t>
      </w:r>
      <w:r>
        <w:rPr>
          <w:b/>
          <w:bCs/>
        </w:rPr>
        <w:t xml:space="preserve">private Gespräche </w:t>
      </w:r>
      <w:r>
        <w:t xml:space="preserve">zwischen Arbeitnehmern, einschließlich Gesprächen mit Gewerkschaftsvertretern (Artikel 7 Absatz 1 </w:t>
      </w:r>
      <w:r w:rsidR="000B201C">
        <w:t xml:space="preserve">Buchstabe b),</w:t>
      </w:r>
    </w:p>
    <w:p w:rsidR="00983F19" w:rsidP="00750824" w:rsidRDefault="00000000" w14:paraId="1DE80C61" w14:textId="5E554F61">
      <w:pPr>
        <w:numPr>
          <w:ilvl w:val="0"/>
          <w:numId w:val="4"/>
        </w:numPr>
        <w:jc w:val="both"/>
      </w:pPr>
      <w:r>
        <w:t xml:space="preserve">das Verbot der Erhebung von Daten über den Aufenthaltsort oder die Aktivitäten eines Arbeitnehmers, wenn dieser </w:t>
      </w:r>
      <w:r>
        <w:rPr>
          <w:b/>
          <w:bCs/>
        </w:rPr>
        <w:t xml:space="preserve">nicht in der App angemeldet ist</w:t>
      </w:r>
      <w:r w:rsidR="000B201C">
        <w:t xml:space="preserve">, </w:t>
      </w:r>
      <w:r>
        <w:t xml:space="preserve">also </w:t>
      </w:r>
      <w:r w:rsidR="000B201C">
        <w:t xml:space="preserve">außerhalb </w:t>
      </w:r>
      <w:r>
        <w:t xml:space="preserve">der Arbeitszeit (Artikel 7 Absatz 1 </w:t>
      </w:r>
      <w:r w:rsidR="000B201C">
        <w:t xml:space="preserve">Buchstabe c),</w:t>
      </w:r>
    </w:p>
    <w:p w:rsidR="00983F19" w:rsidP="00750824" w:rsidRDefault="00000000" w14:paraId="6A2FBA0E" w14:textId="09D32A50">
      <w:pPr>
        <w:numPr>
          <w:ilvl w:val="0"/>
          <w:numId w:val="4"/>
        </w:numPr>
        <w:jc w:val="both"/>
      </w:pPr>
      <w:r>
        <w:t xml:space="preserve">das Verbot der Verarbeitung von Daten zur </w:t>
      </w:r>
      <w:r>
        <w:rPr>
          <w:b/>
          <w:bCs/>
        </w:rPr>
        <w:t xml:space="preserve">Vorhersage der Ausübung von Grundrechten</w:t>
      </w:r>
      <w:r>
        <w:t xml:space="preserve">, einschließlich des Streikrechts oder des Rechts auf gewerkschaftliche Organisation (Artikel 7 Absatz 1 </w:t>
      </w:r>
      <w:r w:rsidR="000B201C">
        <w:t xml:space="preserve">Buchstabe d),</w:t>
      </w:r>
    </w:p>
    <w:p w:rsidR="00983F19" w:rsidP="00750824" w:rsidRDefault="00000000" w14:paraId="44019C9A" w14:textId="0D84E0BE">
      <w:pPr>
        <w:numPr>
          <w:ilvl w:val="0"/>
          <w:numId w:val="4"/>
        </w:numPr>
        <w:jc w:val="both"/>
      </w:pPr>
      <w:r>
        <w:t xml:space="preserve">Verbot</w:t>
      </w:r>
      <w:r w:rsidR="000B201C">
        <w:t xml:space="preserve">, </w:t>
      </w:r>
      <w:r>
        <w:t xml:space="preserve">aus anderen Daten </w:t>
      </w:r>
      <w:r>
        <w:rPr>
          <w:b/>
          <w:bCs/>
        </w:rPr>
        <w:t xml:space="preserve">Rückschlüsse auf bestimmte Datenkategorien </w:t>
      </w:r>
      <w:r w:rsidR="00D7386B">
        <w:t xml:space="preserve">– wie </w:t>
      </w:r>
      <w:r>
        <w:t xml:space="preserve">ethnische Herkunft, Gesundheitszustand, Gewerkschaftszugehörigkeit oder sexuelle Orientierung </w:t>
      </w:r>
      <w:r w:rsidR="00D7386B">
        <w:t xml:space="preserve">– </w:t>
      </w:r>
      <w:r>
        <w:rPr>
          <w:b/>
          <w:bCs/>
        </w:rPr>
        <w:t xml:space="preserve">zu ziehen </w:t>
      </w:r>
      <w:r>
        <w:t xml:space="preserve">(Artikel 7 Absatz 1 </w:t>
      </w:r>
      <w:r w:rsidR="000B201C">
        <w:t xml:space="preserve">Buchstabe e),</w:t>
      </w:r>
    </w:p>
    <w:p w:rsidR="00983F19" w:rsidP="00750824" w:rsidRDefault="00000000" w14:paraId="0CE1A0E8" w14:textId="77777777">
      <w:pPr>
        <w:numPr>
          <w:ilvl w:val="0"/>
          <w:numId w:val="4"/>
        </w:numPr>
        <w:jc w:val="both"/>
      </w:pPr>
      <w:r>
        <w:rPr>
          <w:b/>
          <w:bCs/>
        </w:rPr>
        <w:t xml:space="preserve">Verbot der biometrischen Identifizierung</w:t>
      </w:r>
      <w:r>
        <w:t xml:space="preserve">; die biometrische Verifizierung (Abgleich mit den eigenen gespeicherten biometrischen Daten) ist weiterhin zulässig (Artikel 7 Absatz 1 Buchstabe f).</w:t>
      </w:r>
    </w:p>
    <w:p w:rsidR="00D90A18" w:rsidP="00750824" w:rsidRDefault="00D90A18" w14:paraId="46E69968" w14:textId="77777777">
      <w:pPr>
        <w:ind w:start="720"/>
        <w:jc w:val="both"/>
      </w:pPr>
    </w:p>
    <w:p w:rsidR="00983F19" w:rsidP="00750824" w:rsidRDefault="00000000" w14:paraId="1797FC4E" w14:textId="6B70A642">
      <w:pPr>
        <w:jc w:val="both"/>
      </w:pPr>
      <w:r>
        <w:t xml:space="preserve">Artikel 7 Absatz 2 dehnt die Verbote bereits auf das Einstellungsverfahren aus</w:t>
      </w:r>
      <w:r w:rsidR="000B201C">
        <w:t xml:space="preserve">, </w:t>
      </w:r>
      <w:r>
        <w:t xml:space="preserve">also noch bevor eine Person zum „PPPW“ wird. Artikel 7 Absatz 3 erweitert hingegen den sachlichen Geltungsbereich: Die Verbote gelten nicht nur für AMDMS (wie in der Richtlinie definiert), sondern für alle automatisierten Systeme, die in irgendeiner Weise Auswirkungen auf Arbeitnehmer haben.</w:t>
      </w:r>
    </w:p>
    <w:p w:rsidR="00D90A18" w:rsidP="00750824" w:rsidRDefault="00D90A18" w14:paraId="3CB707CA" w14:textId="77777777">
      <w:pPr>
        <w:jc w:val="both"/>
      </w:pPr>
    </w:p>
    <w:p w:rsidR="00983F19" w:rsidP="00750824" w:rsidRDefault="00000000" w14:paraId="54B2A6D9" w14:textId="16ADBD5B">
      <w:pPr>
        <w:jc w:val="both"/>
      </w:pPr>
      <w:r>
        <w:t xml:space="preserve">Artikel 8 führt eine obligatorische Datenschutz-Folgenabschätzung (</w:t>
      </w:r>
      <w:r>
        <w:t xml:space="preserve">„Data </w:t>
      </w:r>
      <w:r>
        <w:t xml:space="preserve">Protection </w:t>
      </w:r>
      <w:r>
        <w:t xml:space="preserve">Impact </w:t>
      </w:r>
      <w:r>
        <w:t xml:space="preserve">Assessment </w:t>
      </w:r>
      <w:r w:rsidR="000B201C">
        <w:t xml:space="preserve">(</w:t>
      </w:r>
      <w:r>
        <w:t xml:space="preserve">DPIA</w:t>
      </w:r>
      <w:r w:rsidR="000B201C">
        <w:t xml:space="preserve">)“</w:t>
      </w:r>
      <w:r>
        <w:t xml:space="preserve">) für jede Datenverarbeitung über AMDMS </w:t>
      </w:r>
      <w:r>
        <w:t xml:space="preserve">ein</w:t>
      </w:r>
      <w:r>
        <w:t xml:space="preserve">. Dies geht über die DSGVO hinaus, die eine DPIA nur dann vorschreibt, wenn die Verarbeitung </w:t>
      </w:r>
      <w:r>
        <w:t xml:space="preserve">„voraussichtlich ein hohes Risiko verursacht</w:t>
      </w:r>
      <w:r w:rsidR="000B201C">
        <w:t xml:space="preserve">“. </w:t>
      </w:r>
      <w:r>
        <w:t xml:space="preserve">Die Richtlinie </w:t>
      </w:r>
      <w:r w:rsidR="00016B3D">
        <w:t xml:space="preserve">geht </w:t>
      </w:r>
      <w:r>
        <w:t xml:space="preserve">bei allen AMDMS im </w:t>
      </w:r>
      <w:r>
        <w:t xml:space="preserve">Plattformbereich </w:t>
      </w:r>
      <w:r>
        <w:t xml:space="preserve">bedingungslos </w:t>
      </w:r>
      <w:r w:rsidR="00016B3D">
        <w:t xml:space="preserve">von </w:t>
      </w:r>
      <w:r>
        <w:t xml:space="preserve">diesem Risiko </w:t>
      </w:r>
      <w:r w:rsidR="00016B3D">
        <w:t xml:space="preserve">aus</w:t>
      </w:r>
      <w:r>
        <w:t xml:space="preserve">.</w:t>
      </w:r>
      <w:r>
        <w:lastRenderedPageBreak/>
      </w:r>
      <w:r>
        <w:t xml:space="preserve"> Bei der Durchführung der Bewertung muss die Plattform die Meinung der Arbeitnehmer und ihrer Vertreter einholen</w:t>
      </w:r>
      <w:r w:rsidR="000B201C">
        <w:t xml:space="preserve">; </w:t>
      </w:r>
      <w:r>
        <w:t xml:space="preserve">die endgültige DPIA wird den Arbeitnehmervertretern übermittelt.</w:t>
      </w:r>
      <w:r>
        <w:rPr>
          <w:rStyle w:val="Sprotnaopomba-sklic"/>
        </w:rPr>
        <w:footnoteReference w:id="5"/>
      </w:r>
    </w:p>
    <w:p w:rsidR="000B201C" w:rsidP="00750824" w:rsidRDefault="000B201C" w14:paraId="1D4292FF" w14:textId="77777777">
      <w:pPr>
        <w:jc w:val="both"/>
      </w:pPr>
    </w:p>
    <w:p w:rsidR="00983F19" w:rsidP="00750824" w:rsidRDefault="00000000" w14:paraId="64B7C432" w14:textId="19EE4701">
      <w:pPr>
        <w:jc w:val="both"/>
      </w:pPr>
      <w:r>
        <w:t xml:space="preserve">Artikel 9 regelt die Transparenz von Algorithmen. Die Plattform muss den Arbeitnehmern und ihren Vertretern proaktiv und ohne Aufforderung Informationen zu jedem Überwachungs- und Entscheidungssystem zur Verfügung stellen: welche Daten erfasst werden, wie es funktioniert, welche Schlüsselparameter es gibt und wie diese die Entscheidungen beeinflussen, auf welcher Grundlage eine Einschränkung oder Sperrung des Kontos möglich ist. </w:t>
      </w:r>
      <w:r w:rsidR="00DF6109">
        <w:t xml:space="preserve">Die Richtlinie verlangt Klarheit und Zugänglichkeit, daher müssen diese </w:t>
      </w:r>
      <w:r>
        <w:t xml:space="preserve">Informationen </w:t>
      </w:r>
      <w:r>
        <w:t xml:space="preserve">in einer für die Arbeitnehmer verständlichen Sprache </w:t>
      </w:r>
      <w:r w:rsidR="00DF6109">
        <w:t xml:space="preserve">bereitgestellt </w:t>
      </w:r>
      <w:r w:rsidR="00DF6109">
        <w:t xml:space="preserve">werden</w:t>
      </w:r>
      <w:r w:rsidR="00016B3D">
        <w:t xml:space="preserve">.</w:t>
      </w:r>
      <w:r>
        <w:t xml:space="preserve"> Artikel 9 Absatz 6 führt das Recht auf Datenübertragbarkeit (</w:t>
      </w:r>
      <w:r>
        <w:t xml:space="preserve">„data </w:t>
      </w:r>
      <w:r w:rsidR="00DF6109">
        <w:t xml:space="preserve">portability“</w:t>
      </w:r>
      <w:r>
        <w:t xml:space="preserve">) </w:t>
      </w:r>
      <w:r>
        <w:t xml:space="preserve">ein</w:t>
      </w:r>
      <w:r>
        <w:t xml:space="preserve">: Der Arbeitnehmer hat das Recht</w:t>
      </w:r>
      <w:r>
        <w:t xml:space="preserve">, alle im Rahmen der Arbeitsausübung entstandenen Daten </w:t>
      </w:r>
      <w:r w:rsidR="00D7386B">
        <w:t xml:space="preserve">– </w:t>
      </w:r>
      <w:r>
        <w:t xml:space="preserve">einschließlich Bewertungen und Stellungnahmen </w:t>
      </w:r>
      <w:r w:rsidR="00D7386B">
        <w:t xml:space="preserve">– </w:t>
      </w:r>
      <w:r>
        <w:t xml:space="preserve">in maschinenlesbarer Form </w:t>
      </w:r>
      <w:r>
        <w:t xml:space="preserve">zu erhalten </w:t>
      </w:r>
      <w:r>
        <w:t xml:space="preserve">und an einen anderen Ort zu übertragen</w:t>
      </w:r>
      <w:r w:rsidR="00DF6109">
        <w:t xml:space="preserve">.</w:t>
      </w:r>
    </w:p>
    <w:p w:rsidR="00D90A18" w:rsidP="00750824" w:rsidRDefault="00D90A18" w14:paraId="78EEAB8B" w14:textId="77777777">
      <w:pPr>
        <w:jc w:val="both"/>
      </w:pPr>
    </w:p>
    <w:p w:rsidR="00983F19" w:rsidP="00750824" w:rsidRDefault="00000000" w14:paraId="7737FD96" w14:textId="7F3714C6">
      <w:pPr>
        <w:jc w:val="both"/>
      </w:pPr>
      <w:r>
        <w:t xml:space="preserve">Artikel 10 schafft einen Rahmen für die ständige menschliche Kontrolle automatisierter Entscheidungen. Die Plattform muss </w:t>
      </w:r>
      <w:r>
        <w:t xml:space="preserve">die Auswirkungen einzelner AMDMS-Entscheidungen auf die Arbeitnehmer </w:t>
      </w:r>
      <w:r>
        <w:t xml:space="preserve">kontinuierlich </w:t>
      </w:r>
      <w:r w:rsidR="00D7386B">
        <w:t xml:space="preserve">– und </w:t>
      </w:r>
      <w:r>
        <w:t xml:space="preserve">nicht nur in regelmäßigen Abständen </w:t>
      </w:r>
      <w:r w:rsidR="00D7386B">
        <w:t xml:space="preserve">– </w:t>
      </w:r>
      <w:r>
        <w:t xml:space="preserve">überwachen. Alle zwei Jahre muss sie eine formelle Bewertung durchführen. Die Personen, die innerhalb der Plattform die Überwachung wahrnehmen, müssen über eine entsprechende Qualifikation, Befugnisse und </w:t>
      </w:r>
      <w:r w:rsidR="00DF6109">
        <w:t xml:space="preserve">die Kompetenz</w:t>
      </w:r>
      <w:r>
        <w:t xml:space="preserve"> verfügen</w:t>
      </w:r>
      <w:r>
        <w:t xml:space="preserve">, eine automatisierte Entscheidung aufzuheben. Eine zentrale Bestimmung </w:t>
      </w:r>
      <w:r w:rsidR="00016B3D">
        <w:t xml:space="preserve">ist</w:t>
      </w:r>
      <w:r w:rsidR="00DF6109">
        <w:t xml:space="preserve">, dass die Plattform </w:t>
      </w:r>
      <w:r>
        <w:t xml:space="preserve">diese Personen nicht aufgrund der Ausübung ihrer Überwachungsfunktion entlassen oder sanktionieren darf (Artikel 10 Absatz 2). Jede Entscheidung über die Einschränkung, Aussetzung oder Schließung eines Kontos muss von einem Menschen </w:t>
      </w:r>
      <w:r w:rsidR="00DF6109">
        <w:t xml:space="preserve">und </w:t>
      </w:r>
      <w:r>
        <w:t xml:space="preserve">nicht </w:t>
      </w:r>
      <w:r>
        <w:t xml:space="preserve">von </w:t>
      </w:r>
      <w:r w:rsidR="00DF6109">
        <w:t xml:space="preserve">einem Algorithmus </w:t>
      </w:r>
      <w:r>
        <w:t xml:space="preserve">getroffen werden </w:t>
      </w:r>
      <w:r>
        <w:t xml:space="preserve">(Artikel 10 Absatz 5).</w:t>
      </w:r>
    </w:p>
    <w:p w:rsidR="00D90A18" w:rsidP="00750824" w:rsidRDefault="00D90A18" w14:paraId="3A085AB4" w14:textId="77777777">
      <w:pPr>
        <w:jc w:val="both"/>
      </w:pPr>
    </w:p>
    <w:p w:rsidR="00983F19" w:rsidP="00750824" w:rsidRDefault="00000000" w14:paraId="6D8C84ED" w14:textId="0FC24A03">
      <w:pPr>
        <w:jc w:val="both"/>
      </w:pPr>
      <w:r>
        <w:t xml:space="preserve">Artikel 11 regelt das Recht auf eine Überprüfung einzelner automatisierter Entscheidungen durch einen Menschen. Der Arbeitnehmer hat das Recht auf eine Erläuterung jeder Entscheidung, die durch ein ADMS getroffen oder unterstützt wurde. Bei schwerwiegenderen Entscheidungen </w:t>
      </w:r>
      <w:r w:rsidR="00D7386B">
        <w:t xml:space="preserve">– </w:t>
      </w:r>
      <w:r>
        <w:t xml:space="preserve">Einschränkung des Kontos, Verweigerung einer Zahlung, Beendigung des Vertragsverhältnisses </w:t>
      </w:r>
      <w:r w:rsidR="00D7386B">
        <w:t xml:space="preserve">– </w:t>
      </w:r>
      <w:r>
        <w:t xml:space="preserve">ist die Plattform verpflichtet, unaufgefordert und spätestens an dem Tag</w:t>
      </w:r>
      <w:r w:rsidR="00DF6109">
        <w:t xml:space="preserve">, an dem </w:t>
      </w:r>
      <w:r w:rsidR="00DF6109">
        <w:t xml:space="preserve">die Entscheidung wirksam wird, </w:t>
      </w:r>
      <w:r>
        <w:t xml:space="preserve">eine schriftliche Begründung </w:t>
      </w:r>
      <w:r w:rsidR="00DF6109">
        <w:t xml:space="preserve">der Entscheidung </w:t>
      </w:r>
      <w:r>
        <w:t xml:space="preserve">vorzulegen</w:t>
      </w:r>
      <w:r>
        <w:t xml:space="preserve">. Der Arbeitnehmer hat daraufhin das Recht</w:t>
      </w:r>
      <w:r w:rsidR="00DF6109">
        <w:t xml:space="preserve">,</w:t>
      </w:r>
      <w:r>
        <w:t xml:space="preserve"> Einsicht zu verlangen</w:t>
      </w:r>
      <w:r w:rsidR="00DF6109">
        <w:t xml:space="preserve">, und</w:t>
      </w:r>
      <w:r>
        <w:t xml:space="preserve"> die Plattform </w:t>
      </w:r>
      <w:r>
        <w:t xml:space="preserve">muss innerhalb von zwei Wochen mit einer sachlich begründeten schriftlichen Antwort reagieren. Verstößt die Entscheidung gegen die Rechte des Arbeitnehmers, muss die Plattform diese innerhalb von zwei Wochen korrigieren oder</w:t>
      </w:r>
      <w:r w:rsidR="005B4341">
        <w:t xml:space="preserve">, </w:t>
      </w:r>
      <w:r>
        <w:t xml:space="preserve">falls dies nicht möglich ist</w:t>
      </w:r>
      <w:r w:rsidR="005B4341">
        <w:t xml:space="preserve">, </w:t>
      </w:r>
      <w:r>
        <w:t xml:space="preserve">Schadenersatz leisten.</w:t>
      </w:r>
    </w:p>
    <w:p w:rsidR="00983F19" w:rsidP="00750824" w:rsidRDefault="00000000" w14:paraId="42D47A9F" w14:textId="77777777">
      <w:pPr>
        <w:pStyle w:val="Naslov2"/>
        <w:jc w:val="both"/>
      </w:pPr>
      <w:bookmarkStart w:name="_Toc233699494" w:id="42"/>
      <w:bookmarkStart w:name="ugotovitve-iz-prakse-2" w:id="43"/>
      <w:bookmarkEnd w:id="41"/>
      <w:r>
        <w:t xml:space="preserve">5.2 Erkenntnisse aus der Praxis</w:t>
      </w:r>
      <w:bookmarkEnd w:id="42"/>
    </w:p>
    <w:p w:rsidR="00983F19" w:rsidP="00750824" w:rsidRDefault="00000000" w14:paraId="6C710FC8" w14:textId="2F7F05D7">
      <w:pPr>
        <w:jc w:val="both"/>
      </w:pPr>
      <w:r>
        <w:t xml:space="preserve">Die Erfahrungen in Österreich verdeutlichen den zentralen Konflikt, den die Richtlinie zu lösen versucht: Der österreichische Tarifvertrag für Lieferfahrer (</w:t>
      </w:r>
      <w:r w:rsidR="005B4341">
        <w:t xml:space="preserve">ursprünglich 2020 abgeschlossen, </w:t>
      </w:r>
      <w:r>
        <w:t xml:space="preserve">verlängert für den Zeitraum 2023–2025) hat zwar </w:t>
      </w:r>
      <w:r w:rsidR="005B4341">
        <w:t xml:space="preserve">die Bereiche </w:t>
      </w:r>
      <w:r>
        <w:t xml:space="preserve">Löhne, </w:t>
      </w:r>
      <w:r w:rsidR="005B4341">
        <w:t xml:space="preserve">Arbeitszeit </w:t>
      </w:r>
      <w:r>
        <w:t xml:space="preserve">und </w:t>
      </w:r>
      <w:r w:rsidR="005B4341">
        <w:t xml:space="preserve">Sicherheit </w:t>
      </w:r>
      <w:r>
        <w:t xml:space="preserve">geregelt</w:t>
      </w:r>
      <w:r>
        <w:t xml:space="preserve">, geht jedoch nicht auf die algorithmische Steuerung ein. </w:t>
      </w:r>
      <w:r w:rsidR="005B4341">
        <w:t xml:space="preserve">Die Plattformen sind sich bewusst</w:t>
      </w:r>
      <w:r>
        <w:t xml:space="preserve">, dass die algorithmische Kontrolle ihr </w:t>
      </w:r>
      <w:r w:rsidR="005B4341">
        <w:t xml:space="preserve">wichtigster </w:t>
      </w:r>
      <w:r>
        <w:t xml:space="preserve">Machthebel </w:t>
      </w:r>
      <w:r>
        <w:t xml:space="preserve">ist </w:t>
      </w:r>
      <w:r w:rsidR="00D7386B">
        <w:t xml:space="preserve">– </w:t>
      </w:r>
      <w:r>
        <w:t xml:space="preserve">und genau </w:t>
      </w:r>
      <w:r>
        <w:t xml:space="preserve">darüber </w:t>
      </w:r>
      <w:r>
        <w:t xml:space="preserve">sind</w:t>
      </w:r>
      <w:r w:rsidR="005B4341">
        <w:t xml:space="preserve"> sie </w:t>
      </w:r>
      <w:r>
        <w:t xml:space="preserve">nicht bereit zu verhandeln. Der Begriff </w:t>
      </w:r>
      <w:r>
        <w:t xml:space="preserve">„digitaler </w:t>
      </w:r>
      <w:r w:rsidR="005B4341">
        <w:t xml:space="preserve">Taylorismus“ </w:t>
      </w:r>
      <w:r>
        <w:t xml:space="preserve">beschreibt, wie Systeme wie die Leistungsbewertung bei </w:t>
      </w:r>
      <w:r>
        <w:t xml:space="preserve">Foodora </w:t>
      </w:r>
      <w:r w:rsidR="005B4341">
        <w:t xml:space="preserve">die Arbeit </w:t>
      </w:r>
      <w:r>
        <w:t xml:space="preserve">in messbare Einheiten zerlegen und auf der Grundlage dieser Daten automatische Entlassungen (sogenanntes </w:t>
      </w:r>
      <w:r w:rsidR="005B4341">
        <w:t xml:space="preserve">„Robo-Firing“</w:t>
      </w:r>
      <w:r>
        <w:t xml:space="preserve">)</w:t>
      </w:r>
      <w:r>
        <w:t xml:space="preserve"> auslösen</w:t>
      </w:r>
      <w:r>
        <w:t xml:space="preserve">.</w:t>
      </w:r>
    </w:p>
    <w:p w:rsidR="00D90A18" w:rsidP="00750824" w:rsidRDefault="00D90A18" w14:paraId="48776CAF" w14:textId="77777777">
      <w:pPr>
        <w:jc w:val="both"/>
      </w:pPr>
    </w:p>
    <w:p w:rsidR="00983F19" w:rsidP="00750824" w:rsidRDefault="00000000" w14:paraId="28914753" w14:textId="080C5C8B">
      <w:pPr>
        <w:jc w:val="both"/>
      </w:pPr>
      <w:r>
        <w:t xml:space="preserve">Der Bericht der Expertengruppe der Europäischen Kommission dokumentiert das zentrale Problem der doppelten Zuständigkeit</w:t>
      </w:r>
      <w:r w:rsidR="005B4341">
        <w:t xml:space="preserve">: </w:t>
      </w:r>
      <w:r>
        <w:t xml:space="preserve">Der Datenschutz bei </w:t>
      </w:r>
      <w:r>
        <w:t xml:space="preserve">der Plattformarbeit fällt sowohl in den Zuständigkeitsbereich der Datenschutzbehörden (DPA) als auch der Arbeitsaufsichtsbehörden, doch diese beiden Institutionen </w:t>
      </w:r>
      <w:r>
        <w:t xml:space="preserve">arbeiten </w:t>
      </w:r>
      <w:r>
        <w:t xml:space="preserve">in der Regel nicht</w:t>
      </w:r>
      <w:r>
        <w:lastRenderedPageBreak/>
      </w:r>
      <w:r>
        <w:t xml:space="preserve"> zusammen. In der Praxis bedeutet dies, dass ein Arbeitnehmer, dessen Standort von der Plattform außerhalb der Arbeitszeit erfasst wird, nicht weiß, ob er eine Beschwerde beim Datenschutzbeauftragten oder bei der Arbeitsaufsichtsbehörde einreichen soll</w:t>
      </w:r>
      <w:r w:rsidR="005B4341">
        <w:t xml:space="preserve">, </w:t>
      </w:r>
      <w:r w:rsidR="005B4341">
        <w:t xml:space="preserve">wobei </w:t>
      </w:r>
      <w:r w:rsidR="005B4341">
        <w:t xml:space="preserve">beide </w:t>
      </w:r>
      <w:r>
        <w:t xml:space="preserve">Behörden </w:t>
      </w:r>
      <w:r>
        <w:t xml:space="preserve">wahrscheinlich der Ansicht sind, dass dies in die Zuständigkeit der jeweils anderen fällt.</w:t>
      </w:r>
    </w:p>
    <w:p w:rsidR="00D90A18" w:rsidP="00750824" w:rsidRDefault="00D90A18" w14:paraId="6869F525" w14:textId="77777777">
      <w:pPr>
        <w:jc w:val="both"/>
      </w:pPr>
    </w:p>
    <w:p w:rsidR="00983F19" w:rsidP="00750824" w:rsidRDefault="00000000" w14:paraId="43EE7CE9" w14:textId="5D46ECC7">
      <w:pPr>
        <w:jc w:val="both"/>
      </w:pPr>
      <w:r>
        <w:t xml:space="preserve">Der Gewerkschaftsverband ZSSS hat in seinen Leitlinien zur Umsetzung der Richtlinie (April 2025) vorgeschlagen, den Datenschutzbeauftragten der Republik Slowenien in den Prozess der Einführung jedes automatisierten Systems am Arbeitsplatz einzubeziehen </w:t>
      </w:r>
      <w:r w:rsidR="00D7386B">
        <w:t xml:space="preserve">– </w:t>
      </w:r>
      <w:r>
        <w:t xml:space="preserve">nicht nur als Behörde, die nach einem Verstoß Maßnahmen ergreift, sondern als präventiver Gesprächspartner der Sozialpartner. Dies ist eine bewährte Praxis, die auf alle Mitgliedstaaten ausgeweitet werden sollte: die Datenschutzbehörde als struktureller Akteur im sozialen Dialog über algorithmisches Management, nicht nur als reaktiver Aufseher.</w:t>
      </w:r>
    </w:p>
    <w:p w:rsidR="00D90A18" w:rsidP="00750824" w:rsidRDefault="00D90A18" w14:paraId="2F3AC2C6" w14:textId="77777777">
      <w:pPr>
        <w:jc w:val="both"/>
      </w:pPr>
    </w:p>
    <w:p w:rsidR="00983F19" w:rsidP="00750824" w:rsidRDefault="00000000" w14:paraId="7C4EEE62" w14:textId="1CC77400">
      <w:pPr>
        <w:jc w:val="both"/>
      </w:pPr>
      <w:r>
        <w:t xml:space="preserve">Auf der Konferenz des SDDP-Projekts in Ljubljana im Mai 2025 bestätigten Vertreter aller Partnerländer eine gemeinsame Feststellung: Das Recht auf eine schriftliche Erläuterung algorithmischer Entscheidungen existiert zwar auf dem Papier, ist in der Praxis jedoch inhaltslos. Die Arbeitnehmer erhalten allgemeine Erläuterungen, die die tatsächlichen Parameter nicht offenlegen, und die für die Überprüfung zuständige Person ist häufig nicht für eine inhaltliche Bewertung qualifiziert</w:t>
      </w:r>
      <w:r w:rsidR="00FF3A12">
        <w:t xml:space="preserve">; </w:t>
      </w:r>
      <w:r>
        <w:t xml:space="preserve">ihre Antwort bestätigt lediglich die Entscheidung des Algorithmus. Artikel 11 der Richtlinie spricht dies ausdrücklich an, doch die Umsetzung muss präzise erfolgen: Es muss eine inhaltliche Überprüfung verlangt werden, nicht nur eine formale.</w:t>
      </w:r>
    </w:p>
    <w:p w:rsidR="00D90A18" w:rsidP="00750824" w:rsidRDefault="00D90A18" w14:paraId="7B1C183D" w14:textId="77777777">
      <w:pPr>
        <w:jc w:val="both"/>
      </w:pPr>
    </w:p>
    <w:p w:rsidR="00983F19" w:rsidP="00750824" w:rsidRDefault="00000000" w14:paraId="7FDAD910" w14:textId="391B9782">
      <w:pPr>
        <w:jc w:val="both"/>
      </w:pPr>
      <w:r>
        <w:t xml:space="preserve">Insbesondere im Zusammenhang mit der gewerkschaftlichen Organisation wurde auf das Verbot gemäß Artikel 7 Absatz 1 Buchstabe d hingewiesen: Plattformen </w:t>
      </w:r>
      <w:r>
        <w:t xml:space="preserve">könnten</w:t>
      </w:r>
      <w:r>
        <w:t xml:space="preserve"> nämlich durch die Analyse von Verhaltensmustern der Arbeitnehmer </w:t>
      </w:r>
      <w:r w:rsidR="00D7386B">
        <w:t xml:space="preserve">– </w:t>
      </w:r>
      <w:r>
        <w:t xml:space="preserve">beispielsweise welche Arbeitnehmer zu bestimmten Zeiten Aufträge ablehnen, welche miteinander in Kontakt stehen </w:t>
      </w:r>
      <w:r w:rsidR="00D7386B">
        <w:t xml:space="preserve">– </w:t>
      </w:r>
      <w:r>
        <w:t xml:space="preserve">gewerkschaftliche Aktivitäten vorhersagen. Die Richtlinie verbietet dies. Die Einwilligung des Arbeitnehmers kann dieses Verbot nicht aufheben.</w:t>
      </w:r>
    </w:p>
    <w:p w:rsidR="00983F19" w:rsidP="00750824" w:rsidRDefault="00000000" w14:paraId="09C6333A" w14:textId="77777777">
      <w:pPr>
        <w:pStyle w:val="Naslov2"/>
        <w:jc w:val="both"/>
      </w:pPr>
      <w:bookmarkStart w:name="_Toc233699495" w:id="44"/>
      <w:bookmarkStart w:name="priporočila-2" w:id="45"/>
      <w:bookmarkEnd w:id="43"/>
      <w:r>
        <w:t xml:space="preserve">5.3 Empfehlungen</w:t>
      </w:r>
      <w:bookmarkEnd w:id="44"/>
    </w:p>
    <w:p w:rsidR="00983F19" w:rsidP="00750824" w:rsidRDefault="00000000" w14:paraId="13A7E7A7" w14:textId="7AB1A20A">
      <w:pPr>
        <w:jc w:val="both"/>
      </w:pPr>
      <w:r>
        <w:t xml:space="preserve">Die folgenden Empfehlungen richten sich an die Arbeitsministerien und </w:t>
      </w:r>
      <w:r>
        <w:t xml:space="preserve">Datenschutzbehörden der EU-Mitgliedstaaten.</w:t>
      </w:r>
    </w:p>
    <w:p w:rsidR="00983F19" w:rsidP="00750824" w:rsidRDefault="00000000" w14:paraId="2B6EB242" w14:textId="77777777">
      <w:pPr>
        <w:pStyle w:val="Naslov3"/>
        <w:jc w:val="both"/>
      </w:pPr>
      <w:r>
        <w:t xml:space="preserve">Empfehlung 5.1 [RICHTLINIE]: Die absoluten Verbote aus Artikel 7 sind ohne Ausnahmen und ohne Einwilligung umzusetzen</w:t>
      </w:r>
    </w:p>
    <w:p w:rsidR="00983F19" w:rsidP="00750824" w:rsidRDefault="00000000" w14:paraId="50B9577B" w14:textId="1DAB2F37">
      <w:pPr>
        <w:jc w:val="both"/>
      </w:pPr>
      <w:r>
        <w:t xml:space="preserve">Die nationalen Gesetze müssen die Verbote aus Artikel 7 als bedingungslos umsetzen </w:t>
      </w:r>
      <w:r w:rsidR="00D7386B">
        <w:t xml:space="preserve">– </w:t>
      </w:r>
      <w:r>
        <w:t xml:space="preserve">ohne die Möglichkeit, dass </w:t>
      </w:r>
      <w:r>
        <w:t xml:space="preserve">die</w:t>
      </w:r>
      <w:r>
        <w:t xml:space="preserve"> Plattform </w:t>
      </w:r>
      <w:r>
        <w:t xml:space="preserve">eines davon durch die Einwilligung des Arbeitnehmers umgehen </w:t>
      </w:r>
      <w:r>
        <w:t xml:space="preserve">kann</w:t>
      </w:r>
      <w:r>
        <w:t xml:space="preserve">. Das Gesetz muss ausdrücklich festlegen, dass die Einwilligung keine gültige Rechtsgrundlage für </w:t>
      </w:r>
      <w:r w:rsidR="008A7718">
        <w:t xml:space="preserve">die</w:t>
      </w:r>
      <w:r>
        <w:t xml:space="preserve"> verbotene </w:t>
      </w:r>
      <w:r w:rsidR="008A7718">
        <w:t xml:space="preserve">Datenverarbeitung </w:t>
      </w:r>
      <w:r>
        <w:t xml:space="preserve">bei </w:t>
      </w:r>
      <w:r>
        <w:t xml:space="preserve">der Plattformarbeit </w:t>
      </w:r>
      <w:r>
        <w:t xml:space="preserve">darstellt</w:t>
      </w:r>
      <w:r>
        <w:t xml:space="preserve">. Wir empfehlen, dass das Gesetz konkrete Beispiele für verbotene Handlungen enthält: die Erfassung von Standortdaten während der Pausen, die Analyse der Kommunikation zwischen den Arbeitnehmern zum Zwecke der Aufdeckung gewerkschaftlicher Aktivitäten sowie Rückschlüsse auf den Gesundheitszustand anhand von Verhaltensmustern. Die zuständigen Behörden müssen befugt sein, Verbote proaktiv durchzusetzen, nicht erst nach einer Beschwerde.</w:t>
      </w:r>
    </w:p>
    <w:p w:rsidR="00D90A18" w:rsidP="00750824" w:rsidRDefault="00D90A18" w14:paraId="715DEACA" w14:textId="77777777">
      <w:pPr>
        <w:jc w:val="both"/>
      </w:pPr>
    </w:p>
    <w:p w:rsidR="00983F19" w:rsidP="00750824" w:rsidRDefault="00000000" w14:paraId="3B0530CF" w14:textId="1FE95661">
      <w:pPr>
        <w:pStyle w:val="Blokbesedila"/>
      </w:pPr>
      <w:r>
        <w:t xml:space="preserve">Hintergrund: Eine Expertengruppe der Europäischen Kommission hat bestätigt: Die Einwilligung bei </w:t>
      </w:r>
      <w:r>
        <w:t xml:space="preserve">der Plattformarbeit ist nicht freiwillig, da </w:t>
      </w:r>
      <w:r>
        <w:t xml:space="preserve">der Arbeitnehmer</w:t>
      </w:r>
      <w:r w:rsidR="008A7718">
        <w:t xml:space="preserve"> sie </w:t>
      </w:r>
      <w:r>
        <w:t xml:space="preserve">nicht </w:t>
      </w:r>
      <w:r w:rsidR="008A7718">
        <w:t xml:space="preserve">verweigern</w:t>
      </w:r>
      <w:r>
        <w:t xml:space="preserve"> kann, </w:t>
      </w:r>
      <w:r>
        <w:t xml:space="preserve">ohne </w:t>
      </w:r>
      <w:r w:rsidR="008A7718">
        <w:t xml:space="preserve">den Verlust seines Arbeitsplatzes </w:t>
      </w:r>
      <w:r>
        <w:t xml:space="preserve">zu riskieren</w:t>
      </w:r>
      <w:r>
        <w:t xml:space="preserve">. Die Verbote aus Artikel 7 sind daher absolut </w:t>
      </w:r>
      <w:r w:rsidR="008A7718">
        <w:t xml:space="preserve">und </w:t>
      </w:r>
      <w:r>
        <w:t xml:space="preserve">dies muss im Gesetz klar festgeschrieben werden, nicht nur aus der Richtlinie übernommen werden.</w:t>
      </w:r>
    </w:p>
    <w:p w:rsidR="00983F19" w:rsidP="00750824" w:rsidRDefault="00000000" w14:paraId="512E3E8E" w14:textId="55A382E1">
      <w:pPr>
        <w:pStyle w:val="Naslov3"/>
        <w:jc w:val="both"/>
      </w:pPr>
      <w:r>
        <w:t xml:space="preserve">Empfehlung 5.2 [RICHTLINIE]: DPIA als Voraussetzung für die Einführung jedes AMDMS </w:t>
      </w:r>
      <w:r w:rsidR="00D7386B">
        <w:t xml:space="preserve">– </w:t>
      </w:r>
      <w:r>
        <w:t xml:space="preserve">einschließlich bestehender Systeme</w:t>
      </w:r>
    </w:p>
    <w:p w:rsidR="00983F19" w:rsidP="00750824" w:rsidRDefault="00000000" w14:paraId="7622A0C1" w14:textId="5A90BF6D">
      <w:pPr>
        <w:jc w:val="both"/>
      </w:pPr>
      <w:r>
        <w:lastRenderedPageBreak/>
      </w:r>
      <w:r>
        <w:t xml:space="preserve">Die Ministerien müssen im </w:t>
      </w:r>
      <w:r w:rsidR="008A7718">
        <w:t xml:space="preserve">Gesetz zur Umsetzung der Richtlinie </w:t>
      </w:r>
      <w:r>
        <w:t xml:space="preserve">festlegen, dass eine Datenschutz-Folgenabschätzung (DPIA) vor jeder Einführung eines neuen AMDMS sowie für alle bestehenden Systeme, die von der Plattform zum Zeitpunkt des Inkrafttretens des Gesetzes bereits genutzt werden, obligatorisch ist. Die Frist für die Durchführung der Bewertung für bestehende Systeme darf nicht länger als sechs Monate nach Inkrafttreten des Gesetzes betragen. Die Arbeitnehmervertreter müssen in die Erstellung der Bewertung einbezogen werden </w:t>
      </w:r>
      <w:r w:rsidR="008A7718">
        <w:t xml:space="preserve">und </w:t>
      </w:r>
      <w:r>
        <w:t xml:space="preserve">nicht nur über deren Existenz informiert werden. Die endgültige DPIA ist ihnen unaufgefordert zu übermitteln.</w:t>
      </w:r>
    </w:p>
    <w:p w:rsidR="008A7718" w:rsidP="00750824" w:rsidRDefault="008A7718" w14:paraId="76FB34EE" w14:textId="77777777">
      <w:pPr>
        <w:jc w:val="both"/>
      </w:pPr>
    </w:p>
    <w:p w:rsidR="00983F19" w:rsidP="00750824" w:rsidRDefault="00000000" w14:paraId="297DFDC8" w14:textId="335EB246">
      <w:pPr>
        <w:pStyle w:val="Blokbesedila"/>
      </w:pPr>
      <w:r>
        <w:t xml:space="preserve">Hintergrund: Artikel 8 ist strenger als Artikel 35 der DSGVO: Die Richtlinie </w:t>
      </w:r>
      <w:r w:rsidR="00016B3D">
        <w:t xml:space="preserve">geht </w:t>
      </w:r>
      <w:r>
        <w:t xml:space="preserve">uneingeschränkt </w:t>
      </w:r>
      <w:r w:rsidR="00016B3D">
        <w:t xml:space="preserve">von </w:t>
      </w:r>
      <w:r>
        <w:t xml:space="preserve">einem Risiko </w:t>
      </w:r>
      <w:r w:rsidR="008A7718">
        <w:t xml:space="preserve">bei </w:t>
      </w:r>
      <w:r w:rsidR="008A7718">
        <w:t xml:space="preserve">der Plattformarbeit </w:t>
      </w:r>
      <w:r w:rsidR="00016B3D">
        <w:t xml:space="preserve">aus</w:t>
      </w:r>
      <w:r>
        <w:t xml:space="preserve">. Das bedeutet, dass die Bewertung nicht durch die allgemeine Datenschutzrichtlinie des Unternehmens ersetzt werden kann. Die Konsultation der Arbeitnehmer während der Erstellung der DPIA ist eine Voraussetzung, die durch nationale Gesetze umgesetzt werden muss.</w:t>
      </w:r>
    </w:p>
    <w:p w:rsidR="00983F19" w:rsidP="00750824" w:rsidRDefault="00000000" w14:paraId="617DAA43" w14:textId="1A3BD556">
      <w:pPr>
        <w:pStyle w:val="Naslov3"/>
        <w:jc w:val="both"/>
      </w:pPr>
      <w:r>
        <w:t xml:space="preserve">Empfehlung 5.3 [RICHTLINIE]: Übertragbarkeit von Bewertungen und Meinungen als </w:t>
      </w:r>
      <w:r w:rsidR="008A7718">
        <w:t xml:space="preserve">„Eigentum“</w:t>
      </w:r>
      <w:r>
        <w:t xml:space="preserve"> des Arbeitnehmers</w:t>
      </w:r>
    </w:p>
    <w:p w:rsidR="00983F19" w:rsidP="00750824" w:rsidRDefault="00000000" w14:paraId="2CF9A68E" w14:textId="52E9E76B">
      <w:pPr>
        <w:jc w:val="both"/>
      </w:pPr>
      <w:r>
        <w:t xml:space="preserve">Das Gesetz muss ausdrücklich festlegen, dass </w:t>
      </w:r>
      <w:r>
        <w:t xml:space="preserve">Bewertungen und Meinungen, die während der Ausübung </w:t>
      </w:r>
      <w:r>
        <w:t xml:space="preserve">von Plattformarbeit</w:t>
      </w:r>
      <w:r>
        <w:t xml:space="preserve"> gesammelt werden</w:t>
      </w:r>
      <w:r>
        <w:t xml:space="preserve">, personenbezogene Daten des Arbeitnehmers </w:t>
      </w:r>
      <w:r w:rsidR="008A7718">
        <w:t xml:space="preserve">darstellen </w:t>
      </w:r>
      <w:r>
        <w:t xml:space="preserve">und dem Recht auf Übertragbarkeit gemäß Artikel 9 Absatz 6 der Richtlinie unterliegen. Die Plattform muss kostenlose Tools für die Übertragung in einem maschinenlesbaren Format bereitstellen. Der Arbeitnehmer muss die Möglichkeit haben, die Daten auf eine andere Plattform zu übertragen oder sie im Rahmen eines Verfahrens zur Feststellung des Beschäftigungsstatus vorzulegen. Das Gesetz muss es der Plattform untersagen, Bewertungen </w:t>
      </w:r>
      <w:r>
        <w:t xml:space="preserve">zu löschen oder auszublenden, </w:t>
      </w:r>
      <w:r>
        <w:t xml:space="preserve">wenn der Arbeitnehmer </w:t>
      </w:r>
      <w:r w:rsidR="008A7718">
        <w:t xml:space="preserve">die Plattform </w:t>
      </w:r>
      <w:r>
        <w:t xml:space="preserve">verlässt</w:t>
      </w:r>
      <w:r>
        <w:t xml:space="preserve">.</w:t>
      </w:r>
    </w:p>
    <w:p w:rsidR="008A7718" w:rsidP="00750824" w:rsidRDefault="008A7718" w14:paraId="397723AE" w14:textId="77777777">
      <w:pPr>
        <w:jc w:val="both"/>
      </w:pPr>
    </w:p>
    <w:p w:rsidR="00983F19" w:rsidP="00750824" w:rsidRDefault="00000000" w14:paraId="007763BE" w14:textId="1BC413FF">
      <w:pPr>
        <w:jc w:val="both"/>
      </w:pPr>
      <w:r>
        <w:t xml:space="preserve">Die Expertengruppe der Europäischen Kommission hat </w:t>
      </w:r>
      <w:r w:rsidR="008A7718">
        <w:t xml:space="preserve">ebenfalls </w:t>
      </w:r>
      <w:r>
        <w:t xml:space="preserve">bestätigt</w:t>
      </w:r>
      <w:r w:rsidR="008A7718">
        <w:t xml:space="preserve">, dass </w:t>
      </w:r>
      <w:r>
        <w:t xml:space="preserve">der Arbeitnehmer das Recht </w:t>
      </w:r>
      <w:r w:rsidR="008A7718">
        <w:t xml:space="preserve">hat</w:t>
      </w:r>
      <w:r>
        <w:t xml:space="preserve">, festzulegen, welche Datenkategorien </w:t>
      </w:r>
      <w:r w:rsidR="008A7718">
        <w:t xml:space="preserve">übertragen werden</w:t>
      </w:r>
      <w:r>
        <w:t xml:space="preserve">, jedoch keine Auswahl innerhalb einer Kategorie verlangen kann.</w:t>
      </w:r>
    </w:p>
    <w:p w:rsidR="00D90A18" w:rsidP="00750824" w:rsidRDefault="00D90A18" w14:paraId="7F3A0E71" w14:textId="77777777">
      <w:pPr>
        <w:jc w:val="both"/>
      </w:pPr>
    </w:p>
    <w:p w:rsidR="00983F19" w:rsidP="00750824" w:rsidRDefault="00000000" w14:paraId="7148FB83" w14:textId="047411A6">
      <w:pPr>
        <w:pStyle w:val="Naslov3"/>
        <w:jc w:val="both"/>
      </w:pPr>
      <w:r>
        <w:t xml:space="preserve">Empfehlung 5.4 [RICHTLINIE]: Ständige menschliche Überwachung und echte Überprüfung </w:t>
      </w:r>
      <w:r w:rsidR="00D7386B">
        <w:t xml:space="preserve">– </w:t>
      </w:r>
      <w:r>
        <w:t xml:space="preserve">nicht nur formal</w:t>
      </w:r>
    </w:p>
    <w:p w:rsidR="00983F19" w:rsidP="00750824" w:rsidRDefault="00000000" w14:paraId="17E5BCB7" w14:textId="1F384C38">
      <w:pPr>
        <w:jc w:val="both"/>
      </w:pPr>
      <w:r>
        <w:t xml:space="preserve">Das Gesetz muss festlegen, dass die Überwachung gemäß Artikel 10 kontinuierlich erfolgt </w:t>
      </w:r>
      <w:r w:rsidR="00E872A3">
        <w:t xml:space="preserve">und </w:t>
      </w:r>
      <w:r>
        <w:t xml:space="preserve">nicht nur in Form einer regelmäßigen Überprüfung alle zwei Jahre. Die Plattform muss konkrete Personen benennen, die für die Überwachung verantwortlich sind und über festgelegte Befugnisse verfügen, darunter das Recht, eine automatisierte Entscheidung aufzuheben. Diese Personen dürfen nicht wegen der Ausübung ihrer Kontrollfunktion entlassen oder sanktioniert werden </w:t>
      </w:r>
      <w:r w:rsidR="00D7386B">
        <w:t xml:space="preserve">– </w:t>
      </w:r>
      <w:r>
        <w:t xml:space="preserve">das Gesetz muss </w:t>
      </w:r>
      <w:r w:rsidR="00E872A3">
        <w:t xml:space="preserve">dies </w:t>
      </w:r>
      <w:r>
        <w:t xml:space="preserve">ausdrücklich</w:t>
      </w:r>
      <w:r w:rsidR="00E872A3">
        <w:t xml:space="preserve"> festlegen</w:t>
      </w:r>
      <w:r>
        <w:t xml:space="preserve">, zusammen mit den rechtlichen Konsequenzen für die Plattform, die dagegen verstößt. Wir empfehlen, dass die Plattform die Gewerkschaften jedes Mal über die Ergebnisse der Überwachung informiert, wenn sie eine Rechtsverletzung feststellt</w:t>
      </w:r>
      <w:r w:rsidR="00E872A3">
        <w:t xml:space="preserve">, und </w:t>
      </w:r>
      <w:r>
        <w:t xml:space="preserve">nicht nur im Rahmen des Zweijahresberichts.</w:t>
      </w:r>
    </w:p>
    <w:p w:rsidR="00E872A3" w:rsidP="00750824" w:rsidRDefault="00E872A3" w14:paraId="4A896CD8" w14:textId="77777777">
      <w:pPr>
        <w:jc w:val="both"/>
      </w:pPr>
    </w:p>
    <w:p w:rsidR="00E872A3" w:rsidP="00750824" w:rsidRDefault="00000000" w14:paraId="3E845F4F" w14:textId="16263007">
      <w:pPr>
        <w:pStyle w:val="Blokbesedila"/>
      </w:pPr>
      <w:r>
        <w:t xml:space="preserve">Hintergrund: Artikel 10 Absatz 2 der Richtlinie sieht bereits den Schutz von Aufsichtsbeauftragten vor Kündigung vor, allerdings in allgemeiner Form. Ohne eine konkrete Bestimmung im nationalen Recht wird die Plattform diese Verpflichtung eng auslegen. Die Erfahrungen in Österreich (Exzellenzbewertung, automatische Entlassung) zeigen, dass gerade die Entscheidungen mit den schwerwiegendsten Folgen für die Arbeitnehmer diejenigen sind, die vollständig automatisiert wurden.</w:t>
      </w:r>
    </w:p>
    <w:p w:rsidR="00983F19" w:rsidP="00750824" w:rsidRDefault="00000000" w14:paraId="670D7594" w14:textId="15B509F0">
      <w:pPr>
        <w:pStyle w:val="Naslov3"/>
        <w:jc w:val="both"/>
      </w:pPr>
      <w:r>
        <w:t xml:space="preserve">Empfehlung 5.5 [ÜBERTRIFFT DAS MINIMUM]: Der Datenschutzbeauftragte als fester Ansprechpartner im sozialen Dialog</w:t>
      </w:r>
    </w:p>
    <w:p w:rsidR="00983F19" w:rsidP="00750824" w:rsidRDefault="00000000" w14:paraId="0A64ABF9" w14:textId="6A1A83B3">
      <w:pPr>
        <w:jc w:val="both"/>
      </w:pPr>
      <w:r>
        <w:t xml:space="preserve">Die Ministerien </w:t>
      </w:r>
      <w:r>
        <w:t xml:space="preserve">sollten gemeinsam mit den Datenschutzbehörden ein Verfahren einrichten, bei dem der Datenschutzbeauftragte (oder eine andere zuständige Datenschutzbehörde) an der Einführung jedes neuen AMDMS im </w:t>
      </w:r>
      <w:r>
        <w:t xml:space="preserve">Plattformbereich</w:t>
      </w:r>
      <w:r>
        <w:t xml:space="preserve"> mitwirkt </w:t>
      </w:r>
      <w:r w:rsidR="00D7386B">
        <w:t xml:space="preserve">– </w:t>
      </w:r>
      <w:r>
        <w:t xml:space="preserve">nicht nur als Aufsichtsbehörde nach einem Verstoß, sondern als präventiver Gesprächspartner im sozialen Dialog. Wir empfehlen, dass das Gesetz den Gewerkschaftsvertretern das Recht auf fachliche Unterstützung durch den Datenschutzbeauftragten bei der Bewertung algorithmischer Systeme garantiert. In Slowenien </w:t>
      </w:r>
      <w:r w:rsidR="00E872A3">
        <w:t xml:space="preserve">schlägt </w:t>
      </w:r>
      <w:r>
        <w:t xml:space="preserve">der Gewerkschaftsverband ZSSS diese Rolle </w:t>
      </w:r>
      <w:r>
        <w:t xml:space="preserve">ausdrücklich </w:t>
      </w:r>
      <w:r w:rsidR="00E872A3">
        <w:t xml:space="preserve">vor</w:t>
      </w:r>
      <w:r w:rsidR="00E872A3">
        <w:lastRenderedPageBreak/>
      </w:r>
      <w:r w:rsidR="00E872A3">
        <w:t xml:space="preserve"> </w:t>
      </w:r>
      <w:r w:rsidR="00E872A3">
        <w:t xml:space="preserve">: </w:t>
      </w:r>
      <w:r>
        <w:t xml:space="preserve">Wir empfehlen, dass alle Mitgliedstaaten dies in gleichwertiger Form gesetzlich verankern.</w:t>
      </w:r>
    </w:p>
    <w:p w:rsidR="00E872A3" w:rsidP="00750824" w:rsidRDefault="00E872A3" w14:paraId="0AF53F7E" w14:textId="77777777">
      <w:pPr>
        <w:jc w:val="both"/>
      </w:pPr>
    </w:p>
    <w:p w:rsidR="00983F19" w:rsidP="00750824" w:rsidRDefault="00000000" w14:paraId="532636F0" w14:textId="7EDD5CD2">
      <w:pPr>
        <w:pStyle w:val="Blokbesedila"/>
      </w:pPr>
      <w:r>
        <w:t xml:space="preserve">Hintergrund: Die ZSSS-Leitlinien (April 2025) schlagen die Einbeziehung des Datenschutzbeauftragten der Republik Slowenien bei der Einführung von AM/AI-Systemen vor. Die Expertengruppe der Europäischen Kommission hat bestätigt, dass die Datenschutzbehörden (DPA) für Datenschutzangelegenheiten zuständig sind, stellt jedoch gleichzeitig fest, dass eine Koordinierung mit den Arbeitsaufsichtsbehörden unerlässlich ist</w:t>
      </w:r>
      <w:r w:rsidR="00E872A3">
        <w:t xml:space="preserve">, </w:t>
      </w:r>
      <w:r>
        <w:t xml:space="preserve">was eines der strukturellen Probleme darstellt, die bei der Umsetzung gelöst werden müssen.</w:t>
      </w:r>
    </w:p>
    <w:p w:rsidR="00983F19" w:rsidP="00750824" w:rsidRDefault="00000000" w14:paraId="7C1679F6" w14:textId="4D24BEB5">
      <w:pPr>
        <w:pStyle w:val="Naslov3"/>
        <w:jc w:val="both"/>
      </w:pPr>
      <w:r>
        <w:t xml:space="preserve">Empfehlung 5.6 [ÜBERTRIFFT DIE MINDESTANFORDERUNGEN]: Lösung der doppelten Zuständigkeit: Koordinierung zwischen den Datenschutzbehörden und den Arbeitsaufsichtsbehörden</w:t>
      </w:r>
    </w:p>
    <w:p w:rsidR="00983F19" w:rsidP="00750824" w:rsidRDefault="00000000" w14:paraId="0551DE56" w14:textId="0D3ED92E">
      <w:pPr>
        <w:jc w:val="both"/>
      </w:pPr>
      <w:r>
        <w:t xml:space="preserve">Die Ministerien müssen im Umsetzungsgesetz festlegen, welche Behörde für die Durchsetzung welcher Teile der Richtlinie zuständig ist: Artikel 7–9 (Datenschutz bei AMDMS) fällt in erster Linie in die Zuständigkeit der Datenschutzbehörde (DPA)</w:t>
      </w:r>
      <w:r w:rsidR="00B833F8">
        <w:t xml:space="preserve">, </w:t>
      </w:r>
      <w:r>
        <w:t xml:space="preserve">die Artikel 10–11 (menschliche Kontrolle, Überprüfung von Entscheidungen) fallen in die Zuständigkeit der Arbeitsaufsichtsbehörde, wobei möglicherweise ein koordiniertes Vorgehen beider Behörden erforderlich ist. Das Gesetz muss ein verbindliches Kooperationsprotokoll zwischen der Datenschutzbehörde und der Arbeitsaufsichtsbehörde in Angelegenheiten </w:t>
      </w:r>
      <w:r>
        <w:t xml:space="preserve">der Plattformarbeit</w:t>
      </w:r>
      <w:r>
        <w:t xml:space="preserve"> festlegen</w:t>
      </w:r>
      <w:r>
        <w:t xml:space="preserve">. Ein Arbeitnehmer oder eine Gewerkschaft, die eine Beschwerde einreicht, darf nicht ohne inhaltliche Prüfung zwischen den Behörden hin- und hergeschickt werden.</w:t>
      </w:r>
    </w:p>
    <w:p w:rsidR="00DC4393" w:rsidP="00750824" w:rsidRDefault="00DC4393" w14:paraId="403CEDB1" w14:textId="77777777">
      <w:pPr>
        <w:jc w:val="both"/>
      </w:pPr>
    </w:p>
    <w:p w:rsidR="00983F19" w:rsidP="00750824" w:rsidRDefault="00000000" w14:paraId="30CB4868" w14:textId="3F1E7AF9">
      <w:pPr>
        <w:pStyle w:val="Blokbesedila"/>
      </w:pPr>
      <w:r>
        <w:t xml:space="preserve">Hintergrund: Eine Expertengruppe der Europäischen Kommission hat festgestellt, dass für Angelegenheiten aus Kapitel III der Richtlinie sowohl die Datenschutzbehörden als auch die Arbeitsaufsichtsbehörden zuständig sind, je nachdem, ob es sich um Fragen des Datenschutzes oder der Arbeitsbedingungen handelt. Ohne eine klare Abgrenzung kommt es zu </w:t>
      </w:r>
      <w:r>
        <w:t xml:space="preserve">einem</w:t>
      </w:r>
      <w:r>
        <w:t xml:space="preserve"> institutionellen </w:t>
      </w:r>
      <w:r>
        <w:t xml:space="preserve">Hin und Her</w:t>
      </w:r>
      <w:r>
        <w:t xml:space="preserve">, das </w:t>
      </w:r>
      <w:r w:rsidR="00B833F8">
        <w:t xml:space="preserve">äußerst zeitaufwendig und ineffizient ist</w:t>
      </w:r>
      <w:r>
        <w:t xml:space="preserve">.</w:t>
      </w:r>
    </w:p>
    <w:p w:rsidR="00DC4393" w:rsidP="00750824" w:rsidRDefault="00DC4393" w14:paraId="21DB8DD9" w14:textId="77777777">
      <w:pPr>
        <w:jc w:val="both"/>
        <w:rPr>
          <w:b/>
          <w:bCs/>
        </w:rPr>
      </w:pPr>
    </w:p>
    <w:p w:rsidR="00983F19" w:rsidP="00750824" w:rsidRDefault="00000000" w14:paraId="01A59C58" w14:textId="3905780E">
      <w:pPr>
        <w:jc w:val="both"/>
      </w:pPr>
      <w:r>
        <w:rPr>
          <w:b/>
          <w:bCs/>
        </w:rPr>
        <w:t xml:space="preserve">Anmerkung zur Umsetzung</w:t>
      </w:r>
    </w:p>
    <w:p w:rsidR="00983F19" w:rsidP="00750824" w:rsidRDefault="00000000" w14:paraId="496B9849" w14:textId="14D6614E">
      <w:pPr>
        <w:jc w:val="both"/>
      </w:pPr>
      <w:r>
        <w:rPr>
          <w:i/>
          <w:iCs/>
        </w:rPr>
        <w:t xml:space="preserve">Der Datenschutz bei </w:t>
      </w:r>
      <w:r>
        <w:rPr>
          <w:i/>
          <w:iCs/>
        </w:rPr>
        <w:t xml:space="preserve">der Plattformarbeit </w:t>
      </w:r>
      <w:r>
        <w:rPr>
          <w:i/>
          <w:iCs/>
        </w:rPr>
        <w:t xml:space="preserve">ist</w:t>
      </w:r>
      <w:r>
        <w:rPr>
          <w:i/>
          <w:iCs/>
        </w:rPr>
        <w:t xml:space="preserve"> kein isoliertes technisches Thema</w:t>
      </w:r>
      <w:r w:rsidR="00B833F8">
        <w:rPr>
          <w:i/>
          <w:iCs/>
        </w:rPr>
        <w:t xml:space="preserve">, </w:t>
      </w:r>
      <w:r>
        <w:rPr>
          <w:i/>
          <w:iCs/>
        </w:rPr>
        <w:t xml:space="preserve">sondern eine Voraussetzung für einen glaubwürdigen sozialen Dialog. Solange die Plattform kontrolliert, welche Arbeitnehmer miteinander kommunizieren und welche Rechte sie geltend machen, haben die Gewerkschaften keine gleichberechtigte Verhandlungsposition. Die Artikel 7–11 der Richtlinie </w:t>
      </w:r>
      <w:r w:rsidR="00B833F8">
        <w:rPr>
          <w:i/>
          <w:iCs/>
        </w:rPr>
        <w:t xml:space="preserve">gehen auf </w:t>
      </w:r>
      <w:r w:rsidR="00B833F8">
        <w:rPr>
          <w:i/>
          <w:iCs/>
        </w:rPr>
        <w:t xml:space="preserve">dieses strukturelle </w:t>
      </w:r>
      <w:r>
        <w:rPr>
          <w:i/>
          <w:iCs/>
        </w:rPr>
        <w:t xml:space="preserve">Ungleichgewicht </w:t>
      </w:r>
      <w:r w:rsidR="00B833F8">
        <w:rPr>
          <w:i/>
          <w:iCs/>
        </w:rPr>
        <w:t xml:space="preserve">ein, </w:t>
      </w:r>
      <w:r>
        <w:rPr>
          <w:i/>
          <w:iCs/>
        </w:rPr>
        <w:t xml:space="preserve">indem sie Anforderungen an Transparenz, Übertragbarkeit und menschliche Kontrolle stellen. Die Umsetzung muss präzise erfolgen: Formale Bestimmungen ohne inhaltliche Standards reichen nicht aus.</w:t>
      </w:r>
    </w:p>
    <w:p w:rsidR="00750824" w:rsidRDefault="00750824" w14:paraId="1E018822" w14:textId="77777777">
      <w:pPr>
        <w:rPr>
          <w:b/>
          <w:bCs/>
          <w:color w:val="1F3864"/>
          <w:sz w:val="36"/>
          <w:szCs w:val="36"/>
        </w:rPr>
      </w:pPr>
      <w:bookmarkStart w:name="Xeb9ad283c504020b2ba173fa22e0871cc81f3b2" w:id="46"/>
      <w:bookmarkEnd w:id="38"/>
      <w:bookmarkEnd w:id="45"/>
      <w:r>
        <w:br w:type="page"/>
      </w:r>
    </w:p>
    <w:p w:rsidR="00983F19" w:rsidP="00750824" w:rsidRDefault="00000000" w14:paraId="3FBE0AD4" w14:textId="5D4AEA0B">
      <w:pPr>
        <w:pStyle w:val="Naslov1"/>
        <w:jc w:val="both"/>
      </w:pPr>
      <w:bookmarkStart w:name="_Toc233699496" w:id="47"/>
      <w:r>
        <w:lastRenderedPageBreak/>
      </w:r>
      <w:r>
        <w:t xml:space="preserve">Kapitel 6: Kollektive Rechte und sozialer Dialog</w:t>
      </w:r>
      <w:bookmarkEnd w:id="47"/>
    </w:p>
    <w:p w:rsidR="00983F19" w:rsidP="00750824" w:rsidRDefault="00000000" w14:paraId="78B231F1" w14:textId="77777777">
      <w:pPr>
        <w:pStyle w:val="Naslov2"/>
        <w:jc w:val="both"/>
      </w:pPr>
      <w:bookmarkStart w:name="_Toc233699497" w:id="48"/>
      <w:bookmarkStart w:name="zahteve-direktive-3" w:id="49"/>
      <w:r>
        <w:t xml:space="preserve">6.1 Anforderungen der Richtlinie</w:t>
      </w:r>
      <w:bookmarkEnd w:id="48"/>
    </w:p>
    <w:p w:rsidR="00983F19" w:rsidP="00750824" w:rsidRDefault="00000000" w14:paraId="6732DCF7" w14:textId="227CD3D5">
      <w:pPr>
        <w:jc w:val="both"/>
      </w:pPr>
      <w:r>
        <w:t xml:space="preserve">Die EU-Richtlinie 2024/2831 über </w:t>
      </w:r>
      <w:r>
        <w:t xml:space="preserve">Plattformarbeit </w:t>
      </w:r>
      <w:r w:rsidR="000617C4">
        <w:t xml:space="preserve">widmet </w:t>
      </w:r>
      <w:r>
        <w:t xml:space="preserve">den kollektiven Rechten und dem sozialen Dialog </w:t>
      </w:r>
      <w:r>
        <w:t xml:space="preserve">zwei Bestimmungen </w:t>
      </w:r>
      <w:r w:rsidR="000617C4">
        <w:t xml:space="preserve">direkt </w:t>
      </w:r>
      <w:r>
        <w:t xml:space="preserve">(Artikel 25 und 29), eine indirekt (Artikel 28) sowie eine Reihe von Mechanismen, die Voraussetzung für das Funktionieren des sozialen Dialogs in der Praxis sind: </w:t>
      </w:r>
      <w:r w:rsidR="000617C4">
        <w:t xml:space="preserve">Kommunikationskanäle </w:t>
      </w:r>
      <w:r>
        <w:t xml:space="preserve">(Artikel 20), verfahrensrechtliche Vertretung (Artikel 19), Schutz vor Vergeltungsmaßnahmen (Artikel 22–23) und Zugang zu Beweismitteln (Artikel 21). Zusammen bilden diese Bestimmungen einen Rahmen, der dem sozialen Dialog erstmals eine strukturelle Grundlage in einem Sektor verschafft, in dem die organisierte Stimme der Arbeitnehmer bisher weitgehend unterbunden war.</w:t>
      </w:r>
    </w:p>
    <w:p w:rsidR="00D90A18" w:rsidP="00750824" w:rsidRDefault="00D90A18" w14:paraId="2553D7A8" w14:textId="77777777">
      <w:pPr>
        <w:jc w:val="both"/>
      </w:pPr>
    </w:p>
    <w:p w:rsidR="00983F19" w:rsidP="00750824" w:rsidRDefault="005C5C0F" w14:paraId="1C851F66" w14:textId="3105EF93">
      <w:pPr>
        <w:jc w:val="both"/>
      </w:pPr>
      <w:r>
        <w:rPr>
          <w:b/>
          <w:bCs/>
        </w:rPr>
        <w:t xml:space="preserve">Artikel 25 </w:t>
      </w:r>
      <w:r>
        <w:rPr>
          <w:b/>
          <w:bCs/>
        </w:rPr>
        <w:t xml:space="preserve">(Förderung von Tarifverhandlungen) </w:t>
      </w:r>
      <w:r>
        <w:t xml:space="preserve">verpflichtet die Mitgliedstaaten, unbeschadet der Autonomie der Sozialpartner und unter Berücksichtigung der Vielfalt der nationalen Praktiken geeignete Maßnahmen zu ergreifen, um die Rolle der Sozialpartner und die Durchsetzung des Rechts auf Tarifverhandlungen in </w:t>
      </w:r>
      <w:r>
        <w:t xml:space="preserve">der Plattformarbeit</w:t>
      </w:r>
      <w:r>
        <w:t xml:space="preserve"> zu fördern</w:t>
      </w:r>
      <w:r>
        <w:t xml:space="preserve">. Dies umfasst sowohl Maßnahmen zur Feststellung des korrekten Beschäftigungsstatus als auch Maßnahmen zur Erleichterung der Durchsetzung von Rechten im Zusammenhang mit algorithmischer Steuerung. Die Expertengruppe der Europäischen Kommission hat klargestellt, dass Artikel 25 keine gesetzliche Verankerung des Rechts auf Tarifverhandlungen für selbstständige Plattformarbeiter vorschreibt, </w:t>
      </w:r>
      <w:r>
        <w:t xml:space="preserve">den Mitgliedstaaten </w:t>
      </w:r>
      <w:r>
        <w:t xml:space="preserve">jedoch </w:t>
      </w:r>
      <w:r>
        <w:t xml:space="preserve">völlige Freiheit lässt, dies zu tun. Maßnahmen gemäß Artikel 25 können direkte Rechtsvorschriften, nationale Strategien, Aktionspläne, finanzielle Unterstützung zur Stärkung der Kapazitäten von Gewerkschaften oder Sanktionen gegen Plattformen sein, die Tarifverhandlungen behindern.</w:t>
      </w:r>
    </w:p>
    <w:p w:rsidR="00D90A18" w:rsidP="00750824" w:rsidRDefault="00D90A18" w14:paraId="3A125DF4" w14:textId="77777777">
      <w:pPr>
        <w:jc w:val="both"/>
      </w:pPr>
    </w:p>
    <w:p w:rsidR="00983F19" w:rsidP="00750824" w:rsidRDefault="009F3F9C" w14:paraId="6DAB2192" w14:textId="0D45D20D">
      <w:pPr>
        <w:jc w:val="both"/>
      </w:pPr>
      <w:r>
        <w:rPr>
          <w:b/>
          <w:bCs/>
        </w:rPr>
        <w:t xml:space="preserve">Artikel 28 (Tarifverträge als Umsetzungsmechanismus) </w:t>
      </w:r>
      <w:r>
        <w:t xml:space="preserve">eröffnet zwei wesentliche Möglichkeiten. Erstens dürfen die Mitgliedstaaten und die Sozialpartner durch Gesetz oder Tarifvertrag besondere Vorschriften zum Schutz der Rechte der Arbeitnehmer im Zusammenhang mit der Verarbeitung personenbezogener Daten (Artikel 9, 10 und 11) festlegen, die strenger sind als die in der Richtlinie festgelegten Mindestanforderungen. Zweitens dürfen die Sozialpartner, sofern die Mitgliedstaaten dies zulassen, dürfen die Sozialpartner durch Tarifverträge Regelungen festlegen, die von den Artikeln 12 und 13 der Richtlinie abweichen </w:t>
      </w:r>
      <w:r w:rsidR="00D7386B">
        <w:t xml:space="preserve">– </w:t>
      </w:r>
      <w:r>
        <w:t xml:space="preserve">allerdings unter der strengen Voraussetzung, dass der allgemeine Schutz </w:t>
      </w:r>
      <w:r>
        <w:t xml:space="preserve">der Plattformarbeiter unberührt bleibt und dass die Abweichungen durch günstigere Bedingungen in einem anderen Bereich ausgeglichen werden.</w:t>
      </w:r>
    </w:p>
    <w:p w:rsidR="00D90A18" w:rsidP="00750824" w:rsidRDefault="00D90A18" w14:paraId="5933C643" w14:textId="77777777">
      <w:pPr>
        <w:jc w:val="both"/>
      </w:pPr>
    </w:p>
    <w:p w:rsidR="00983F19" w:rsidP="00750824" w:rsidRDefault="009F3F9C" w14:paraId="3249EBA8" w14:textId="1DB2DA48">
      <w:pPr>
        <w:jc w:val="both"/>
      </w:pPr>
      <w:r>
        <w:rPr>
          <w:b/>
          <w:bCs/>
        </w:rPr>
        <w:t xml:space="preserve">Artikel 29 Absätze 3 und 4 (Übertragung auf die Sozialpartner) </w:t>
      </w:r>
      <w:r>
        <w:t xml:space="preserve">verpflichtet die Mitgliedstaaten, eine wirksame Einbindung der Sozialpartner in die Umsetzung der Richtlinie sicherzustellen. Darüber hinaus ermöglicht er ihnen, auf gemeinsamen Antrag der Sozialpartner die Umsetzung der Richtlinie diesen selbst zu übertragen </w:t>
      </w:r>
      <w:r w:rsidR="00D7386B">
        <w:t xml:space="preserve">– </w:t>
      </w:r>
      <w:r>
        <w:t xml:space="preserve">unter der Voraussetzung, dass der Staat die Erreichung der Ziele der Richtlinie gewährleistet. Dies ist eine </w:t>
      </w:r>
      <w:r w:rsidR="00247A59">
        <w:t xml:space="preserve">der wichtigsten</w:t>
      </w:r>
      <w:r>
        <w:t xml:space="preserve">, aber am wenigsten bekannten Bestimmungen der Richtlinie: Sie ebnet </w:t>
      </w:r>
      <w:r w:rsidR="00247A59">
        <w:t xml:space="preserve">nämlich </w:t>
      </w:r>
      <w:r>
        <w:t xml:space="preserve">den Weg für die Umsetzung der Richtlinie </w:t>
      </w:r>
      <w:r w:rsidR="00247A59">
        <w:t xml:space="preserve">über Tarifverträge, </w:t>
      </w:r>
      <w:r>
        <w:t xml:space="preserve">anstatt auf das Gesetzgebungsverfahren zu warten.</w:t>
      </w:r>
    </w:p>
    <w:p w:rsidR="00D90A18" w:rsidP="00750824" w:rsidRDefault="00D90A18" w14:paraId="58E25469" w14:textId="77777777">
      <w:pPr>
        <w:jc w:val="both"/>
      </w:pPr>
    </w:p>
    <w:p w:rsidR="00983F19" w:rsidP="00750824" w:rsidRDefault="00247A59" w14:paraId="7DCD2BD0" w14:textId="4EE30FE3">
      <w:pPr>
        <w:jc w:val="both"/>
      </w:pPr>
      <w:r>
        <w:rPr>
          <w:b/>
          <w:bCs/>
        </w:rPr>
        <w:t xml:space="preserve">Artikel 20 (Kommunikationskanäle) </w:t>
      </w:r>
      <w:r>
        <w:t xml:space="preserve">verpflichtet die Plattformen, den Arbeitnehmern eine Infrastruktur für eine sichere und vertrauliche Kommunikation untereinander sowie mit den Arbeitnehmervertretern bereitzustellen, wobei die Plattformen selbst keinen Zugriff auf den Inhalt dieser Kommunikation haben. Die Expertengruppe der Europäischen Kommission hat klargestellt, dass Gruppenchats in den Apps der Plattformen (z. B. </w:t>
      </w:r>
      <w:r>
        <w:t xml:space="preserve">ein von der Plattform verwalteter </w:t>
      </w:r>
      <w:r>
        <w:t xml:space="preserve">WhatsApp-Gruppenchat</w:t>
      </w:r>
      <w:r>
        <w:t xml:space="preserve">) nicht ausreichen: Die Arbeitnehmer benötigen einen Kanal, der von der Plattform selbst unabhängig ist.</w:t>
      </w:r>
    </w:p>
    <w:p w:rsidR="00D90A18" w:rsidP="00750824" w:rsidRDefault="00D90A18" w14:paraId="4316CB70" w14:textId="77777777">
      <w:pPr>
        <w:jc w:val="both"/>
      </w:pPr>
    </w:p>
    <w:p w:rsidR="00D90A18" w:rsidP="00750824" w:rsidRDefault="00247A59" w14:paraId="572DF69D" w14:textId="3BD0358D">
      <w:pPr>
        <w:jc w:val="both"/>
      </w:pPr>
      <w:r w:rsidRPr="00247A59">
        <w:rPr>
          <w:b/>
          <w:bCs/>
        </w:rPr>
        <w:lastRenderedPageBreak/>
      </w:r>
      <w:r w:rsidRPr="00247A59">
        <w:rPr>
          <w:b/>
          <w:bCs/>
        </w:rPr>
        <w:t xml:space="preserve"> </w:t>
      </w:r>
      <w:r>
        <w:rPr>
          <w:b/>
          <w:bCs/>
        </w:rPr>
        <w:t xml:space="preserve">Artikel 19 (Prozessvertretung) </w:t>
      </w:r>
      <w:r>
        <w:t xml:space="preserve">gewährleistet, dass Arbeitnehmervertreter und juristische Personen mit berechtigtem Interesse in jedem Gerichts- oder Verwaltungsverfahren im Namen oder zur Unterstützung eines oder mehrerer Arbeitnehmer auftreten können. Die Expertengruppe der Europäischen Kommission hat bestätigt, dass dieser Artikel auch das Recht auf Einleitung von Verfahren umfasst, nicht nur die Teilnahme an bereits eingeleiteten Verfahren.</w:t>
      </w:r>
    </w:p>
    <w:p w:rsidR="00983F19" w:rsidP="00750824" w:rsidRDefault="00000000" w14:paraId="195AD6C7" w14:textId="77777777">
      <w:pPr>
        <w:pStyle w:val="Naslov2"/>
        <w:jc w:val="both"/>
      </w:pPr>
      <w:bookmarkStart w:name="_Toc233699498" w:id="50"/>
      <w:bookmarkStart w:name="ugotovitve-iz-prakse-3" w:id="51"/>
      <w:bookmarkEnd w:id="49"/>
      <w:r>
        <w:t xml:space="preserve">6.2 Erkenntnisse aus der Praxis</w:t>
      </w:r>
      <w:bookmarkEnd w:id="50"/>
    </w:p>
    <w:p w:rsidR="00983F19" w:rsidP="00750824" w:rsidRDefault="00000000" w14:paraId="4CEE5FCB" w14:textId="77777777">
      <w:pPr>
        <w:pStyle w:val="Naslov3"/>
        <w:jc w:val="both"/>
      </w:pPr>
      <w:bookmarkStart w:name="socialni-dialog-nujnost-in-ovire" w:id="52"/>
      <w:r>
        <w:t xml:space="preserve">Sozialer Dialog: Notwendigkeit und Hindernisse</w:t>
      </w:r>
    </w:p>
    <w:p w:rsidR="00983F19" w:rsidP="00750824" w:rsidRDefault="00000000" w14:paraId="6FDDBDDE" w14:textId="0FAE4069">
      <w:pPr>
        <w:jc w:val="both"/>
      </w:pPr>
      <w:r>
        <w:t xml:space="preserve">Die Zwischenkonferenz des SDDP-Projekts (Ljubljana, Mai 2025) hat einen entscheidenden Widerspruch aufgezeigt: Der soziale Dialog ist für die Bewältigung der Herausforderungen </w:t>
      </w:r>
      <w:r>
        <w:t xml:space="preserve">der Plattformarbeit</w:t>
      </w:r>
      <w:r>
        <w:t xml:space="preserve"> unerlässlich</w:t>
      </w:r>
      <w:r>
        <w:t xml:space="preserve">, doch gerade in diesem Sektor ist es am schwierigsten, die Voraussetzungen dafür zu schaffen. Die Plattformen behandeln die Arbeitnehmer als vereinzelte Selbstständige, die keinen Kontakt untereinander haben, keinen gemeinsamen Arbeitsplatz besitzen und keinen Zugang zu Informationen haben, die eine Voraussetzung für gleichberechtigte Verhandlungen wären. Ohne </w:t>
      </w:r>
      <w:r w:rsidR="00615F18">
        <w:t xml:space="preserve">ein Arbeitsverhältnis </w:t>
      </w:r>
      <w:r>
        <w:t xml:space="preserve">gibt es kein Recht auf Tarifverhandlungen, ohne Kommunikationskanäle gibt es keine Organisation, ohne Zugang zu Daten gibt es keine Verhandlungsgrundlage.</w:t>
      </w:r>
    </w:p>
    <w:p w:rsidR="00D90A18" w:rsidP="00750824" w:rsidRDefault="00D90A18" w14:paraId="28C9E6A9" w14:textId="77777777">
      <w:pPr>
        <w:jc w:val="both"/>
      </w:pPr>
    </w:p>
    <w:p w:rsidR="00983F19" w:rsidP="00750824" w:rsidRDefault="00000000" w14:paraId="64A2A25B" w14:textId="3FE479FC">
      <w:pPr>
        <w:jc w:val="both"/>
      </w:pPr>
      <w:r>
        <w:t xml:space="preserve">Die gemeinsame Feststellung aller Partnergewerkschaften war eindeutig: </w:t>
      </w:r>
      <w:r w:rsidR="00247A59">
        <w:rPr>
          <w:b/>
          <w:bCs/>
        </w:rPr>
        <w:t xml:space="preserve">„Nicht alle Probleme lassen sich </w:t>
      </w:r>
      <w:r>
        <w:rPr>
          <w:b/>
          <w:bCs/>
        </w:rPr>
        <w:t xml:space="preserve">durch ein Arbeitsverhältnis lösen, aber kein einziges lässt sich ohne eines lösen.“ </w:t>
      </w:r>
      <w:r>
        <w:t xml:space="preserve">Ein Arbeitsverhältnis ist kein Allheilmittel, aber </w:t>
      </w:r>
      <w:r>
        <w:t xml:space="preserve">eine</w:t>
      </w:r>
      <w:r>
        <w:t xml:space="preserve"> strukturelle </w:t>
      </w:r>
      <w:r>
        <w:t xml:space="preserve">Voraussetzung für die Durchsetzung kollektiver Rechte. Gleichzeitig ist der soziale Dialog der einzige Mechanismus, der den Arbeitnehmern Schutz bietet, bevor und während Gerichte und Aufsichtsbehörden langsam </w:t>
      </w:r>
      <w:r w:rsidR="00247A59">
        <w:t xml:space="preserve">den arbeitsrechtlichen Status </w:t>
      </w:r>
      <w:r>
        <w:t xml:space="preserve">klären</w:t>
      </w:r>
      <w:r>
        <w:t xml:space="preserve">.</w:t>
      </w:r>
    </w:p>
    <w:p w:rsidR="00983F19" w:rsidP="00750824" w:rsidRDefault="00000000" w14:paraId="4E3B6968" w14:textId="77777777">
      <w:pPr>
        <w:pStyle w:val="Naslov3"/>
        <w:jc w:val="both"/>
      </w:pPr>
      <w:bookmarkStart w:name="izkušnje-iz-partnerskih-držav" w:id="53"/>
      <w:bookmarkEnd w:id="52"/>
      <w:r>
        <w:t xml:space="preserve">Erfahrungen aus den Partnerländern</w:t>
      </w:r>
    </w:p>
    <w:p w:rsidR="00983F19" w:rsidP="00750824" w:rsidRDefault="00000000" w14:paraId="58478748" w14:textId="0691E266">
      <w:pPr>
        <w:jc w:val="both"/>
      </w:pPr>
      <w:r>
        <w:rPr>
          <w:b/>
          <w:bCs/>
        </w:rPr>
        <w:t xml:space="preserve">Spanien </w:t>
      </w:r>
      <w:r>
        <w:t xml:space="preserve">hat </w:t>
      </w:r>
      <w:r>
        <w:t xml:space="preserve">den </w:t>
      </w:r>
      <w:r w:rsidR="00247A59">
        <w:t xml:space="preserve">längsten </w:t>
      </w:r>
      <w:r>
        <w:t xml:space="preserve">Weg von Protesten hin zu </w:t>
      </w:r>
      <w:r>
        <w:t xml:space="preserve">einem </w:t>
      </w:r>
      <w:r>
        <w:t xml:space="preserve">institutionalisierten </w:t>
      </w:r>
      <w:r>
        <w:t xml:space="preserve">sozialen Dialog </w:t>
      </w:r>
      <w:r w:rsidR="00247A59">
        <w:t xml:space="preserve">zurückgelegt</w:t>
      </w:r>
      <w:r>
        <w:t xml:space="preserve">. Nach der Verabschiedung des Gesetzes über Lieferfahrer haben die Gewerkschaften CCOO und UGT einen Tarifvertrag mit </w:t>
      </w:r>
      <w:r>
        <w:t xml:space="preserve">JustEat </w:t>
      </w:r>
      <w:r>
        <w:t xml:space="preserve">España </w:t>
      </w:r>
      <w:r>
        <w:t xml:space="preserve">abgeschlossen </w:t>
      </w:r>
      <w:r w:rsidR="00D7386B">
        <w:t xml:space="preserve">– </w:t>
      </w:r>
      <w:r>
        <w:t xml:space="preserve">einer der wenigen in Europa, der nicht nur die Löhne regelt, sondern auch eine gemeinsame Kommission zur Überwachung der Algorithmen einrichtet. </w:t>
      </w:r>
      <w:r w:rsidR="00247A59">
        <w:t xml:space="preserve">Der gemeinsame Druck </w:t>
      </w:r>
      <w:r>
        <w:t xml:space="preserve">durch die Aufsichtsbehörde, die Medien, Streiks und Gerichtsverfahren hat Bedingungen geschaffen, die kein einzelner Weg allein hätte erreichen können. Gleichzeitig zeigt die spanische Erfahrung die Grenzen einer sektoralen Beschränkung auf: Das Gesetz gilt nur für die Lebensmittellieferung, </w:t>
      </w:r>
      <w:r>
        <w:t xml:space="preserve">während </w:t>
      </w:r>
      <w:r>
        <w:t xml:space="preserve">Uber </w:t>
      </w:r>
      <w:r>
        <w:t xml:space="preserve">Eats </w:t>
      </w:r>
      <w:r>
        <w:t xml:space="preserve">und </w:t>
      </w:r>
      <w:r>
        <w:t xml:space="preserve">Lieferando </w:t>
      </w:r>
      <w:r>
        <w:t xml:space="preserve">einfach auf </w:t>
      </w:r>
      <w:r>
        <w:t xml:space="preserve">ein Subunternehmermodell</w:t>
      </w:r>
      <w:r>
        <w:t xml:space="preserve"> umgestiegen sind</w:t>
      </w:r>
      <w:r>
        <w:t xml:space="preserve">.</w:t>
      </w:r>
    </w:p>
    <w:p w:rsidR="00247A59" w:rsidP="00750824" w:rsidRDefault="00247A59" w14:paraId="0359DC76" w14:textId="77777777">
      <w:pPr>
        <w:jc w:val="both"/>
      </w:pPr>
    </w:p>
    <w:p w:rsidR="00983F19" w:rsidP="00750824" w:rsidRDefault="00000000" w14:paraId="4B1DC074" w14:textId="620943DA">
      <w:pPr>
        <w:jc w:val="both"/>
      </w:pPr>
      <w:r>
        <w:rPr>
          <w:b/>
          <w:bCs/>
        </w:rPr>
        <w:t xml:space="preserve">Österreich </w:t>
      </w:r>
      <w:r>
        <w:t xml:space="preserve">hat 2020 den </w:t>
      </w:r>
      <w:r>
        <w:t xml:space="preserve">weltweit </w:t>
      </w:r>
      <w:r>
        <w:t xml:space="preserve">ersten branchenweiten Tarifvertrag für </w:t>
      </w:r>
      <w:r>
        <w:t xml:space="preserve">Plattform-Lieferant*innen</w:t>
      </w:r>
      <w:r>
        <w:t xml:space="preserve"> abgeschlossen</w:t>
      </w:r>
      <w:r w:rsidR="00247A59">
        <w:t xml:space="preserve">, der </w:t>
      </w:r>
      <w:r>
        <w:t xml:space="preserve">zwar einen Erfolg im Bereich der Löhne </w:t>
      </w:r>
      <w:r w:rsidR="00247A59">
        <w:t xml:space="preserve">darstellt</w:t>
      </w:r>
      <w:r>
        <w:t xml:space="preserve">, nicht jedoch in Bezug auf die Algorithmen. </w:t>
      </w:r>
      <w:r>
        <w:t xml:space="preserve">Riders </w:t>
      </w:r>
      <w:r>
        <w:t xml:space="preserve">Collective </w:t>
      </w:r>
      <w:r>
        <w:t xml:space="preserve">unterstützte die Einrichtung eines Arbeitnehmerrats bei </w:t>
      </w:r>
      <w:r>
        <w:t xml:space="preserve">Foodora </w:t>
      </w:r>
      <w:r>
        <w:t xml:space="preserve">(der erste im Jahr 2017), doch das Unternehmen blockierte später im Jahr 2021 die Verlängerung des Unternehmensdatenvertrags unter Berufung auf die mangelnde Bereitschaft der Unternehmensleitung. Bei </w:t>
      </w:r>
      <w:r w:rsidR="00247A59">
        <w:t xml:space="preserve">Lieferand </w:t>
      </w:r>
      <w:r>
        <w:t xml:space="preserve">war der Arbeitnehmerrat seit 2019 tätig, doch das Unternehmen blockierte im Jahr 2025 weitere Versuche rechtlich durch Massenentlassungen und die Umstellung auf Selbstständige, wobei es sich auf die dezentrale Struktur und die Anpassung an Branchenstandards berief.</w:t>
      </w:r>
    </w:p>
    <w:p w:rsidR="00247A59" w:rsidP="00750824" w:rsidRDefault="00247A59" w14:paraId="0D37FB91" w14:textId="77777777">
      <w:pPr>
        <w:jc w:val="both"/>
      </w:pPr>
    </w:p>
    <w:p w:rsidR="00983F19" w:rsidP="00750824" w:rsidRDefault="00000000" w14:paraId="4F6D002D" w14:textId="187CDC1D">
      <w:pPr>
        <w:jc w:val="both"/>
      </w:pPr>
      <w:r>
        <w:rPr>
          <w:b/>
          <w:bCs/>
        </w:rPr>
        <w:t xml:space="preserve">Italien </w:t>
      </w:r>
      <w:r>
        <w:t xml:space="preserve">sieht sich mit einem Zwiespalt konfrontiert: </w:t>
      </w:r>
      <w:r>
        <w:t xml:space="preserve">JustEat </w:t>
      </w:r>
      <w:r>
        <w:t xml:space="preserve">ist die einzige größere Plattform, die ihre Lieferfahrer fest angestellt und einen Tarifvertrag abgeschlossen hat. Die übrigen Plattformen arbeiten mit Selbstständigen, </w:t>
      </w:r>
      <w:r>
        <w:t xml:space="preserve">und die rechtsextreme Regierung hüllt sich hinsichtlich der Richtlinie in Schweigen. Die Gewerkschaften haben sich daher auf regionale Vereinbarungen und den Aufbau einer kollektiven Identität durch innovative Organisationsmodelle wie </w:t>
      </w:r>
      <w:r>
        <w:t xml:space="preserve">Casa </w:t>
      </w:r>
      <w:r>
        <w:t xml:space="preserve">Rider </w:t>
      </w:r>
      <w:r>
        <w:t xml:space="preserve">konzentriert</w:t>
      </w:r>
      <w:r>
        <w:t xml:space="preserve">.</w:t>
      </w:r>
    </w:p>
    <w:p w:rsidR="00247A59" w:rsidP="00750824" w:rsidRDefault="00247A59" w14:paraId="5E864D0C" w14:textId="77777777">
      <w:pPr>
        <w:jc w:val="both"/>
      </w:pPr>
    </w:p>
    <w:p w:rsidR="00983F19" w:rsidP="00750824" w:rsidRDefault="00000000" w14:paraId="23AC969E" w14:textId="044D5ED6">
      <w:pPr>
        <w:jc w:val="both"/>
      </w:pPr>
      <w:r>
        <w:rPr>
          <w:b/>
          <w:bCs/>
        </w:rPr>
        <w:lastRenderedPageBreak/>
      </w:r>
      <w:r>
        <w:rPr>
          <w:b/>
          <w:bCs/>
        </w:rPr>
        <w:t xml:space="preserve">In Belgien </w:t>
      </w:r>
      <w:r>
        <w:t xml:space="preserve">gibt es die Plattform </w:t>
      </w:r>
      <w:r>
        <w:t xml:space="preserve">Takeaway</w:t>
      </w:r>
      <w:r>
        <w:t xml:space="preserve">, die als Werbeunternehmen registriert ist</w:t>
      </w:r>
      <w:r w:rsidR="00247A59">
        <w:t xml:space="preserve">, </w:t>
      </w:r>
      <w:r>
        <w:t xml:space="preserve">was ihr niedrigere branchenspezifische Mindeststandards ermöglicht und ihr erlaubt, dem Transportsektor zu entgehen. Ein sozialer Dialog findet zwar statt, steht jedoch im Widerspruch: Die Gewerkschaften sind der Ansicht, dass die Plattform dem Transportsektor zugeordnet werden sollte, der wesentlich höhere Standards aufweist. Die Richtlinie sollte diese missbräuchliche sektorale Einstufung beseitigen.</w:t>
      </w:r>
    </w:p>
    <w:p w:rsidR="00247A59" w:rsidP="00750824" w:rsidRDefault="00247A59" w14:paraId="18A8573A" w14:textId="77777777">
      <w:pPr>
        <w:jc w:val="both"/>
      </w:pPr>
    </w:p>
    <w:p w:rsidR="00983F19" w:rsidP="00750824" w:rsidRDefault="00000000" w14:paraId="2F1ADDD4" w14:textId="5A0E883E">
      <w:pPr>
        <w:jc w:val="both"/>
      </w:pPr>
      <w:r>
        <w:rPr>
          <w:b/>
          <w:bCs/>
        </w:rPr>
        <w:t xml:space="preserve">Deutschland </w:t>
      </w:r>
      <w:r>
        <w:t xml:space="preserve">steht vor einem anderen Problem: Die Gewerkschaften wissen nicht, wer der Arbeitgeber der Beschäftigten ist, da Ketten von Subunternehmern die Verantwortung </w:t>
      </w:r>
      <w:r w:rsidR="00987363">
        <w:t xml:space="preserve">der Plattform </w:t>
      </w:r>
      <w:r>
        <w:t xml:space="preserve">verschleiern</w:t>
      </w:r>
      <w:r>
        <w:t xml:space="preserve">. Ohne eine klare Identifizierung des Arbeitgebers gibt es keinen Verhandlungspartner. </w:t>
      </w:r>
      <w:r>
        <w:t xml:space="preserve">Lieferando </w:t>
      </w:r>
      <w:r>
        <w:t xml:space="preserve">verfügt zwar über einen Betriebsrat</w:t>
      </w:r>
      <w:r w:rsidR="00987363">
        <w:t xml:space="preserve">, </w:t>
      </w:r>
      <w:r>
        <w:t xml:space="preserve">doch die Gewerkschaften (z. B. die NGG) bewerten </w:t>
      </w:r>
      <w:r w:rsidR="00987363">
        <w:t xml:space="preserve">die Verhältnisse </w:t>
      </w:r>
      <w:r>
        <w:t xml:space="preserve">als zu restriktiv: Die Plattform unterstützt sie zwar öffentlich, behindert sie in der Praxis jedoch und lehnt eine ernsthafte Zusammenarbeit ohne echte Organisation von unten nach oben ab.</w:t>
      </w:r>
    </w:p>
    <w:p w:rsidR="00247A59" w:rsidP="00750824" w:rsidRDefault="00247A59" w14:paraId="1F15970F" w14:textId="77777777">
      <w:pPr>
        <w:jc w:val="both"/>
      </w:pPr>
    </w:p>
    <w:p w:rsidR="00983F19" w:rsidP="00750824" w:rsidRDefault="00000000" w14:paraId="34BCCADC" w14:textId="77777777">
      <w:pPr>
        <w:jc w:val="both"/>
      </w:pPr>
      <w:r>
        <w:rPr>
          <w:b/>
          <w:bCs/>
        </w:rPr>
        <w:t xml:space="preserve">Slowenien </w:t>
      </w:r>
      <w:r>
        <w:t xml:space="preserve">sieht sich mit einer typischen Ambivalenz konfrontiert: Die Beschäftigten erkennen ihre Unterordnung gegenüber der Plattform an, erwarten jedoch, dass das Problem vom Ministerium und durch den Wettbewerb gelöst wird, nicht aber durch Tarifverhandlungen. Es mangelt an Bewusstsein für die Rolle der Gewerkschaften und des sozialen Dialogs. Der ZSSS schlägt in seinen Leitlinien vor, dass die Richtlinie nicht nur das Recht auf Tarifverhandlungen für </w:t>
      </w:r>
      <w:r>
        <w:t xml:space="preserve">Plattformbeschäftigte</w:t>
      </w:r>
      <w:r>
        <w:t xml:space="preserve"> festschreibt</w:t>
      </w:r>
      <w:r>
        <w:t xml:space="preserve">, sondern auch die strukturellen Voraussetzungen dafür </w:t>
      </w:r>
      <w:r>
        <w:t xml:space="preserve">schafft</w:t>
      </w:r>
      <w:r>
        <w:t xml:space="preserve">: ein jährliches Treffen aller Beschäftigten mit den Gewerkschaften, das von der Plattform selbst organisiert wird; das Recht der Gewerkschaften, Informationsmaterial über </w:t>
      </w:r>
      <w:r>
        <w:t xml:space="preserve">die Infrastruktur </w:t>
      </w:r>
      <w:r>
        <w:t xml:space="preserve">der Plattform</w:t>
      </w:r>
      <w:r>
        <w:t xml:space="preserve"> an alle Arbeitnehmer weiterzugeben</w:t>
      </w:r>
      <w:r>
        <w:t xml:space="preserve">; und einen digitalen Raum für die Organisation, dessen Verwaltung auf Wunsch der Arbeitnehmer auf deren Vertreter übertragen wird.</w:t>
      </w:r>
    </w:p>
    <w:p w:rsidR="00983F19" w:rsidP="00750824" w:rsidRDefault="00000000" w14:paraId="49BF2047" w14:textId="77777777">
      <w:pPr>
        <w:pStyle w:val="Naslov3"/>
        <w:jc w:val="both"/>
      </w:pPr>
      <w:bookmarkStart w:name="Xee032679bfb18a805a02c69cf6ec84a6b09f355" w:id="54"/>
      <w:bookmarkEnd w:id="53"/>
      <w:r>
        <w:t xml:space="preserve">Arbeitgeberverbände als potenzielle Verbündete</w:t>
      </w:r>
    </w:p>
    <w:p w:rsidR="00983F19" w:rsidP="00750824" w:rsidRDefault="00000000" w14:paraId="44463323" w14:textId="7A8D9547">
      <w:pPr>
        <w:jc w:val="both"/>
      </w:pPr>
      <w:r>
        <w:t xml:space="preserve">Eine der Erkenntnisse der Konferenz in Ljubljana war überraschend: </w:t>
      </w:r>
      <w:r>
        <w:rPr>
          <w:b/>
          <w:bCs/>
        </w:rPr>
        <w:t xml:space="preserve">Traditionelle Arbeitgeberverbände sind potenzielle Verbündete der Gewerkschaften </w:t>
      </w:r>
      <w:r>
        <w:t xml:space="preserve">bei der Regulierung </w:t>
      </w:r>
      <w:r>
        <w:t xml:space="preserve">der Plattformarbeit. Die Plattformen sind nicht Mitglieder der meisten branchenspezifischen Arbeitgeberverbände. Da sie ohne </w:t>
      </w:r>
      <w:r w:rsidR="00DB7748">
        <w:t xml:space="preserve">arbeitsrechtliche </w:t>
      </w:r>
      <w:r>
        <w:t xml:space="preserve">Verpflichtungen </w:t>
      </w:r>
      <w:r>
        <w:t xml:space="preserve">agieren</w:t>
      </w:r>
      <w:r>
        <w:t xml:space="preserve">, stellen sie einen unlauteren Wettbewerb für traditionelle Unternehmen dar, die </w:t>
      </w:r>
      <w:r w:rsidR="00DB7748">
        <w:t xml:space="preserve">ihre Arbeitnehmer </w:t>
      </w:r>
      <w:r>
        <w:t xml:space="preserve">beschäftigen, Sozialabgaben für sie zahlen </w:t>
      </w:r>
      <w:r w:rsidR="00DB7748">
        <w:t xml:space="preserve">und ihnen die übrigen aus dem Arbeitsverhältnis resultierenden Rechte gewährleisten</w:t>
      </w:r>
      <w:r>
        <w:t xml:space="preserve">. Dies schafft ein gemeinsames Interesse an gleichen Wettbewerbsbedingungen (</w:t>
      </w:r>
      <w:r w:rsidRPr="00016B3D">
        <w:t xml:space="preserve">„level </w:t>
      </w:r>
      <w:r w:rsidRPr="00016B3D">
        <w:t xml:space="preserve">playing </w:t>
      </w:r>
      <w:r w:rsidRPr="00016B3D" w:rsidR="00DB7748">
        <w:t xml:space="preserve">field“</w:t>
      </w:r>
      <w:r w:rsidRPr="00DB7748">
        <w:t xml:space="preserve">), </w:t>
      </w:r>
      <w:r>
        <w:t xml:space="preserve">was in der Richtlinie ausdrücklich als eines ihrer Ziele genannt wird.</w:t>
      </w:r>
    </w:p>
    <w:p w:rsidR="00983F19" w:rsidP="00750824" w:rsidRDefault="00000000" w14:paraId="54249C68" w14:textId="77777777">
      <w:pPr>
        <w:pStyle w:val="Naslov3"/>
        <w:jc w:val="both"/>
      </w:pPr>
      <w:bookmarkStart w:name="Xa2dd5d940cabac1ded9a12db2f3ecf2d9718612" w:id="55"/>
      <w:bookmarkEnd w:id="54"/>
      <w:r>
        <w:t xml:space="preserve">Tarifverträge über </w:t>
      </w:r>
      <w:r>
        <w:t xml:space="preserve">die </w:t>
      </w:r>
      <w:r>
        <w:t xml:space="preserve">Plattformarbeit</w:t>
      </w:r>
      <w:r>
        <w:t xml:space="preserve"> hinaus</w:t>
      </w:r>
    </w:p>
    <w:p w:rsidR="00983F19" w:rsidP="00750824" w:rsidRDefault="00000000" w14:paraId="1B9121B1" w14:textId="65BCC96A">
      <w:pPr>
        <w:jc w:val="both"/>
      </w:pPr>
      <w:r>
        <w:t xml:space="preserve">Mehrere Partnerländer haben eine Praxis bestätigt, die die Richtlinie nicht verbietet und die durch Artikel 28 indirekt unterstützt wird: die Ausweitung bestehender branchenspezifischer Tarifverträge auf Plattformarbeiter, die vergleichbare Tätigkeiten ausüben. In Italien versuchen die Gewerkschaften, </w:t>
      </w:r>
      <w:r>
        <w:t xml:space="preserve">den Tarifvertrag im Transportsektor auf Zusteller auszuweiten. In Österreich </w:t>
      </w:r>
      <w:r>
        <w:t xml:space="preserve">entstand</w:t>
      </w:r>
      <w:r w:rsidR="00DB7748">
        <w:t xml:space="preserve"> der Tarifvertrag</w:t>
      </w:r>
      <w:r>
        <w:t xml:space="preserve"> für Kuriere </w:t>
      </w:r>
      <w:r>
        <w:t xml:space="preserve">durch die Ausweitung des bestehenden Posttarifvertrags. Ein solcher Ansatz erfordert nicht den Aufbau einer Verhandlungsstruktur von Grund auf</w:t>
      </w:r>
      <w:r w:rsidR="00DB7748">
        <w:t xml:space="preserve">, sondern </w:t>
      </w:r>
      <w:r>
        <w:t xml:space="preserve">baut auf bestehenden und bewährten Rahmenbedingungen auf.</w:t>
      </w:r>
    </w:p>
    <w:p w:rsidR="00983F19" w:rsidP="00750824" w:rsidRDefault="00000000" w14:paraId="29C649F6" w14:textId="77777777">
      <w:pPr>
        <w:pStyle w:val="Naslov3"/>
        <w:jc w:val="both"/>
      </w:pPr>
      <w:bookmarkStart w:name="platforme-ki-blokirajo-socialni-dialog" w:id="56"/>
      <w:bookmarkEnd w:id="55"/>
      <w:r>
        <w:t xml:space="preserve">Plattformen, die den sozialen Dialog blockieren</w:t>
      </w:r>
    </w:p>
    <w:p w:rsidR="00983F19" w:rsidP="00750824" w:rsidRDefault="00000000" w14:paraId="371020DC" w14:textId="74869D2B">
      <w:pPr>
        <w:jc w:val="both"/>
      </w:pPr>
      <w:r>
        <w:t xml:space="preserve">Die Konferenz hat typische Taktiken der Plattformen zur Verhinderung von Organisierungsbemühungen identifiziert: „PR-Treffen“, zu denen einzelne Beschäftigte eingeladen werden (Polen </w:t>
      </w:r>
      <w:r w:rsidR="00DB7748">
        <w:t xml:space="preserve">und Slowenien</w:t>
      </w:r>
      <w:r>
        <w:t xml:space="preserve">), um die kollektive Organisierung zu destabilisieren; „gelbe Gewerkschaften“, die einen dritten Status zwischen Arbeitnehmer und Selbstständigem vorschlagen (Italien, Polen); die Sperrung des Zugangs </w:t>
      </w:r>
      <w:r w:rsidR="00DB7748">
        <w:t xml:space="preserve">zur </w:t>
      </w:r>
      <w:r>
        <w:t xml:space="preserve">Plattform für Arbeitnehmer, die sich organisieren oder streiken (Beispiel </w:t>
      </w:r>
      <w:r>
        <w:t xml:space="preserve">Wolt </w:t>
      </w:r>
      <w:r>
        <w:t xml:space="preserve">in Polen, das die Konten</w:t>
      </w:r>
      <w:r>
        <w:lastRenderedPageBreak/>
      </w:r>
      <w:r>
        <w:t xml:space="preserve"> der Protestierenden </w:t>
      </w:r>
      <w:r>
        <w:t xml:space="preserve">gesperrt hatte</w:t>
      </w:r>
      <w:r w:rsidR="00DB7748">
        <w:t xml:space="preserve">, </w:t>
      </w:r>
      <w:r>
        <w:t xml:space="preserve">diese Maßnahme jedoch nach Druck durch die Medien wieder rückgängig machte); sowie rechtliche Blockaden von Arbeitnehmerräten unter Berufung auf eine dezentrale Struktur (Österreich).</w:t>
      </w:r>
    </w:p>
    <w:p w:rsidR="00983F19" w:rsidP="00750824" w:rsidRDefault="00000000" w14:paraId="00C95E22" w14:textId="77777777">
      <w:pPr>
        <w:pStyle w:val="Naslov2"/>
        <w:jc w:val="both"/>
      </w:pPr>
      <w:bookmarkStart w:name="_Toc233699499" w:id="57"/>
      <w:bookmarkStart w:name="priporočila-3" w:id="58"/>
      <w:bookmarkEnd w:id="51"/>
      <w:bookmarkEnd w:id="56"/>
      <w:r>
        <w:t xml:space="preserve">6.3 Empfehlungen</w:t>
      </w:r>
      <w:bookmarkEnd w:id="57"/>
    </w:p>
    <w:p w:rsidR="00D90A18" w:rsidP="00750824" w:rsidRDefault="00000000" w14:paraId="482CF965" w14:textId="3DA33AB7">
      <w:pPr>
        <w:pStyle w:val="Naslov3"/>
        <w:jc w:val="both"/>
      </w:pPr>
      <w:r>
        <w:t xml:space="preserve">Empfehlung 6.1 [ÜBERTRIFFT DAS MINIMUM]: Aktive staatliche Anreize für Tarifverhandlungen für alle Arbeitnehmer unabhängig von ihrem Status</w:t>
      </w:r>
    </w:p>
    <w:p w:rsidR="00D90A18" w:rsidP="00750824" w:rsidRDefault="00000000" w14:paraId="006876A2" w14:textId="4D19F4F4">
      <w:pPr>
        <w:jc w:val="both"/>
      </w:pPr>
      <w:r>
        <w:t xml:space="preserve">Artikel 25 der Richtlinie verlangt „geeignete Maßnahmen“ zur Förderung von Tarifverhandlungen </w:t>
      </w:r>
      <w:r w:rsidR="00D7386B">
        <w:t xml:space="preserve">– </w:t>
      </w:r>
      <w:r>
        <w:t xml:space="preserve">ohne jedoch deren Inhalt zu spezifizieren. Die Mitgliedstaaten sollten bei der Umsetzung über eine rein deklarative Förderung hinausgehen und konkrete Mechanismen einrichten: finanzielle Unterstützung zur Stärkung der gewerkschaftlichen Kapazitäten in digitalen Sektoren, Sanktionen gegen Plattformen, die Tarifverhandlungen behindern oder verzögern, sowie Anreize (z. B. in Form eines Sozialzertifikats nach dem Vorbild der ersten Säule der Vorschläge der Sozialpartner SDDP) für Plattformen, die freiwillig und konstruktiv in Verhandlungen eintreten. </w:t>
      </w:r>
    </w:p>
    <w:p w:rsidR="00D90A18" w:rsidP="00750824" w:rsidRDefault="00D90A18" w14:paraId="429BC2C0" w14:textId="77777777">
      <w:pPr>
        <w:jc w:val="both"/>
      </w:pPr>
    </w:p>
    <w:p w:rsidR="00D90A18" w:rsidP="00750824" w:rsidRDefault="00000000" w14:paraId="6C8B056F" w14:textId="11F4239B">
      <w:pPr>
        <w:jc w:val="both"/>
      </w:pPr>
      <w:r>
        <w:t xml:space="preserve">Wir empfehlen insbesondere die Einrichtung eines nationalen Fonds für die gemeinsame Überprüfung von Algorithmen, in den die Plattformen einen Anteil ihrer Einnahmen (0,</w:t>
      </w:r>
      <w:r>
        <w:t xml:space="preserve">5–1 %) </w:t>
      </w:r>
      <w:r>
        <w:t xml:space="preserve">einzahlen</w:t>
      </w:r>
      <w:r>
        <w:t xml:space="preserve">, nach dem Vorbild </w:t>
      </w:r>
      <w:r w:rsidR="001627FA">
        <w:t xml:space="preserve">der</w:t>
      </w:r>
      <w:r>
        <w:t xml:space="preserve"> österreichischen </w:t>
      </w:r>
      <w:r w:rsidR="001627FA">
        <w:t xml:space="preserve">„Arbeiterkammer“ </w:t>
      </w:r>
      <w:r>
        <w:t xml:space="preserve">(0,5 % der Löhne) und des französischen Berufsbildungssystems. Der Fonds finanziert gemeinsame dreigliedrige Überprüfungen der AM-Systeme: Sowohl die Gewerkschaften als auch die Plattform schlagen unabhängige Experten vor, ein neutraler Schlichter klärt Meinungsverschiedenheiten. Der Zweck des Fonds besteht darin, Informationsasymmetrien zu beseitigen </w:t>
      </w:r>
      <w:r w:rsidR="001627FA">
        <w:t xml:space="preserve">und </w:t>
      </w:r>
      <w:r>
        <w:t xml:space="preserve">nicht darin, eine Partei in einem Arbeitskonflikt auf Kosten der anderen zu finanzieren. Der Fonds wird von einem dreigliedrigen Ausschuss (Regierung, Gewerkschaften, Plattform) unter der Aufsicht der ELA verwaltet.</w:t>
      </w:r>
    </w:p>
    <w:p w:rsidR="00D90A18" w:rsidP="00750824" w:rsidRDefault="00000000" w14:paraId="4C103689" w14:textId="3273A31F">
      <w:pPr>
        <w:pStyle w:val="Naslov3"/>
        <w:jc w:val="both"/>
      </w:pPr>
      <w:r>
        <w:t xml:space="preserve">Empfehlung 6.2 [RICHTLINIE]: Kommunikationsinfrastruktur als strukturelle Voraussetzung für die Organisation</w:t>
      </w:r>
    </w:p>
    <w:p w:rsidR="00D90A18" w:rsidP="00750824" w:rsidRDefault="00000000" w14:paraId="25091304" w14:textId="7EB11E9A">
      <w:pPr>
        <w:jc w:val="both"/>
      </w:pPr>
      <w:r>
        <w:t xml:space="preserve">Artikel 20 der Richtlinie verlangt sichere und vertrauliche Kommunikationskanäle, die von der Plattform selbst unabhängig sind. Die Expertengruppe der Europäischen Kommission hat klargestellt, dass Gruppenchats in den Apps der Plattformen nicht ausreichen. </w:t>
      </w:r>
      <w:r w:rsidR="001627FA">
        <w:t xml:space="preserve">Wir schlagen </w:t>
      </w:r>
      <w:r>
        <w:t xml:space="preserve">zwei sich ergänzende Lösungen vor: die Verpflichtung der Plattformen, einen separaten digitalen Raum für die Kommunikation der Beschäftigten untereinander einzurichten, dessen Verwaltung auf Antrag an die Arbeitnehmervertreter übertragen wird, sowie die Verpflichtung der Plattformen, auf Antrag der Gewerkschaft </w:t>
      </w:r>
      <w:r w:rsidR="001627FA">
        <w:t xml:space="preserve">gewerkschaftliches </w:t>
      </w:r>
      <w:r>
        <w:t xml:space="preserve">Informationsmaterial über </w:t>
      </w:r>
      <w:r>
        <w:t xml:space="preserve">die Infrastruktur </w:t>
      </w:r>
      <w:r w:rsidR="001627FA">
        <w:t xml:space="preserve">der Plattform </w:t>
      </w:r>
      <w:r>
        <w:t xml:space="preserve">an </w:t>
      </w:r>
      <w:r>
        <w:t xml:space="preserve">alle Beschäftigten </w:t>
      </w:r>
      <w:r>
        <w:t xml:space="preserve">weiterzuleiten</w:t>
      </w:r>
      <w:r>
        <w:t xml:space="preserve">. Darüber hinaus sollten die Plattformen ein jährliches Treffen aller Arbeitnehmer organisieren, an dem </w:t>
      </w:r>
      <w:r>
        <w:t xml:space="preserve">auch Vertreter der Gewerkschaften </w:t>
      </w:r>
      <w:r w:rsidR="001627FA">
        <w:t xml:space="preserve">teilnehmen</w:t>
      </w:r>
      <w:r>
        <w:t xml:space="preserve">. All diese Verpflichtungen sollten ausdrücklich </w:t>
      </w:r>
      <w:r w:rsidR="001627FA">
        <w:t xml:space="preserve">Teil </w:t>
      </w:r>
      <w:r>
        <w:t xml:space="preserve">der </w:t>
      </w:r>
      <w:r w:rsidR="001627FA">
        <w:t xml:space="preserve">Umsetzungsmaßnahmen </w:t>
      </w:r>
      <w:r>
        <w:t xml:space="preserve">sein </w:t>
      </w:r>
      <w:r>
        <w:t xml:space="preserve">und nicht nur impliziert werden.</w:t>
      </w:r>
    </w:p>
    <w:p w:rsidR="00D90A18" w:rsidP="00750824" w:rsidRDefault="00000000" w14:paraId="682B53D9" w14:textId="171C4444">
      <w:pPr>
        <w:pStyle w:val="Naslov3"/>
        <w:jc w:val="both"/>
      </w:pPr>
      <w:r>
        <w:t xml:space="preserve">Empfehlung 6.3 [RICHTLINIE]: Der tarifvertragliche Weg zur Umsetzung der Richtlinie</w:t>
      </w:r>
    </w:p>
    <w:p w:rsidR="00D90A18" w:rsidP="00750824" w:rsidRDefault="00000000" w14:paraId="613C8C0A" w14:textId="2C1EEB0F">
      <w:pPr>
        <w:jc w:val="both"/>
      </w:pPr>
      <w:r>
        <w:t xml:space="preserve">Artikel 29 Absatz 4 der Richtlinie ermöglicht es den Sozialpartnern, auf gemeinsamen Antrag die Umsetzung der Richtlinie (oder von Teilen davon) zu übernehmen, sofern der Staat die Erreichung ihrer Ziele gewährleistet. Dort, wo Gewerkschaften und Arbeitgeber dazu bereit und in der Lage sind, sollten die Regierungen diesen Weg aktiv als schnellere, besser angepasste und legitimere Alternative zum klassischen Gesetzgebungsverfahren fördern. Insbesondere in Ländern </w:t>
      </w:r>
      <w:r w:rsidR="001627FA">
        <w:t xml:space="preserve">mit </w:t>
      </w:r>
      <w:r>
        <w:t xml:space="preserve">einem langsamen oder politisch unsicheren Gesetzgebungsprozess (z. B. Slowenien, Italien) ist dieser Mechanismus von großem Wert. Voraussetzung ist, dass die Regierung eine aktive Vermittlerrolle übernimmt und die Überwachung sowie die Gewährleistung der vollständigen Erfüllung der Ziele der Richtlinie sicherstellt.</w:t>
      </w:r>
    </w:p>
    <w:p w:rsidR="00D90A18" w:rsidP="00750824" w:rsidRDefault="00000000" w14:paraId="6AD53E29" w14:textId="19459B81">
      <w:pPr>
        <w:pStyle w:val="Naslov3"/>
        <w:jc w:val="both"/>
      </w:pPr>
      <w:r>
        <w:lastRenderedPageBreak/>
      </w:r>
      <w:r>
        <w:t xml:space="preserve">Empfehlung 6.4 [ÜBERTRIFFT DAS MINIMUM]: Ausweitung bestehender sektoraler Tarifverträge auf vergleichbare </w:t>
      </w:r>
      <w:r>
        <w:t xml:space="preserve">Plattformarbeiter</w:t>
      </w:r>
    </w:p>
    <w:p w:rsidR="00D90A18" w:rsidP="00750824" w:rsidRDefault="00000000" w14:paraId="11BEA5A1" w14:textId="1002763B">
      <w:pPr>
        <w:jc w:val="both"/>
      </w:pPr>
      <w:r>
        <w:t xml:space="preserve">Tarifverträge in verwandten Branchen </w:t>
      </w:r>
      <w:r w:rsidR="00D7386B">
        <w:t xml:space="preserve">– </w:t>
      </w:r>
      <w:r>
        <w:t xml:space="preserve">Transport, Logistik, Postdienste </w:t>
      </w:r>
      <w:r w:rsidR="00D7386B">
        <w:t xml:space="preserve">– </w:t>
      </w:r>
      <w:r>
        <w:t xml:space="preserve">decken häufig Tätigkeiten ab, die inhaltlich mit </w:t>
      </w:r>
      <w:r>
        <w:t xml:space="preserve">der Arbeit auf Plattformen</w:t>
      </w:r>
      <w:r>
        <w:t xml:space="preserve"> vergleichbar sind</w:t>
      </w:r>
      <w:r>
        <w:t xml:space="preserve">. Die Richtlinie und Artikel 28 lassen eine Ausweitung dieser Verträge auf Plattformarbeiter zu. Die Regierungen sollten Vermittlungsmechanismen und finanzielle Anreize für solche Ausweitungen schaffen. Dieser Ansatz ist schneller und politisch weniger aufwendig als die Schaffung völlig neuer Tarifvertragsstrukturen </w:t>
      </w:r>
      <w:r w:rsidR="00D7386B">
        <w:t xml:space="preserve">– </w:t>
      </w:r>
      <w:r>
        <w:t xml:space="preserve">und geht direkt auf das Problem des unlauteren Wettbewerbs ein, das von traditionellen Branchenverbänden wahrgenommen wird. </w:t>
      </w:r>
      <w:r>
        <w:t xml:space="preserve">Als</w:t>
      </w:r>
      <w:r>
        <w:t xml:space="preserve"> Referenzmodell für </w:t>
      </w:r>
      <w:r>
        <w:t xml:space="preserve">einen plattformspezifischen Tarifvertrag dient die Erfahrung </w:t>
      </w:r>
      <w:r>
        <w:t xml:space="preserve">von JustEat </w:t>
      </w:r>
      <w:r>
        <w:t xml:space="preserve">España </w:t>
      </w:r>
      <w:r w:rsidR="00D7386B">
        <w:t xml:space="preserve">– </w:t>
      </w:r>
      <w:r>
        <w:t xml:space="preserve">der einzige Tarifvertrag in der Branche, der neben den Löhnen auch einen gemeinsamen Ausschuss zur Überwachung von Algorithmen vorsieht. Die Sozialpartner </w:t>
      </w:r>
      <w:r w:rsidR="00191599">
        <w:t xml:space="preserve">sollten </w:t>
      </w:r>
      <w:r>
        <w:t xml:space="preserve">sich </w:t>
      </w:r>
      <w:r>
        <w:t xml:space="preserve">bemühen, </w:t>
      </w:r>
      <w:r>
        <w:t xml:space="preserve">innerhalb von zwei Jahren nach Inkrafttreten des Umsetzungsgesetzes plattformspezifische Tarifverträge </w:t>
      </w:r>
      <w:r>
        <w:t xml:space="preserve">abzuschließen</w:t>
      </w:r>
      <w:r>
        <w:t xml:space="preserve">.</w:t>
      </w:r>
    </w:p>
    <w:p w:rsidR="00D90A18" w:rsidP="00750824" w:rsidRDefault="00000000" w14:paraId="59E4D958" w14:textId="791CE12D">
      <w:pPr>
        <w:pStyle w:val="Naslov3"/>
        <w:jc w:val="both"/>
      </w:pPr>
      <w:r>
        <w:t xml:space="preserve">Empfehlung 6.5 [ÜBERTRIFFT DAS MINIMUM]: Sozialer Dialog als Brücke zwischen der Verabschiedung der Richtlinie und ihrer tatsächlichen Umsetzung </w:t>
      </w:r>
      <w:r w:rsidR="00D7386B">
        <w:t xml:space="preserve">– </w:t>
      </w:r>
      <w:r>
        <w:t xml:space="preserve">vorübergehender kollektiver Schutz während der Anfechtung der Rechtsvermutung </w:t>
      </w:r>
      <w:r w:rsidR="00615F18">
        <w:t xml:space="preserve">eines Arbeitsverhältnisses</w:t>
      </w:r>
    </w:p>
    <w:p w:rsidR="005D1CAF" w:rsidP="00750824" w:rsidRDefault="00000000" w14:paraId="4BA1000A" w14:textId="7642267F">
      <w:pPr>
        <w:jc w:val="both"/>
      </w:pPr>
      <w:r>
        <w:t xml:space="preserve">Nach den Erfahrungen aller Partnerländer wird die Umsetzung der Richtlinie langwierige gerichtliche und verwaltungsrechtliche Anfechtungen seitens der Plattformen auslösen. In diesem Zeitraum</w:t>
      </w:r>
      <w:r w:rsidR="005D1CAF">
        <w:t xml:space="preserve">, </w:t>
      </w:r>
      <w:r>
        <w:t xml:space="preserve">der in einigen Ländern Jahre dauern wird</w:t>
      </w:r>
      <w:r w:rsidR="005D1CAF">
        <w:t xml:space="preserve">, </w:t>
      </w:r>
      <w:r w:rsidR="005D1CAF">
        <w:t xml:space="preserve">bleiben</w:t>
      </w:r>
      <w:r>
        <w:t xml:space="preserve"> die Arbeitnehmer </w:t>
      </w:r>
      <w:r>
        <w:t xml:space="preserve">ungeschützt. Wir schlagen vor, dass die Mitgliedstaaten bei der Umsetzung der Richtlinie einen Mechanismus für vorübergehenden kollektiven Schutz einrichten: Sobald die zuständige Aufsichtsbehörde durch einen Bescheid feststellt, dass die Plattform ein Arbeitgeber ist, muss zwingend ein dreigliedriger Dialog zwischen den Gewerkschaften, der Plattform und </w:t>
      </w:r>
      <w:r w:rsidR="005D1CAF">
        <w:t xml:space="preserve">dem zuständigen Ministerium </w:t>
      </w:r>
      <w:r>
        <w:t xml:space="preserve">aufgenommen werden</w:t>
      </w:r>
      <w:r>
        <w:t xml:space="preserve">. Die Sozialpartner schließen in diesem Rahmen eine vorübergehende Tarifvereinbarung für alle Arbeitnehmer der betreffenden Plattform ab, die die wesentlichen Rechte (Mindestlohn, Arbeitszeit, Urlaub, Sicherheit und Gesundheitsschutz, Sozialversicherungsbeiträge) regelt und bis zu einer rechtskräftigen Entscheidung über den Status gilt. Die Plattform muss spätestens innerhalb von 15 Tagen </w:t>
      </w:r>
      <w:r>
        <w:t xml:space="preserve">oder innerhalb einer kürzeren Frist, die die nationale Rechtsordnung zulässt</w:t>
      </w:r>
      <w:r w:rsidR="005D1CAF">
        <w:t xml:space="preserve">, </w:t>
      </w:r>
      <w:r>
        <w:t xml:space="preserve">in die Verhandlungen eintreten</w:t>
      </w:r>
      <w:r>
        <w:t xml:space="preserve">. Eine Weigerung oder Verzögerung stellt in einem möglichen Gerichtsverfahren über den Beschäftigungsstatus einen erschwerenden Umstand </w:t>
      </w:r>
      <w:r w:rsidR="005D1CAF">
        <w:t xml:space="preserve">dar </w:t>
      </w:r>
      <w:r>
        <w:t xml:space="preserve">und löst schrittweise ansteigende tägliche Geldbußen aus. Ein Tätigkeitsverbot wird nur als </w:t>
      </w:r>
      <w:r w:rsidRPr="00016B3D">
        <w:rPr>
          <w:i/>
          <w:iCs/>
        </w:rPr>
        <w:t xml:space="preserve">letztes </w:t>
      </w:r>
      <w:r w:rsidRPr="00016B3D">
        <w:rPr>
          <w:i/>
          <w:iCs/>
        </w:rPr>
        <w:t xml:space="preserve">Mittel </w:t>
      </w:r>
      <w:r>
        <w:t xml:space="preserve">verhängt, </w:t>
      </w:r>
      <w:r>
        <w:t xml:space="preserve">nachdem ein anhaltendes ablehnendes Verhalten gerichtlich bestätigt wurde. Die Vergütungen für die geleistete Arbeit und die gezahlten Beiträge verbleiben bei den Arbeitnehmern; stellt das Gericht rechtskräftig fest</w:t>
      </w:r>
      <w:r>
        <w:t xml:space="preserve">,</w:t>
      </w:r>
      <w:r>
        <w:t xml:space="preserve"> dass </w:t>
      </w:r>
      <w:r w:rsidR="00615F18">
        <w:t xml:space="preserve">es sich bei</w:t>
      </w:r>
      <w:r>
        <w:t xml:space="preserve"> dem Verhältnis nicht </w:t>
      </w:r>
      <w:r w:rsidR="00615F18">
        <w:t xml:space="preserve">um ein Arbeitsverhältnis handelte</w:t>
      </w:r>
      <w:r>
        <w:t xml:space="preserve">, erwirbt die Plattform das Recht auf </w:t>
      </w:r>
      <w:r w:rsidR="005D1CAF">
        <w:t xml:space="preserve">eine</w:t>
      </w:r>
      <w:r>
        <w:t xml:space="preserve"> begrenzte </w:t>
      </w:r>
      <w:r w:rsidR="005D1CAF">
        <w:t xml:space="preserve">Rückerstattung nur </w:t>
      </w:r>
      <w:r>
        <w:t xml:space="preserve">des Teils der Zahlungen, der die Vergütung übersteigt, die für Selbstständige im selben Zeitraum zustehen </w:t>
      </w:r>
      <w:r w:rsidR="00D7386B">
        <w:t xml:space="preserve">– </w:t>
      </w:r>
      <w:r>
        <w:t xml:space="preserve">ohne Zinsen und innerhalb einer angemessenen, vom Gesetzgeber festgelegten Frist (Vorschlag: bis zu 24 Monate), wobei Vergütungen für geleistete Arbeit, Beiträge und Aufwandsentschädigungen nicht zurückgezahlt werden. </w:t>
      </w:r>
    </w:p>
    <w:p w:rsidR="005D1CAF" w:rsidP="00750824" w:rsidRDefault="005D1CAF" w14:paraId="0EAF7B61" w14:textId="77777777">
      <w:pPr>
        <w:jc w:val="both"/>
      </w:pPr>
    </w:p>
    <w:p w:rsidR="00D90A18" w:rsidP="00750824" w:rsidRDefault="00000000" w14:paraId="3B72E63A" w14:textId="019D19BF">
      <w:pPr>
        <w:jc w:val="both"/>
      </w:pPr>
      <w:r>
        <w:t xml:space="preserve">Der Staat übernimmt das Risiko einer falschen Feststellung des Beschäftigungsstatus: Sollte sich </w:t>
      </w:r>
      <w:r>
        <w:t xml:space="preserve">die Entscheidung</w:t>
      </w:r>
      <w:r w:rsidR="005D1CAF">
        <w:t xml:space="preserve"> der Aufsichtsbehörde </w:t>
      </w:r>
      <w:r>
        <w:t xml:space="preserve">als falsch erweisen, trägt der Staat die Last der Rückzahlung der Auszahlungen, nicht der Arbeitnehmer und nicht die Plattform. Damit bürgt der Staat für die Zuverlässigkeit </w:t>
      </w:r>
      <w:r>
        <w:t xml:space="preserve">der Entscheidung</w:t>
      </w:r>
      <w:r w:rsidR="005D1CAF">
        <w:t xml:space="preserve"> der Aufsichtsbehörde </w:t>
      </w:r>
      <w:r>
        <w:t xml:space="preserve">und schafft gleichzeitig einen wirtschaftlichen Anreiz für qualitativ hochwertige Arbeit der Aufsichtsbehörde </w:t>
      </w:r>
      <w:r w:rsidR="00D7386B">
        <w:t xml:space="preserve">– </w:t>
      </w:r>
      <w:r>
        <w:t xml:space="preserve">wenn der Staat zahlen muss, wenn sich die Aufsichtsbehörde irrt, wird er in Personal, Schulungen und algorithmische Fachkompetenz investieren, </w:t>
      </w:r>
      <w:r w:rsidR="005D1CAF">
        <w:t xml:space="preserve">um Fehler zu vermeiden</w:t>
      </w:r>
      <w:r>
        <w:t xml:space="preserve">.</w:t>
      </w:r>
    </w:p>
    <w:p w:rsidR="00D90A18" w:rsidP="00750824" w:rsidRDefault="00000000" w14:paraId="41F71011" w14:textId="5DB7C7EE">
      <w:pPr>
        <w:pStyle w:val="Naslov3"/>
        <w:jc w:val="both"/>
      </w:pPr>
      <w:r>
        <w:t xml:space="preserve">Empfehlung 6.6 [RICHTLINIE]: Kollektive Durchsetzung von Rechten und Sammelklagen</w:t>
      </w:r>
    </w:p>
    <w:p w:rsidR="00983F19" w:rsidP="00750824" w:rsidRDefault="00000000" w14:paraId="3E304394" w14:textId="5EE2445E">
      <w:pPr>
        <w:jc w:val="both"/>
      </w:pPr>
      <w:r>
        <w:lastRenderedPageBreak/>
      </w:r>
      <w:r>
        <w:t xml:space="preserve">Siehe dazu vollständig Empfehlung 3.5. Kapitel V </w:t>
      </w:r>
      <w:r w:rsidR="005D1CAF">
        <w:t xml:space="preserve">der Richtlinie </w:t>
      </w:r>
      <w:r>
        <w:t xml:space="preserve">bekräftigt </w:t>
      </w:r>
      <w:r w:rsidR="005D1CAF">
        <w:t xml:space="preserve">diese </w:t>
      </w:r>
      <w:r>
        <w:t xml:space="preserve">Forderung: Die Mitgliedstaaten sollten bei der Umsetzung ausdrücklich Verfahrensregeln für die kollektive Durchsetzung von Rechten durch Gewerkschaften festlegen, da in mehreren Ländern </w:t>
      </w:r>
      <w:r w:rsidR="00D7386B">
        <w:t xml:space="preserve">– </w:t>
      </w:r>
      <w:r>
        <w:t xml:space="preserve">darunter Deutschland und Slowenien </w:t>
      </w:r>
      <w:r w:rsidR="00D7386B">
        <w:t xml:space="preserve">– </w:t>
      </w:r>
      <w:r>
        <w:t xml:space="preserve">das Recht auf Sammelklagen in arbeitsrechtlichen Angelegenheiten gesetzlich gar nicht vorgesehen ist. Dies ist der einzige realistische Weg zu systemischen Veränderungen in einem Sektor, in dem Arbeitnehmer aus Angst vor dem Verlust des Zugangs zur Plattform keine individuellen Verfahren einleiten werden.</w:t>
      </w:r>
    </w:p>
    <w:p w:rsidR="00D90A18" w:rsidP="00750824" w:rsidRDefault="00D90A18" w14:paraId="5C9D51B7" w14:textId="77777777">
      <w:pPr>
        <w:jc w:val="both"/>
      </w:pPr>
    </w:p>
    <w:p w:rsidR="00983F19" w:rsidP="00750824" w:rsidRDefault="00000000" w14:paraId="1A54C83A" w14:textId="08861689">
      <w:pPr>
        <w:jc w:val="both"/>
      </w:pPr>
      <w:r>
        <w:rPr>
          <w:i/>
          <w:iCs/>
        </w:rPr>
        <w:t xml:space="preserve">Quellen: Bericht der Expertengruppe zur Umsetzung der Richtlinie (EU) 2024/2831 (Januar 2026); Protokoll der Zwischenkonferenz der SDDP, Ljubljana, Mai 2025; Leitlinien des ZSSS zur Umsetzung der Richtlinie (EU) 2024/2831 (April 2025); Gemeinsamer Rahmen der Sozialpartner zur Umsetzung der Richtlinie </w:t>
      </w:r>
      <w:r w:rsidR="00D7386B">
        <w:rPr>
          <w:i/>
          <w:iCs/>
        </w:rPr>
        <w:t xml:space="preserve">– </w:t>
      </w:r>
      <w:r>
        <w:rPr>
          <w:i/>
          <w:iCs/>
        </w:rPr>
        <w:t xml:space="preserve">Vorschlag der SDDP (2026).</w:t>
      </w:r>
    </w:p>
    <w:p w:rsidR="00D90A18" w:rsidP="00750824" w:rsidRDefault="00000000" w14:paraId="41921E61" w14:textId="6E7DDB49">
      <w:pPr>
        <w:pStyle w:val="Naslov3"/>
        <w:jc w:val="both"/>
      </w:pPr>
      <w:r>
        <w:t xml:space="preserve">Empfehlung 6.7 [AMBITIONIERT]: ESG-/Finanzdruck als paralleler Mechanismus zur Förderung der Konformität von Plattformen</w:t>
      </w:r>
    </w:p>
    <w:p w:rsidR="00D90A18" w:rsidP="00750824" w:rsidRDefault="00000000" w14:paraId="1DA449C1" w14:textId="2BFCEEB4">
      <w:pPr>
        <w:jc w:val="both"/>
      </w:pPr>
      <w:r>
        <w:t xml:space="preserve">Die Ministerien sollten </w:t>
      </w:r>
      <w:r w:rsidR="005D1CAF">
        <w:t xml:space="preserve">sich </w:t>
      </w:r>
      <w:r>
        <w:t xml:space="preserve">mit den Kapitalmarktaufsichtsbehörden (ESMA) und den für </w:t>
      </w:r>
      <w:r>
        <w:t xml:space="preserve">die Nachhaltigkeitsberichterstattung zuständigen</w:t>
      </w:r>
      <w:r>
        <w:t xml:space="preserve"> Stellen abstimmen</w:t>
      </w:r>
      <w:r>
        <w:t xml:space="preserve">,</w:t>
      </w:r>
      <w:r>
        <w:t xml:space="preserve"> um </w:t>
      </w:r>
      <w:r w:rsidR="005D1CAF">
        <w:t xml:space="preserve">sicherzustellen</w:t>
      </w:r>
      <w:r>
        <w:t xml:space="preserve">, dass das Fehlen eines Sozialzertifikats für börsennotierte Plattformen eine messbare negative soziale Offenlegung darstellt. Plattformen, die gemäß den CSRD-Standards berichten müssen (ESRS S1 für Beschäftigte, ESRS S2 für Arbeitnehmer in der Wertschöpfungskette), müssen den arbeitsrechtlichen Status und die Arbeitsbedingungen </w:t>
      </w:r>
      <w:r>
        <w:t xml:space="preserve">der Plattformarbeiter</w:t>
      </w:r>
      <w:r>
        <w:t xml:space="preserve"> offenlegen </w:t>
      </w:r>
      <w:r w:rsidR="00D7386B">
        <w:t xml:space="preserve">– </w:t>
      </w:r>
      <w:r>
        <w:t xml:space="preserve">das Fehlen eines Sozialzertifikats ist ein dokumentierter negativer sozialer Indikator. Gemäß der SFDR-Verordnung (2019/2088/EU) müssen Fonds mit ESG-Mandat (staatliche Pensionsfonds, Versicherungsgesellschaften) die Nichteinhaltung der Richtlinie zur </w:t>
      </w:r>
      <w:r>
        <w:t xml:space="preserve">Plattformarbeit als </w:t>
      </w:r>
      <w:r>
        <w:t xml:space="preserve">„Principal </w:t>
      </w:r>
      <w:r>
        <w:t xml:space="preserve">Adverse </w:t>
      </w:r>
      <w:r w:rsidR="00016B3D">
        <w:t xml:space="preserve">Impact“ </w:t>
      </w:r>
      <w:r>
        <w:t xml:space="preserve">offenlegen</w:t>
      </w:r>
      <w:r w:rsidR="005D1CAF">
        <w:t xml:space="preserve">, </w:t>
      </w:r>
      <w:r>
        <w:t xml:space="preserve">was die Kapitalkosten der Plattform erhöht und den Zugang zu institutionellen Anlegern einschränkt. Die Ministerien sollten sicherstellen, dass die zuständigen Behörden die ESG-Agenturen (MSCI ESG, </w:t>
      </w:r>
      <w:r>
        <w:t xml:space="preserve">Sustainalytics</w:t>
      </w:r>
      <w:r>
        <w:t xml:space="preserve">, ISS) </w:t>
      </w:r>
      <w:r>
        <w:t xml:space="preserve">systematisch </w:t>
      </w:r>
      <w:r>
        <w:t xml:space="preserve">über festgestellte Verstöße gegen die Richtlinie </w:t>
      </w:r>
      <w:r>
        <w:t xml:space="preserve">informieren</w:t>
      </w:r>
      <w:r>
        <w:t xml:space="preserve">, da eine herabgestufte ESG-Bewertung für globale Plattformen (z. B. </w:t>
      </w:r>
      <w:r>
        <w:t xml:space="preserve">Delivery </w:t>
      </w:r>
      <w:r>
        <w:t xml:space="preserve">Hero/DAX, </w:t>
      </w:r>
      <w:r>
        <w:t xml:space="preserve">Uber/NYSE) eine direkte finanzielle Konsequenz nach sich zieht, die für solche Unternehmen </w:t>
      </w:r>
      <w:r w:rsidR="005D1CAF">
        <w:t xml:space="preserve">schmerzhafter</w:t>
      </w:r>
      <w:r>
        <w:t xml:space="preserve"> ist </w:t>
      </w:r>
      <w:r>
        <w:t xml:space="preserve">als nationale Bußgelder.</w:t>
      </w:r>
    </w:p>
    <w:p w:rsidR="005D1CAF" w:rsidP="00750824" w:rsidRDefault="005D1CAF" w14:paraId="3ACF0DE9" w14:textId="77777777">
      <w:pPr>
        <w:jc w:val="both"/>
      </w:pPr>
    </w:p>
    <w:p w:rsidR="00D90A18" w:rsidP="00750824" w:rsidRDefault="00000000" w14:paraId="42AE34C6" w14:textId="13C5A036">
      <w:pPr>
        <w:pStyle w:val="Blokbesedila"/>
      </w:pPr>
      <w:r>
        <w:t xml:space="preserve">Hintergrund: Die erste Säule des SDDP-Protokolls führt ein Sozialzertifikat als öffentliche Konformitätsbescheinigung ein, das über eine mehrstufige Kausalkette Auswirkungen auf die Finanzmärkte hat: (1) Die Nichteinhaltung wird dokumentiert (Arbeitsaufsichtsbehörde oder Gerichtsurteil) </w:t>
      </w:r>
      <w:r w:rsidR="00D7386B">
        <w:t xml:space="preserve">– </w:t>
      </w:r>
      <w:r>
        <w:t xml:space="preserve">(2) die Plattform legt dies gemäß CSRD (Richtlinie 2022/2464/EU) in den ESRS-Standards S1/S2 offen </w:t>
      </w:r>
      <w:r w:rsidR="00D7386B">
        <w:t xml:space="preserve">– </w:t>
      </w:r>
      <w:r>
        <w:t xml:space="preserve">(3) ESG-Agenturen (MSCI ESG, </w:t>
      </w:r>
      <w:r>
        <w:t xml:space="preserve">Sustainalytics</w:t>
      </w:r>
      <w:r>
        <w:t xml:space="preserve">, ISS) senken das Rating </w:t>
      </w:r>
      <w:r w:rsidR="00D7386B">
        <w:t xml:space="preserve">– </w:t>
      </w:r>
      <w:r>
        <w:t xml:space="preserve">(4) institutionelle Anleger </w:t>
      </w:r>
      <w:r>
        <w:t xml:space="preserve">legen</w:t>
      </w:r>
      <w:r>
        <w:t xml:space="preserve"> dies </w:t>
      </w:r>
      <w:r>
        <w:t xml:space="preserve">durch die Meldung eines „principal </w:t>
      </w:r>
      <w:r>
        <w:t xml:space="preserve">adverse </w:t>
      </w:r>
      <w:r>
        <w:t xml:space="preserve">impact“ gemäß der SFDR-Verordnung (2019/2088/EU) öffentlich </w:t>
      </w:r>
      <w:r>
        <w:t xml:space="preserve">offen </w:t>
      </w:r>
      <w:r w:rsidR="00D7386B">
        <w:t xml:space="preserve">– </w:t>
      </w:r>
      <w:r>
        <w:t xml:space="preserve">(5) die Finanzierungskosten steigen. Die Verzögerung beträgt 1–2 Jahre, doch die Auswirkungen sind dauerhaft. </w:t>
      </w:r>
      <w:r>
        <w:t xml:space="preserve">Delivery </w:t>
      </w:r>
      <w:r>
        <w:t xml:space="preserve">Hero </w:t>
      </w:r>
      <w:r>
        <w:t xml:space="preserve">ist am DAX notiert, </w:t>
      </w:r>
      <w:r>
        <w:t xml:space="preserve">Uber </w:t>
      </w:r>
      <w:r>
        <w:t xml:space="preserve">an der NYSE </w:t>
      </w:r>
      <w:r w:rsidR="00D7386B">
        <w:t xml:space="preserve">– </w:t>
      </w:r>
      <w:r>
        <w:t xml:space="preserve">ein herabgestuftes ESG-Rating führt zu einer höheren Risikoprämie und einem niedrigeren Marktwert. Dieser finanzielle Druck ist für eine globale Plattform wesentlich schmerzhafter als der Verlust eines einzelnen öffentlichen Auftrags.</w:t>
      </w:r>
    </w:p>
    <w:p w:rsidR="00750824" w:rsidRDefault="00750824" w14:paraId="101D57FD" w14:textId="77777777">
      <w:pPr>
        <w:rPr>
          <w:b/>
          <w:bCs/>
          <w:color w:val="1F3864"/>
          <w:sz w:val="36"/>
          <w:szCs w:val="36"/>
        </w:rPr>
      </w:pPr>
      <w:bookmarkStart w:name="X2e90f431d41461f94a17746c4d41698b0106f03" w:id="59"/>
      <w:bookmarkEnd w:id="46"/>
      <w:bookmarkEnd w:id="58"/>
      <w:r>
        <w:br w:type="page"/>
      </w:r>
    </w:p>
    <w:p w:rsidR="00983F19" w:rsidP="00750824" w:rsidRDefault="00000000" w14:paraId="302B6A98" w14:textId="6D5279F3">
      <w:pPr>
        <w:pStyle w:val="Naslov1"/>
        <w:jc w:val="both"/>
      </w:pPr>
      <w:bookmarkStart w:name="_Toc233699500" w:id="60"/>
      <w:r>
        <w:lastRenderedPageBreak/>
      </w:r>
      <w:r>
        <w:t xml:space="preserve">Kapitel 7: Durchsetzung und Rechtsmittel</w:t>
      </w:r>
      <w:bookmarkEnd w:id="60"/>
    </w:p>
    <w:p w:rsidR="00983F19" w:rsidP="00750824" w:rsidRDefault="00000000" w14:paraId="0CA51AD2" w14:textId="31318C20">
      <w:pPr>
        <w:jc w:val="both"/>
      </w:pPr>
      <w:r>
        <w:t xml:space="preserve">Die durch die Richtlinie garantierten Rechte sind </w:t>
      </w:r>
      <w:r w:rsidR="009C0D64">
        <w:t xml:space="preserve">nur </w:t>
      </w:r>
      <w:r>
        <w:t xml:space="preserve">so viel </w:t>
      </w:r>
      <w:r>
        <w:t xml:space="preserve">wert</w:t>
      </w:r>
      <w:r>
        <w:t xml:space="preserve">, wie es wahrscheinlich ist, dass sie </w:t>
      </w:r>
      <w:r w:rsidR="009C0D64">
        <w:t xml:space="preserve">in der Praxis </w:t>
      </w:r>
      <w:r>
        <w:t xml:space="preserve">tatsächlich durchgesetzt werden können</w:t>
      </w:r>
      <w:r>
        <w:t xml:space="preserve">. Dies ist das grundlegende Problem von Kapitel V der Richtlinie: Die Artikel 18 bis 24 </w:t>
      </w:r>
      <w:r>
        <w:t xml:space="preserve">schaffen</w:t>
      </w:r>
      <w:r w:rsidR="009C0D64">
        <w:t xml:space="preserve"> zwar </w:t>
      </w:r>
      <w:r>
        <w:t xml:space="preserve">einen Rahmen für die Durchsetzung, doch ohne eine angemessene Finanzierung der Aufsichtsbehörden, ohne </w:t>
      </w:r>
      <w:r w:rsidR="009C0D64">
        <w:t xml:space="preserve">die Möglichkeit </w:t>
      </w:r>
      <w:r>
        <w:t xml:space="preserve">von Sammelklagen und ohne </w:t>
      </w:r>
      <w:r>
        <w:t xml:space="preserve">abschreckende Sanktionen </w:t>
      </w:r>
      <w:r w:rsidR="009C0D64">
        <w:t xml:space="preserve">für die Plattformen </w:t>
      </w:r>
      <w:r>
        <w:t xml:space="preserve">bleibt dieser Rahmen weitgehend formal. Plattformen sind gut finanzierte juristische Personen, die sich langwierige Rechtsstreitigkeiten leisten können</w:t>
      </w:r>
      <w:r w:rsidR="009C0D64">
        <w:t xml:space="preserve">, </w:t>
      </w:r>
      <w:r>
        <w:t xml:space="preserve">Arbeitnehmer und Gewerkschaften </w:t>
      </w:r>
      <w:r w:rsidR="009C0D64">
        <w:t xml:space="preserve">hingegen </w:t>
      </w:r>
      <w:r>
        <w:t xml:space="preserve">in der Regel nicht. Der rote Faden dieses Kapitels lautet daher: Eine Durchsetzung ohne kollektive Verfahren und ohne ausreichend strenge Sanktionen ist </w:t>
      </w:r>
      <w:r w:rsidR="009C0D64">
        <w:t xml:space="preserve">nur </w:t>
      </w:r>
      <w:r>
        <w:t xml:space="preserve">scheinbar.</w:t>
      </w:r>
    </w:p>
    <w:p w:rsidR="00983F19" w:rsidP="00750824" w:rsidRDefault="00000000" w14:paraId="35029659" w14:textId="77777777">
      <w:pPr>
        <w:pStyle w:val="Naslov2"/>
        <w:jc w:val="both"/>
      </w:pPr>
      <w:bookmarkStart w:name="_Toc233699501" w:id="61"/>
      <w:bookmarkStart w:name="zahteve-direktive-4" w:id="62"/>
      <w:r>
        <w:t xml:space="preserve">7.1 Anforderungen der Richtlinie</w:t>
      </w:r>
      <w:bookmarkEnd w:id="61"/>
    </w:p>
    <w:p w:rsidR="00983F19" w:rsidP="00750824" w:rsidRDefault="00000000" w14:paraId="3F4EA6AE" w14:textId="306C1FBE">
      <w:pPr>
        <w:jc w:val="both"/>
      </w:pPr>
      <w:r>
        <w:t xml:space="preserve">Artikel 18 </w:t>
      </w:r>
      <w:r w:rsidR="009C0D64">
        <w:t xml:space="preserve">garantiert </w:t>
      </w:r>
      <w:r>
        <w:t xml:space="preserve">jeder Person, die </w:t>
      </w:r>
      <w:r>
        <w:t xml:space="preserve">Plattformarbeit</w:t>
      </w:r>
      <w:r>
        <w:t xml:space="preserve"> verrichtet</w:t>
      </w:r>
      <w:r>
        <w:t xml:space="preserve">, </w:t>
      </w:r>
      <w:r>
        <w:t xml:space="preserve">das Recht auf Zugang zu zeitnahen, wirksamen und unparteiischen Streitbeilegungsverfahren sowie auf angemessenen Schadensersatz für Schäden, die durch die Verletzung eines Rechts aus der Richtlinie entstehen. Das Recht auf Rechtsschutz bleibt auch nach Beendigung des Vertragsverhältnisses mit der Plattform bestehen </w:t>
      </w:r>
      <w:r w:rsidR="00D7386B">
        <w:t xml:space="preserve">– </w:t>
      </w:r>
      <w:r>
        <w:t xml:space="preserve">die Plattform kann also durch </w:t>
      </w:r>
      <w:r>
        <w:t xml:space="preserve">die Beendigung des Verhältnisses den Zugang zum Rechtsschutz </w:t>
      </w:r>
      <w:r>
        <w:t xml:space="preserve">nicht </w:t>
      </w:r>
      <w:r>
        <w:t xml:space="preserve">versperren. Eine Expertengruppe der Europäischen Kommission hat klargestellt: Die Verfahren können verwaltungsrechtlicher oder gerichtlicher Natur sein, einschließlich </w:t>
      </w:r>
      <w:r w:rsidR="0030041A">
        <w:t xml:space="preserve">außergerichtlicher </w:t>
      </w:r>
      <w:r w:rsidR="0030041A">
        <w:t xml:space="preserve">Einigungen; </w:t>
      </w:r>
      <w:r>
        <w:t xml:space="preserve">unabhängig von der Art des Verfahrens muss dem Arbeitnehmer jedoch stets der Weg vor Gericht offenstehen</w:t>
      </w:r>
      <w:r w:rsidR="0030041A">
        <w:t xml:space="preserve">.</w:t>
      </w:r>
    </w:p>
    <w:p w:rsidR="00D90A18" w:rsidP="00750824" w:rsidRDefault="00D90A18" w14:paraId="475D2C97" w14:textId="77777777">
      <w:pPr>
        <w:jc w:val="both"/>
      </w:pPr>
    </w:p>
    <w:p w:rsidR="00983F19" w:rsidP="00750824" w:rsidRDefault="00000000" w14:paraId="5C846C5A" w14:textId="60DF7432">
      <w:pPr>
        <w:jc w:val="both"/>
      </w:pPr>
      <w:r>
        <w:t xml:space="preserve">Artikel 19 ist eine der wichtigsten verfahrensrechtlichen Errungenschaften der Richtlinie für Gewerkschaften: Gewerkschaften und andere juristische Personen mit einem berechtigten Interesse dürfen im Namen oder zur Unterstützung einer oder mehrerer Personen, die </w:t>
      </w:r>
      <w:r>
        <w:t xml:space="preserve">Plattformarbeit</w:t>
      </w:r>
      <w:r>
        <w:t xml:space="preserve"> verrichten</w:t>
      </w:r>
      <w:r>
        <w:t xml:space="preserve">,</w:t>
      </w:r>
      <w:r>
        <w:t xml:space="preserve"> gerichtliche oder verwaltungsrechtliche Verfahren </w:t>
      </w:r>
      <w:r>
        <w:t xml:space="preserve">wegen Verstößen gegen eines der in der Richtlinie genannten Rechte </w:t>
      </w:r>
      <w:r>
        <w:t xml:space="preserve">einleiten</w:t>
      </w:r>
      <w:r>
        <w:t xml:space="preserve">. Die Expertengruppe </w:t>
      </w:r>
      <w:r w:rsidR="0030041A">
        <w:t xml:space="preserve">der Europäischen Kommission </w:t>
      </w:r>
      <w:r>
        <w:t xml:space="preserve">hat bestätigt, dass diese Bestimmung das Recht auf Einleitung von Verfahren umfasst und sich nicht nur auf den Beitritt zu bereits laufenden Verfahren beschränkt. Sie hat ebenfalls bestätigt</w:t>
      </w:r>
      <w:r w:rsidR="0030041A">
        <w:t xml:space="preserve">, dass </w:t>
      </w:r>
      <w:r>
        <w:t xml:space="preserve">es sich bei </w:t>
      </w:r>
      <w:r w:rsidR="0030041A">
        <w:t xml:space="preserve">den Verfahren </w:t>
      </w:r>
      <w:r>
        <w:t xml:space="preserve">um Sammelklagen </w:t>
      </w:r>
      <w:r>
        <w:t xml:space="preserve">handeln </w:t>
      </w:r>
      <w:r>
        <w:t xml:space="preserve">kann. Das nationale Recht regelt die Einzelheiten hinsichtlich der Vertretung und der Einwilligung, doch die Richtlinie verlangt von den Mitgliedstaaten, dass sie mindestens eine der beiden Formen gewährleisten: das Auftreten im Namen des Arbeitnehmers oder das Auftreten zu dessen Unterstützung. Beide Formen sind möglich.</w:t>
      </w:r>
    </w:p>
    <w:p w:rsidR="00D90A18" w:rsidP="00750824" w:rsidRDefault="00D90A18" w14:paraId="5F3DAE2E" w14:textId="77777777">
      <w:pPr>
        <w:jc w:val="both"/>
      </w:pPr>
    </w:p>
    <w:p w:rsidR="00983F19" w:rsidP="00750824" w:rsidRDefault="00000000" w14:paraId="5C5013B8" w14:textId="23235FF1">
      <w:pPr>
        <w:jc w:val="both"/>
      </w:pPr>
      <w:r>
        <w:t xml:space="preserve">Artikel 20 regelt die Kommunikationskanäle für Personen, die </w:t>
      </w:r>
      <w:r>
        <w:t xml:space="preserve">Plattformarbeit</w:t>
      </w:r>
      <w:r>
        <w:t xml:space="preserve"> verrichten</w:t>
      </w:r>
      <w:r>
        <w:t xml:space="preserve">. Die Plattform muss eine digitale Infrastruktur bereitstellen, die es den Arbeitnehmern ermöglicht, privat und sicher untereinander zu kommunizieren und Kontakt zu Gewerkschaftsvertretern aufzunehmen. Die Plattform darf keinen Zugriff auf den Inhalt dieser Kommunikation </w:t>
      </w:r>
      <w:r>
        <w:t xml:space="preserve">haben</w:t>
      </w:r>
      <w:r w:rsidR="00A14D12">
        <w:t xml:space="preserve"> und </w:t>
      </w:r>
      <w:r>
        <w:t xml:space="preserve">diese nicht überwachen. Die Expertengruppe hat klargestellt: </w:t>
      </w:r>
      <w:r>
        <w:t xml:space="preserve">Ein Gruppenchat auf einer externen Plattform wie </w:t>
      </w:r>
      <w:r>
        <w:t xml:space="preserve">WhatsApp </w:t>
      </w:r>
      <w:r>
        <w:t xml:space="preserve">erfüllt diese Bedingung nicht </w:t>
      </w:r>
      <w:r w:rsidR="00D7386B">
        <w:t xml:space="preserve">– </w:t>
      </w:r>
      <w:r>
        <w:t xml:space="preserve">die Kanäle müssen für Gewerkschaftsvertreter individuell zugänglich sein, und die Sicherheit der Privatsphäre muss technisch gewährleistet sein. </w:t>
      </w:r>
      <w:r>
        <w:t xml:space="preserve">Eine</w:t>
      </w:r>
      <w:r>
        <w:t xml:space="preserve"> eventuelle </w:t>
      </w:r>
      <w:r>
        <w:t xml:space="preserve">Moderation </w:t>
      </w:r>
      <w:r>
        <w:t xml:space="preserve">der Inhalte (beispielsweise bei gewalttätigen Nachrichten) muss einem unabhängigen Dritten anvertraut werden, nicht den Mitarbeitern der Plattform.</w:t>
      </w:r>
    </w:p>
    <w:p w:rsidR="00D90A18" w:rsidP="00750824" w:rsidRDefault="00D90A18" w14:paraId="07116119" w14:textId="77777777">
      <w:pPr>
        <w:jc w:val="both"/>
      </w:pPr>
    </w:p>
    <w:p w:rsidR="00983F19" w:rsidP="00750824" w:rsidRDefault="00000000" w14:paraId="40C6BB19" w14:textId="7290A77D">
      <w:pPr>
        <w:jc w:val="both"/>
      </w:pPr>
      <w:r>
        <w:t xml:space="preserve">Artikel 21 regelt den Zugang zu Beweismitteln. Gerichte und zuständige Behörden müssen befugt sein, von der Plattform die Offenlegung aller relevanten Beweismittel zu verlangen, die sich in ihrem Besitz befinden </w:t>
      </w:r>
      <w:r w:rsidR="00D7386B">
        <w:t xml:space="preserve">– </w:t>
      </w:r>
      <w:r>
        <w:t xml:space="preserve">einschließlich vertraulicher Informationen, wobei angemessene Mechanismen zum Schutz der Vertraulichkeit vorhanden sein müssen. Die Expertengruppe wies darauf hin, dass entscheidende Beweise für Anweisungen und Kontrolle durch Algorithmen in der Regel im Besitz der Plattform liegen und den Arbeitnehmern </w:t>
      </w:r>
      <w:r w:rsidR="00A14D12">
        <w:t xml:space="preserve">sowie deren Vertretern </w:t>
      </w:r>
      <w:r>
        <w:t xml:space="preserve">nicht zugänglich sind. Die Berufung auf das Geschäftsgeheimnis stellt kein absolutes Hindernis für die Offenlegung dar </w:t>
      </w:r>
      <w:r w:rsidR="00D7386B">
        <w:t xml:space="preserve">– </w:t>
      </w:r>
      <w:r>
        <w:t xml:space="preserve">das Gericht ist befugt, die Offenlegung unter Auflagen geeigneter Schutzmaßnahmen anzuordnen.</w:t>
      </w:r>
    </w:p>
    <w:p w:rsidR="00D90A18" w:rsidP="00750824" w:rsidRDefault="00D90A18" w14:paraId="23047EB5" w14:textId="77777777">
      <w:pPr>
        <w:jc w:val="both"/>
      </w:pPr>
    </w:p>
    <w:p w:rsidR="00983F19" w:rsidP="00750824" w:rsidRDefault="00000000" w14:paraId="7E7DAA4F" w14:textId="3A2E838B">
      <w:pPr>
        <w:jc w:val="both"/>
      </w:pPr>
      <w:r>
        <w:t xml:space="preserve">Artikel 22 </w:t>
      </w:r>
      <w:r w:rsidR="00016B3D">
        <w:t xml:space="preserve">schützt </w:t>
      </w:r>
      <w:r>
        <w:t xml:space="preserve">alle Personen, die </w:t>
      </w:r>
      <w:r>
        <w:t xml:space="preserve">Plattformarbeit</w:t>
      </w:r>
      <w:r>
        <w:t xml:space="preserve"> verrichten</w:t>
      </w:r>
      <w:r>
        <w:t xml:space="preserve">, </w:t>
      </w:r>
      <w:r>
        <w:t xml:space="preserve">vor </w:t>
      </w:r>
      <w:r w:rsidR="00A14D12">
        <w:t xml:space="preserve">Vergeltungsmaßnahmen </w:t>
      </w:r>
      <w:r>
        <w:t xml:space="preserve">als Reaktion auf die Geltendmachung der Rechte aus der Richtlinie. Die Richtlinie besagt ausdrücklich: schlechtere Bewertungen, die Vergabe von weniger Aufträgen und jede andere Form verdeckter Sanktionen sind verboten. Die Expertengruppe fügte hinzu: Die Vergabe von weniger Aufträgen oder eine verstärkte Überwachung nach der Ausübung von Rechten sind typische Beispiele für verbotene Vergeltungsmaßnahmen </w:t>
      </w:r>
      <w:r w:rsidR="00D7386B">
        <w:t xml:space="preserve">– </w:t>
      </w:r>
      <w:r>
        <w:t xml:space="preserve">es muss lediglich ein Kausalzusammenhang zwischen der Ausübung der Rechte und der nachteiligen Maßnahme nachgewiesen werden, wobei die Beweislast bei der Plattform liegt. Artikel 23 dehnt diesen Schutz ausdrücklich auf Kündigungen bzw. gleichwertige Maßnahmen aus: Die Plattform darf das Vertragsverhältnis mit dem Arbeitnehmer nicht kündigen oder dessen Konto sperren, weil er seine Rechte aus der Richtlinie geltend gemacht hat. Ebenso muss sie auf Verlangen des Arbeitnehmers die Gründe für die Kündigung schriftlich darlegen. Die Beweislast liegt bei der Plattform </w:t>
      </w:r>
      <w:r w:rsidR="00D7386B">
        <w:t xml:space="preserve">– </w:t>
      </w:r>
      <w:r>
        <w:t xml:space="preserve">diese muss nachweisen, dass die Kündigung nicht auf die Ausübung der Rechte zurückzuführen ist.</w:t>
      </w:r>
    </w:p>
    <w:p w:rsidR="00D90A18" w:rsidP="00750824" w:rsidRDefault="00D90A18" w14:paraId="35FBA09F" w14:textId="77777777">
      <w:pPr>
        <w:jc w:val="both"/>
      </w:pPr>
    </w:p>
    <w:p w:rsidR="00983F19" w:rsidP="00750824" w:rsidRDefault="00000000" w14:paraId="114DBA6C" w14:textId="17261AE2">
      <w:pPr>
        <w:jc w:val="both"/>
      </w:pPr>
      <w:r>
        <w:t xml:space="preserve">Artikel 24 regelt die Aufsicht und die Sanktionen. Die Datenschutzbehörden sind für die Aufsicht </w:t>
      </w:r>
      <w:r w:rsidR="00A14D12">
        <w:t xml:space="preserve">über die Artikel</w:t>
      </w:r>
      <w:r>
        <w:t xml:space="preserve"> 7 bis 11 </w:t>
      </w:r>
      <w:r>
        <w:t xml:space="preserve">zuständig</w:t>
      </w:r>
      <w:r>
        <w:t xml:space="preserve">, </w:t>
      </w:r>
      <w:r w:rsidR="00A14D12">
        <w:t xml:space="preserve">sofern </w:t>
      </w:r>
      <w:r>
        <w:t xml:space="preserve">es sich um Datenschutzangelegenheiten handelt; für die übrigen Bestimmungen der Richtlinie sind die Arbeitsaufsichtsbehörden und andere zuständige Behörden zuständig. Artikel 24 Absatz 2 sieht eine obligatorische Zusammenarbeit zwischen ihnen vor, einschließlich des Austauschs von Informationen aus </w:t>
      </w:r>
      <w:r w:rsidR="00A14D12">
        <w:t xml:space="preserve">Inspektionen </w:t>
      </w:r>
      <w:r>
        <w:t xml:space="preserve">und Ermittlungen. Artikel 24 Absatz 5 verlangt, dass die Sanktionen für Verstöße gegen die Bestimmungen der Richtlinie wirksam, verhältnismäßig und abschreckend sind </w:t>
      </w:r>
      <w:r w:rsidR="00D7386B">
        <w:t xml:space="preserve">– </w:t>
      </w:r>
      <w:r>
        <w:t xml:space="preserve">die Verhältnismäßigkeit wird anhand der Größe der Plattform und der Anzahl der betroffenen Arbeitnehmer gemessen. Von entscheidender Bedeutung ist die Bestimmung in Artikel 24 Absatz 6: Wenn eine Plattform einer ersten rechtskräftigen gerichtlichen oder behördlichen Entscheidung über den Beschäftigungsstatus der Arbeitnehmer nicht nachkommt, müssen die Mitgliedstaaten zusätzliche Sanktionen vorsehen, die finanzieller Art sein können.</w:t>
      </w:r>
    </w:p>
    <w:p w:rsidR="00983F19" w:rsidP="00750824" w:rsidRDefault="00000000" w14:paraId="6DF57FB9" w14:textId="77777777">
      <w:pPr>
        <w:pStyle w:val="Naslov2"/>
        <w:jc w:val="both"/>
      </w:pPr>
      <w:bookmarkStart w:name="_Toc233699502" w:id="63"/>
      <w:bookmarkStart w:name="ugotovitve-iz-prakse-4" w:id="64"/>
      <w:bookmarkEnd w:id="62"/>
      <w:r>
        <w:t xml:space="preserve">7.2 Erkenntnisse aus der Praxis</w:t>
      </w:r>
      <w:bookmarkEnd w:id="63"/>
    </w:p>
    <w:p w:rsidR="00983F19" w:rsidP="00750824" w:rsidRDefault="00000000" w14:paraId="7E31C8C6" w14:textId="2AF82EC0">
      <w:pPr>
        <w:jc w:val="both"/>
      </w:pPr>
      <w:r>
        <w:t xml:space="preserve">Die gemeinsame Feststellung aller Partner des SDDP-Projekts ist eindeutig: Die Durchsetzung der Rechte </w:t>
      </w:r>
      <w:r>
        <w:t xml:space="preserve">von Plattformarbeitern stößt in allen fünf Partnerländern auf </w:t>
      </w:r>
      <w:r w:rsidR="00A14D12">
        <w:t xml:space="preserve">dieselben </w:t>
      </w:r>
      <w:r>
        <w:t xml:space="preserve">strukturellen Hindernisse. Diese sind nicht spezifisch für einzelne Rechtsordnungen</w:t>
      </w:r>
      <w:r w:rsidR="00A14D12">
        <w:t xml:space="preserve">, sondern </w:t>
      </w:r>
      <w:r>
        <w:t xml:space="preserve">resultieren aus </w:t>
      </w:r>
      <w:r w:rsidR="00A14D12">
        <w:t xml:space="preserve">dem Machtungleichgewicht </w:t>
      </w:r>
      <w:r>
        <w:t xml:space="preserve">zwischen gut finanzierten Plattformen und Arbeitnehmern, denen die Mittel für langwierige </w:t>
      </w:r>
      <w:r>
        <w:t xml:space="preserve">Rechtsstreitigkeiten</w:t>
      </w:r>
      <w:r>
        <w:t xml:space="preserve"> fehlen</w:t>
      </w:r>
      <w:r>
        <w:t xml:space="preserve">.</w:t>
      </w:r>
    </w:p>
    <w:p w:rsidR="00D90A18" w:rsidP="00750824" w:rsidRDefault="00D90A18" w14:paraId="56F05BC6" w14:textId="77777777">
      <w:pPr>
        <w:jc w:val="both"/>
      </w:pPr>
    </w:p>
    <w:p w:rsidR="00983F19" w:rsidP="00750824" w:rsidRDefault="00B11C0F" w14:paraId="5DFDA0E8" w14:textId="763582A7">
      <w:pPr>
        <w:jc w:val="both"/>
      </w:pPr>
      <w:r>
        <w:rPr>
          <w:b/>
          <w:bCs/>
        </w:rPr>
        <w:t xml:space="preserve">Finanzielle Zermürbung als Strategie der Plattformen. </w:t>
      </w:r>
      <w:r>
        <w:t xml:space="preserve">Die Plattformen nutzen die Kostenasymmetrie systematisch aus: Sie beschäftigen Teams von Rechtsberatern, die Verfahren bis in höhere Instanzen vorantreiben und sich </w:t>
      </w:r>
      <w:r>
        <w:t xml:space="preserve">für </w:t>
      </w:r>
      <w:r>
        <w:t xml:space="preserve">langwierige </w:t>
      </w:r>
      <w:r>
        <w:t xml:space="preserve">Rechtsmittelverfahren </w:t>
      </w:r>
      <w:r>
        <w:t xml:space="preserve">entscheiden </w:t>
      </w:r>
      <w:r w:rsidR="00D7386B">
        <w:t xml:space="preserve">– </w:t>
      </w:r>
      <w:r>
        <w:t xml:space="preserve">eine Strategie, die den einzelnen Arbeitnehmer zermürbt, bevor er eine rechtskräftige Entscheidung erhält. Ein Fall aus Spanien ist gut dokumentiert: Nach einem Urteil des Obersten Gerichtshofs aus dem Jahr 2020, in dem die Lieferanten </w:t>
      </w:r>
      <w:r>
        <w:t xml:space="preserve">von Glovo </w:t>
      </w:r>
      <w:r>
        <w:t xml:space="preserve">als Arbeitnehmer anerkannt </w:t>
      </w:r>
      <w:r>
        <w:t xml:space="preserve">wurden</w:t>
      </w:r>
      <w:r>
        <w:t xml:space="preserve">, setzte die Plattform Einzelverfahren fort, mit denen sie jeden Einzelfall anfocht, anstatt eine systemische Regelung zu akzeptieren. Einzelne Arbeitnehmer haben ohne unentgeltlichen Rechtsbeistand und ohne Sammelklage keine realistische Möglichkeit, ihre Rechte durchzusetzen.</w:t>
      </w:r>
    </w:p>
    <w:p w:rsidR="00D90A18" w:rsidP="00750824" w:rsidRDefault="00D90A18" w14:paraId="6612C649" w14:textId="77777777">
      <w:pPr>
        <w:jc w:val="both"/>
      </w:pPr>
    </w:p>
    <w:p w:rsidR="00983F19" w:rsidP="00750824" w:rsidRDefault="00000000" w14:paraId="794DCED5" w14:textId="18537679">
      <w:pPr>
        <w:jc w:val="both"/>
      </w:pPr>
      <w:r>
        <w:rPr>
          <w:b/>
          <w:bCs/>
        </w:rPr>
        <w:t xml:space="preserve">Sammelklagen: eine strukturelle Lücke in Deutschland und Slowenien. </w:t>
      </w:r>
      <w:r>
        <w:t xml:space="preserve">In beiden Ländern kennt das geltende Prozessrecht keine Sammelklagen in arbeitsrechtlichen Angelegenheiten in der Form, wie sie die Richtlinie vorsieht. Gewerkschaften können kein Verfahren für eine Gruppe von Arbeitnehmern einleiten</w:t>
      </w:r>
      <w:r w:rsidR="00B11C0F">
        <w:t xml:space="preserve">,</w:t>
      </w:r>
      <w:r>
        <w:t xml:space="preserve"> ohne </w:t>
      </w:r>
      <w:r>
        <w:t xml:space="preserve">dass</w:t>
      </w:r>
      <w:r>
        <w:t xml:space="preserve"> jeder einzelne von ihnen eine individuelle Vollmacht </w:t>
      </w:r>
      <w:r>
        <w:t xml:space="preserve">erteilt hat, was in der Praxis oft nicht umsetzbar ist, da die Arbeitnehmer verstreut und anonym sind und Vergeltungsmaßnahmen befürchten. Artikel 19 der Richtlinie </w:t>
      </w:r>
      <w:r w:rsidR="00B11C0F">
        <w:t xml:space="preserve">verlangt, dass </w:t>
      </w:r>
      <w:r>
        <w:t xml:space="preserve">diese Lücke </w:t>
      </w:r>
      <w:r w:rsidR="00B11C0F">
        <w:t xml:space="preserve">geschlossen </w:t>
      </w:r>
      <w:r w:rsidR="00B11C0F">
        <w:t xml:space="preserve">wird</w:t>
      </w:r>
      <w:r>
        <w:t xml:space="preserve">: Die Ministerien müssen einen Verfahrensmechanismus gewährleisten, der es einer Gewerkschaft ermöglicht, im Namen oder zur Unterstützung einer Gruppe von Arbeitnehmern aufzutreten, ohne dass die individuelle Zustimmung jedes Einzelnen erforderlich ist.</w:t>
      </w:r>
    </w:p>
    <w:p w:rsidR="00D90A18" w:rsidP="00750824" w:rsidRDefault="00D90A18" w14:paraId="3904CC4C" w14:textId="77777777">
      <w:pPr>
        <w:jc w:val="both"/>
      </w:pPr>
    </w:p>
    <w:p w:rsidR="00983F19" w:rsidP="00750824" w:rsidRDefault="00000000" w14:paraId="081E5076" w14:textId="740C1670">
      <w:pPr>
        <w:jc w:val="both"/>
      </w:pPr>
      <w:r>
        <w:rPr>
          <w:b/>
          <w:bCs/>
        </w:rPr>
        <w:lastRenderedPageBreak/>
      </w:r>
      <w:r>
        <w:rPr>
          <w:b/>
          <w:bCs/>
        </w:rPr>
        <w:t xml:space="preserve">Akteure im Flottensystem: Strafrechtliche Haftung von Geschäftsführern in der spanischen Praxis. </w:t>
      </w:r>
      <w:r>
        <w:t xml:space="preserve">Die Erfahrungen in Spanien nach Inkrafttreten des Gesetzes über Lieferdienste im Jahr 2021 zeigen, wie Plattformen nach der Regulierung massenhaft auf das Flottensystem umsteigen und wie Scheinfirmen zu einem Instrument der Haftungsumgehung werden. Wenn ein Subunternehmer sein Unternehmen schließt, bleiben die Arbeitnehmer ohne Lohn und ohne Ansprechpartner, bei dem sie ihre Rechte geltend machen könnten. Die spanischen Behörden haben in einigen Fällen Strafverfahren gegen Geschäftsführer von Scheinfirmen eingeleitet, die als Zwischeninstanz </w:t>
      </w:r>
      <w:r>
        <w:t xml:space="preserve">für</w:t>
      </w:r>
      <w:r w:rsidR="00B11C0F">
        <w:t xml:space="preserve"> Plattformen</w:t>
      </w:r>
      <w:r>
        <w:t xml:space="preserve"> dienten, </w:t>
      </w:r>
      <w:r>
        <w:t xml:space="preserve">um arbeitsrechtliche Verpflichtungen zu umgehen. Dies ist ein Modell, das </w:t>
      </w:r>
      <w:r>
        <w:t xml:space="preserve">bei der Umsetzung der Richtlinie berücksichtigt </w:t>
      </w:r>
      <w:r>
        <w:t xml:space="preserve">werden </w:t>
      </w:r>
      <w:r w:rsidR="00B11C0F">
        <w:t xml:space="preserve">sollte</w:t>
      </w:r>
      <w:r>
        <w:t xml:space="preserve">.</w:t>
      </w:r>
      <w:r>
        <w:br/>
      </w:r>
      <w:r>
        <w:br/>
      </w:r>
      <w:r>
        <w:rPr>
          <w:b/>
          <w:bCs/>
        </w:rPr>
        <w:t xml:space="preserve">Finanzierung der Arbeitsaufsichtsbehörden: eine gemeinsame Forderung aller Partner. </w:t>
      </w:r>
      <w:r>
        <w:t xml:space="preserve">Jeder der fünf nationalen Beiträge zum SDDP-Projekt hebt die Unterbesetzung der Arbeitsaufsichtsbehörden hervor: zu wenige Inspektoren, unzureichende Qualifikation für </w:t>
      </w:r>
      <w:r w:rsidR="00E11794">
        <w:t xml:space="preserve">die Überwachung algorithmischer Systeme</w:t>
      </w:r>
      <w:r>
        <w:t xml:space="preserve">, fehlende Instrumente zur Analyse von Daten über die Arbeit auf Plattformen. Inspektionsbehörden, die ein algorithmisches Überwachungssystem nicht auswerten können, sind nicht in der Lage, Verstöße festzustellen. Die Finanzierung und Schulung der Inspektionsbehörden sind eine Voraussetzung für jede Umsetzung der Richtlinie</w:t>
      </w:r>
      <w:r w:rsidR="00E11794">
        <w:t xml:space="preserve">, </w:t>
      </w:r>
      <w:r>
        <w:t xml:space="preserve">nicht nur eine Empfehlung.</w:t>
      </w:r>
    </w:p>
    <w:p w:rsidR="00D90A18" w:rsidP="00750824" w:rsidRDefault="00D90A18" w14:paraId="0E0171F9" w14:textId="77777777">
      <w:pPr>
        <w:jc w:val="both"/>
      </w:pPr>
    </w:p>
    <w:p w:rsidR="00983F19" w:rsidP="00750824" w:rsidRDefault="00000000" w14:paraId="687E0C49" w14:textId="68113A75">
      <w:pPr>
        <w:jc w:val="both"/>
      </w:pPr>
      <w:r>
        <w:rPr>
          <w:b/>
          <w:bCs/>
        </w:rPr>
        <w:t xml:space="preserve">Vergeltungsmaßnahmen durch Algorithmen: Der Nachweis ist schwierig.</w:t>
      </w:r>
      <w:r>
        <w:t xml:space="preserve"> Auf der SDDP-Projektkonferenz in Ljubljana im Mai 2025 beschrieben Gewerkschaftsvertreter aus allen Partnerländern dasselbe Muster: Nach Einreichung einer Beschwerde oder gewerkschaftlichen Aktivitäten erhält der Arbeitnehmer in den folgenden Wochen deutlich weniger Aufträge</w:t>
      </w:r>
      <w:r w:rsidR="00E11794">
        <w:t xml:space="preserve">, </w:t>
      </w:r>
      <w:r>
        <w:t xml:space="preserve">doch die Plattform erklärt dies als Folge objektiver algorithmischer Parameter und nicht als Sanktion. Der Nachweis eines Kausalzusammenhangs ist ohne Zugang zu den algorithmischen Daten praktisch unmöglich. Artikel 21 der Richtlinie (Zugang zu Beweismitteln) und Artikel 22 (umgekehrte Beweislast) gehen gemeinsam auf diese Asymmetrie ein </w:t>
      </w:r>
      <w:r w:rsidR="00D7386B">
        <w:t xml:space="preserve">– </w:t>
      </w:r>
      <w:r>
        <w:t xml:space="preserve">allerdings nur, wenn Gerichte und Aufsichtsbehörden </w:t>
      </w:r>
      <w:r w:rsidR="00E11794">
        <w:t xml:space="preserve">für eine tatsächliche Datenanalyse qualifiziert</w:t>
      </w:r>
      <w:r>
        <w:t xml:space="preserve"> sind</w:t>
      </w:r>
      <w:r w:rsidR="00E11794">
        <w:t xml:space="preserve">. </w:t>
      </w:r>
    </w:p>
    <w:p w:rsidR="00D90A18" w:rsidP="00750824" w:rsidRDefault="00D90A18" w14:paraId="46AA3A84" w14:textId="77777777">
      <w:pPr>
        <w:jc w:val="both"/>
      </w:pPr>
    </w:p>
    <w:p w:rsidR="00983F19" w:rsidP="00750824" w:rsidRDefault="00000000" w14:paraId="0B93A64F" w14:textId="15418CB2">
      <w:pPr>
        <w:jc w:val="both"/>
      </w:pPr>
      <w:r>
        <w:rPr>
          <w:b/>
          <w:bCs/>
        </w:rPr>
        <w:t xml:space="preserve">Der „Excellence Score“ bei </w:t>
      </w:r>
      <w:r>
        <w:rPr>
          <w:b/>
          <w:bCs/>
        </w:rPr>
        <w:t xml:space="preserve">Foodora </w:t>
      </w:r>
      <w:r>
        <w:rPr>
          <w:b/>
          <w:bCs/>
        </w:rPr>
        <w:t xml:space="preserve">als Beispiel für eine automatische Kündigung. </w:t>
      </w:r>
      <w:r>
        <w:t xml:space="preserve">Foodora </w:t>
      </w:r>
      <w:r>
        <w:t xml:space="preserve">und Bolt </w:t>
      </w:r>
      <w:r>
        <w:t xml:space="preserve">Food </w:t>
      </w:r>
      <w:r>
        <w:t xml:space="preserve">verwenden in einigen Ländern ein Punktesystem namens </w:t>
      </w:r>
      <w:r w:rsidR="00E11794">
        <w:t xml:space="preserve">„Excellence </w:t>
      </w:r>
      <w:r w:rsidR="00E11794">
        <w:t xml:space="preserve">Score“</w:t>
      </w:r>
      <w:r>
        <w:t xml:space="preserve">, das die Beschäftigten anhand der Auftragsannahmequote, der Pünktlichkeit, der Kundenbewertungen und anderer algorithmischer Parameter einstuft. Sinkt der Wert unter einen bestimmten Schwellenwert, versendet das System automatisch eine Mitteilung über die Kündigung des Vertrags, ohne jegliches </w:t>
      </w:r>
      <w:r w:rsidR="00E11794">
        <w:t xml:space="preserve">menschliches </w:t>
      </w:r>
      <w:r>
        <w:t xml:space="preserve">Eingreifen und ohne vorherige Begründung. Diese Praxis steht in direktem Widerspruch zu Artikel 10 Absatz 5 der Richtlinie, der vorschreibt, dass jede Entscheidung über die Beendigung eines Vertragsverhältnisses von einem Menschen getroffen werden muss, sowie zu Artikel 11, der das Recht auf eine schriftliche Begründung und Überprüfung gewährleistet. Da die Gewerkschaften diese Praxis jedoch erst bei der Überprüfung der Verträge festgestellt haben, stellt gerade dieses System für die Plattformen einen der wichtigsten Kontrollhebel dar </w:t>
      </w:r>
      <w:r w:rsidR="00D7386B">
        <w:t xml:space="preserve">– </w:t>
      </w:r>
      <w:r>
        <w:t xml:space="preserve">und genau darüber sind sie nicht bereit zu verhandeln. Die Richtlinie verbietet dies ausdrücklich</w:t>
      </w:r>
      <w:r w:rsidR="00E11794">
        <w:t xml:space="preserve">. </w:t>
      </w:r>
      <w:r w:rsidR="00E11794">
        <w:t xml:space="preserve">Bei der Umsetzung </w:t>
      </w:r>
      <w:r>
        <w:t xml:space="preserve">muss dieses Verbot durch eine ausdrückliche gesetzliche Bestimmung konkretisiert werden.</w:t>
      </w:r>
    </w:p>
    <w:p w:rsidR="00983F19" w:rsidP="00750824" w:rsidRDefault="00000000" w14:paraId="3A5FDBB2" w14:textId="77777777">
      <w:pPr>
        <w:pStyle w:val="Naslov2"/>
        <w:jc w:val="both"/>
      </w:pPr>
      <w:bookmarkStart w:name="_Toc233699503" w:id="65"/>
      <w:bookmarkStart w:name="priporočila-4" w:id="66"/>
      <w:bookmarkEnd w:id="64"/>
      <w:r>
        <w:t xml:space="preserve">7.3 Empfehlungen</w:t>
      </w:r>
      <w:bookmarkEnd w:id="65"/>
    </w:p>
    <w:p w:rsidR="00D90A18" w:rsidP="00750824" w:rsidRDefault="00000000" w14:paraId="0A7C21F2" w14:textId="4E601750">
      <w:pPr>
        <w:jc w:val="both"/>
      </w:pPr>
      <w:r>
        <w:t xml:space="preserve">Die folgenden Empfehlungen richten sich an </w:t>
      </w:r>
      <w:r>
        <w:t xml:space="preserve">die</w:t>
      </w:r>
      <w:r w:rsidR="00E11794">
        <w:t xml:space="preserve"> zuständigen </w:t>
      </w:r>
      <w:r>
        <w:t xml:space="preserve">Ministerien und Behörden der EU-Mitgliedstaaten.</w:t>
      </w:r>
    </w:p>
    <w:p w:rsidR="00983F19" w:rsidP="00750824" w:rsidRDefault="00000000" w14:paraId="71346B44" w14:textId="50C5505D">
      <w:pPr>
        <w:pStyle w:val="Naslov3"/>
        <w:jc w:val="both"/>
      </w:pPr>
      <w:r>
        <w:t xml:space="preserve">Empfehlung 7.1 [ÜBER DAS MINIMUM HINAUS]: Wirklich abschreckende Strafen </w:t>
      </w:r>
      <w:r w:rsidR="00D7386B">
        <w:t xml:space="preserve">– </w:t>
      </w:r>
      <w:r>
        <w:t xml:space="preserve">gekoppelt an den Umsatz der Plattform</w:t>
      </w:r>
    </w:p>
    <w:p w:rsidR="00983F19" w:rsidP="00750824" w:rsidRDefault="00000000" w14:paraId="0303FBE7" w14:textId="511A8E4D">
      <w:pPr>
        <w:jc w:val="both"/>
      </w:pPr>
      <w:r>
        <w:t xml:space="preserve">Die Ministerien müssen gesetzlich festlegen, dass die Obergrenze für Strafen bei Verstößen </w:t>
      </w:r>
      <w:r w:rsidR="00E11794">
        <w:t xml:space="preserve">gegen die durch die Richtlinie garantierten Rechte </w:t>
      </w:r>
      <w:r>
        <w:t xml:space="preserve">an den Jahresumsatz der Plattform im jeweiligen Land gekoppelt </w:t>
      </w:r>
      <w:r>
        <w:t xml:space="preserve">ist </w:t>
      </w:r>
      <w:r w:rsidR="00E11794">
        <w:t xml:space="preserve">und </w:t>
      </w:r>
      <w:r>
        <w:t xml:space="preserve">nicht an </w:t>
      </w:r>
      <w:r w:rsidR="00E11794">
        <w:t xml:space="preserve">einen </w:t>
      </w:r>
      <w:r w:rsidR="00E11794">
        <w:t xml:space="preserve">abstrak</w:t>
      </w:r>
      <w:r>
        <w:lastRenderedPageBreak/>
      </w:r>
      <w:r w:rsidR="00E11794">
        <w:t xml:space="preserve"> n Betrag</w:t>
      </w:r>
      <w:r>
        <w:t xml:space="preserve">. Wir empfehlen </w:t>
      </w:r>
      <w:r w:rsidR="00E11794">
        <w:t xml:space="preserve">folgendes </w:t>
      </w:r>
      <w:r>
        <w:t xml:space="preserve">Modell: bei Verstößen gegen die algorithmische Steuerung bis zu 2 % des Jahresumsatzes der Plattform in dem betreffenden Land; bei Verstößen gegen den Beschäftigungsstatus und bei Kündigungen bis zu 4 % des Jahresumsatzes; bei systematischen Verstößen (wiederholte Verstöße derselben Plattform) einen zusätzlichen Multiplikationsfaktor von bis zu 1,5. Die Sanktion für die Nichtbefolgung einer ersten rechtskräftigen gerichtlichen Entscheidung (Artikel 24 Absatz 6) muss finanziell erheblich und zwingend sein. Eine Beschwerde gegen ein Tätigkeitsverbot hat aufschiebende Wirkung; eine Beschwerde gegen eine Geldbuße hat keine aufschiebende Wirkung, es sei denn, es liegt eine nachgewiesene Gefahr der Zahlungsunfähigkeit vor.</w:t>
      </w:r>
    </w:p>
    <w:p w:rsidR="00E11794" w:rsidP="00750824" w:rsidRDefault="00E11794" w14:paraId="1699B101" w14:textId="77777777">
      <w:pPr>
        <w:jc w:val="both"/>
      </w:pPr>
    </w:p>
    <w:p w:rsidR="00983F19" w:rsidP="00750824" w:rsidRDefault="00000000" w14:paraId="4AE38B7C" w14:textId="3A924E9D">
      <w:pPr>
        <w:pStyle w:val="Blokbesedila"/>
      </w:pPr>
      <w:r>
        <w:rPr>
          <w:b/>
          <w:bCs/>
        </w:rPr>
        <w:t xml:space="preserve">Hintergrund: </w:t>
      </w:r>
      <w:r>
        <w:t xml:space="preserve">Artikel 24 Absatz 5 der Richtlinie verlangt Sanktionen, die wirksam, verhältnismäßig und abschreckend sind; die Verhältnismäßigkeit wird anhand der Größe der Plattform und der Anzahl der betroffenen Arbeitnehmer gemessen. Die Expertengruppe der Europäischen Kommission hat bestätigt, dass Artikel 24 Absatz 6 zwingend umgesetzt werden muss: Die Nichtbefolgung einer ersten gerichtlichen Entscheidung muss finanzielle Konsequenzen nach sich ziehen. Umsatzabhängige Sanktionen sind in der DSGVO etabliert (Art. 83: bis zu 4 % des weltweiten Jahresumsatzes) </w:t>
      </w:r>
      <w:r w:rsidR="00D7386B">
        <w:t xml:space="preserve">– </w:t>
      </w:r>
      <w:r>
        <w:t xml:space="preserve">die Richtlinie über </w:t>
      </w:r>
      <w:r>
        <w:t xml:space="preserve">Plattformarbeit legt keine einheitliche Obergrenze fest, doch gerade deshalb ist es umso dringlicher, dass die nationalen Gesetze diese angemessen festlegen.</w:t>
      </w:r>
    </w:p>
    <w:p w:rsidR="00983F19" w:rsidP="00750824" w:rsidRDefault="00000000" w14:paraId="166AE13A" w14:textId="0B64A2D1">
      <w:pPr>
        <w:pStyle w:val="Naslov3"/>
        <w:jc w:val="both"/>
      </w:pPr>
      <w:r>
        <w:t xml:space="preserve">Empfehlung 7.2 [RICHTLINIE]: Schutz vor Vergeltungsmaßnahmen: schlechtere Bewertungen und weniger Aufträge </w:t>
      </w:r>
      <w:r w:rsidR="00EB5A7D">
        <w:t xml:space="preserve">als Vergeltungsmaßnahme </w:t>
      </w:r>
      <w:r>
        <w:t xml:space="preserve">stellen einen Verstoß dar </w:t>
      </w:r>
    </w:p>
    <w:p w:rsidR="00983F19" w:rsidP="00750824" w:rsidRDefault="00000000" w14:paraId="1D4F3C00" w14:textId="3DDD9244">
      <w:pPr>
        <w:jc w:val="both"/>
      </w:pPr>
      <w:r>
        <w:t xml:space="preserve">Die Ministerien müssen </w:t>
      </w:r>
      <w:r w:rsidR="00EB5A7D">
        <w:t xml:space="preserve">gesetzlich </w:t>
      </w:r>
      <w:r>
        <w:t xml:space="preserve">festlegen, dass jegliche </w:t>
      </w:r>
      <w:r>
        <w:t xml:space="preserve">Vergeltungsmaßnahmen nach der Ausübung von Rechten </w:t>
      </w:r>
      <w:r w:rsidR="00D7386B">
        <w:t xml:space="preserve">– </w:t>
      </w:r>
      <w:r>
        <w:t xml:space="preserve">schlechtere Bewertungen, weniger vergebene Aufträge, geänderte Arbeitszeiten, verstärkte Überwachung </w:t>
      </w:r>
      <w:r w:rsidR="00D7386B">
        <w:t xml:space="preserve">– </w:t>
      </w:r>
      <w:r>
        <w:t xml:space="preserve">verboten </w:t>
      </w:r>
      <w:r>
        <w:t xml:space="preserve">sind </w:t>
      </w:r>
      <w:r>
        <w:t xml:space="preserve">und als Vergeltungsmaßnahme gelten, solange die Plattform nicht das Gegenteil beweist. Das Gesetz muss ausdrücklich die Umkehr der Beweislast regeln: Der Arbeitnehmer weist die Wahrscheinlichkeit eines Kausalzusammenhangs zwischen der Ausübung seiner Rechte und der nachteiligen Maßnahme nach</w:t>
      </w:r>
      <w:r w:rsidR="00EB5A7D">
        <w:t xml:space="preserve">, </w:t>
      </w:r>
      <w:r w:rsidR="00EB5A7D">
        <w:t xml:space="preserve">während </w:t>
      </w:r>
      <w:r>
        <w:t xml:space="preserve">die Plattform </w:t>
      </w:r>
      <w:r>
        <w:t xml:space="preserve">nachweisen muss, dass die Maßnahme auf objektive Faktoren zurückzuführen ist </w:t>
      </w:r>
      <w:r w:rsidR="00EB5A7D">
        <w:t xml:space="preserve">und keine Vergeltungsmaßnahme darstellt</w:t>
      </w:r>
      <w:r>
        <w:t xml:space="preserve">. Da diese Faktoren in algorithmischen Systemen gespeichert sind, müssen Gerichte und Aufsichtsbehörden befugt sein, die Offenlegung der algorithmischen Daten für den betreffenden Zeitraum zu verlangen.</w:t>
      </w:r>
    </w:p>
    <w:p w:rsidR="00EB5A7D" w:rsidP="00750824" w:rsidRDefault="00EB5A7D" w14:paraId="35B841F0" w14:textId="77777777">
      <w:pPr>
        <w:jc w:val="both"/>
      </w:pPr>
    </w:p>
    <w:p w:rsidR="00983F19" w:rsidP="00750824" w:rsidRDefault="00000000" w14:paraId="03BD7BE2" w14:textId="64F60027">
      <w:pPr>
        <w:pStyle w:val="Blokbesedila"/>
      </w:pPr>
      <w:r>
        <w:rPr>
          <w:b/>
          <w:bCs/>
        </w:rPr>
        <w:t xml:space="preserve">Hintergrund: </w:t>
      </w:r>
      <w:r>
        <w:t xml:space="preserve">Die Artikel 22 und 23 der Richtlinie legen den Schutz und die Umkehr der Beweislast fest. Die Expertengruppe der Europäischen Kommission hat bestätigt: Die Zuweisung geringerer Aufgaben oder eine verstärkte Überwachung nach der Ausübung von Rechten sind typische Beispiele für verbotene Vergeltungsmaßnahmen. Ohne Zugang zu algorithmischen Daten (Artikel 21) ist der Nachweis eines Kausalzusammenhangs jedoch praktisch unmöglich</w:t>
      </w:r>
      <w:r w:rsidR="00EB5A7D">
        <w:t xml:space="preserve">, </w:t>
      </w:r>
      <w:r>
        <w:t xml:space="preserve">weshalb die Artikel 21 und 22 gemeinsam und nicht getrennt umgesetzt werden müssen.</w:t>
      </w:r>
    </w:p>
    <w:p w:rsidR="00983F19" w:rsidP="00750824" w:rsidRDefault="00000000" w14:paraId="17464334" w14:textId="49D0FA40">
      <w:pPr>
        <w:pStyle w:val="Naslov3"/>
        <w:jc w:val="both"/>
      </w:pPr>
      <w:r>
        <w:t xml:space="preserve">Empfehlung 7.3 [RICHTLINIE]: Kommunikationskanäle unter unabhängiger Aufsicht </w:t>
      </w:r>
      <w:r w:rsidR="00EB5A7D">
        <w:t xml:space="preserve">und </w:t>
      </w:r>
      <w:r>
        <w:t xml:space="preserve">außerhalb der Infrastruktur der Plattform</w:t>
      </w:r>
    </w:p>
    <w:p w:rsidR="00D90A18" w:rsidP="00750824" w:rsidRDefault="00000000" w14:paraId="7D8CDAE8" w14:textId="77777777">
      <w:pPr>
        <w:jc w:val="both"/>
      </w:pPr>
      <w:r>
        <w:t xml:space="preserve">Die Ministerien müssen gesetzlich festlegen, dass die Verpflichtung aus Artikel 20 nur durch eine digitale Infrastruktur erfüllt ist, die:</w:t>
      </w:r>
    </w:p>
    <w:p w:rsidR="00D90A18" w:rsidP="00750824" w:rsidRDefault="00000000" w14:paraId="1FB6FF41" w14:textId="77777777">
      <w:pPr>
        <w:pStyle w:val="Odstavekseznama"/>
        <w:numPr>
          <w:ilvl w:val="0"/>
          <w:numId w:val="6"/>
        </w:numPr>
        <w:jc w:val="both"/>
      </w:pPr>
      <w:r>
        <w:t xml:space="preserve">(a) die technische Vertraulichkeit der Kommunikation gewährleistet, </w:t>
      </w:r>
    </w:p>
    <w:p w:rsidR="00D90A18" w:rsidP="00750824" w:rsidRDefault="00000000" w14:paraId="4A6B1596" w14:textId="77777777">
      <w:pPr>
        <w:pStyle w:val="Odstavekseznama"/>
        <w:numPr>
          <w:ilvl w:val="0"/>
          <w:numId w:val="6"/>
        </w:numPr>
        <w:jc w:val="both"/>
      </w:pPr>
      <w:r>
        <w:t xml:space="preserve">(b) keine Metadaten auf den Servern der Plattform speichert und </w:t>
      </w:r>
    </w:p>
    <w:p w:rsidR="00D90A18" w:rsidP="00750824" w:rsidRDefault="00000000" w14:paraId="09280572" w14:textId="77777777">
      <w:pPr>
        <w:pStyle w:val="Odstavekseznama"/>
        <w:numPr>
          <w:ilvl w:val="0"/>
          <w:numId w:val="6"/>
        </w:numPr>
        <w:jc w:val="both"/>
      </w:pPr>
      <w:r>
        <w:t xml:space="preserve">(c) den Gewerkschaftsvertretern für den individuellen Kontakt mit den Arbeitnehmern zugänglich ist. </w:t>
      </w:r>
    </w:p>
    <w:p w:rsidR="00983F19" w:rsidP="00750824" w:rsidRDefault="00000000" w14:paraId="5F6593BE" w14:textId="22F823DC">
      <w:pPr>
        <w:jc w:val="both"/>
      </w:pPr>
      <w:r w:rsidR="00583744">
        <w:t xml:space="preserve">Gruppenkommunikation </w:t>
      </w:r>
      <w:r>
        <w:t xml:space="preserve">über externe Dienste erfüllt diese Bedingungen nicht. Wir empfehlen, im Gesetz die Möglichkeit vorzusehen, dass eine Gewerkschaft eine formelle Beschwerde bei der Aufsichtsbehörde einreichen kann, wenn sie der Ansicht ist, dass der bereitgestellte Kanal diese Bedingungen nicht erfüllt</w:t>
      </w:r>
      <w:r w:rsidR="00583744">
        <w:t xml:space="preserve">, </w:t>
      </w:r>
      <w:r>
        <w:t xml:space="preserve">wobei die Aufsichtsbehörde verpflichtet ist, dies innerhalb von 30 Tagen zu überprüfen.</w:t>
      </w:r>
    </w:p>
    <w:p w:rsidR="00D90A18" w:rsidP="00750824" w:rsidRDefault="00D90A18" w14:paraId="56E1DC1B" w14:textId="77777777">
      <w:pPr>
        <w:jc w:val="both"/>
      </w:pPr>
    </w:p>
    <w:p w:rsidR="00D90A18" w:rsidP="00750824" w:rsidRDefault="00000000" w14:paraId="31C5C9DB" w14:textId="46D01427">
      <w:pPr>
        <w:pStyle w:val="Blokbesedila"/>
      </w:pPr>
      <w:r>
        <w:rPr>
          <w:b/>
          <w:bCs/>
        </w:rPr>
        <w:t xml:space="preserve">Hintergrund: </w:t>
      </w:r>
      <w:r>
        <w:t xml:space="preserve">Die Expertengruppe der Europäischen Kommission hat sich klar geäußert: </w:t>
      </w:r>
      <w:r w:rsidR="00583744">
        <w:t xml:space="preserve">Ein Gruppenchat </w:t>
      </w:r>
      <w:r>
        <w:t xml:space="preserve">auf einer externen Plattform reicht nicht aus, da er keinen individuellen Kontakt zwischen dem Gewerkschaftsvertreter und jedem einzelnen Arbeitnehmer gewährleistet. Die Kommunikationskanäle müssen technisch privat sein </w:t>
      </w:r>
      <w:r w:rsidR="00D7386B">
        <w:t xml:space="preserve">– </w:t>
      </w:r>
      <w:r>
        <w:t xml:space="preserve">die Plattform darf keinen Zugriff auf den Inhalt der Kommunikation haben.</w:t>
      </w:r>
    </w:p>
    <w:p w:rsidR="00983F19" w:rsidP="00750824" w:rsidRDefault="00000000" w14:paraId="0BDDAC6E" w14:textId="77777777">
      <w:pPr>
        <w:pStyle w:val="Naslov3"/>
        <w:jc w:val="both"/>
      </w:pPr>
      <w:r>
        <w:lastRenderedPageBreak/>
      </w:r>
      <w:r>
        <w:t xml:space="preserve">Empfehlung 7.4 [RICHTLINIE]: Offenlegung von Algorithmen als gesetzliche Verpflichtung in Gerichts- und Aufsichtsverfahren</w:t>
      </w:r>
    </w:p>
    <w:p w:rsidR="00983F19" w:rsidP="00750824" w:rsidRDefault="00000000" w14:paraId="522CB194" w14:textId="68588E60">
      <w:pPr>
        <w:jc w:val="both"/>
      </w:pPr>
      <w:r>
        <w:t xml:space="preserve">Die Ministerien müssen gesetzlich klar festlegen, dass Gerichte und Arbeitsaufsichtsbehörden befugt sind, die Offenlegung jeglicher relevanter algorithmischer Beweismittel </w:t>
      </w:r>
      <w:r w:rsidR="00D7386B">
        <w:t xml:space="preserve">– </w:t>
      </w:r>
      <w:r>
        <w:t xml:space="preserve">einschließlich Parametern, Entscheidungsverlauf und Überwachungsdaten </w:t>
      </w:r>
      <w:r w:rsidR="00D7386B">
        <w:t xml:space="preserve">– </w:t>
      </w:r>
      <w:r>
        <w:t xml:space="preserve">zu verlangen, </w:t>
      </w:r>
      <w:r>
        <w:t xml:space="preserve">die sich im Besitz der Plattform befinden. Die Berufung auf das Geschäftsgeheimnis darf kein Grund für eine absolute Verweigerung der Offenlegung sein</w:t>
      </w:r>
      <w:r w:rsidR="00583744">
        <w:t xml:space="preserve">. </w:t>
      </w:r>
      <w:r>
        <w:t xml:space="preserve">Dem Gericht oder der Aufsichtsbehörde müssen Mechanismen zum Schutz der Vertraulichkeit zur Verfügung stehen (Prüfung in nichtöffentlichen Verfahren, </w:t>
      </w:r>
      <w:r>
        <w:t xml:space="preserve">Anonymisierung </w:t>
      </w:r>
      <w:r>
        <w:t xml:space="preserve">im öffentlichen Teil der Entscheidung). Wir empfehlen, gesetzlich festzulegen, dass die Verweigerung der Offenlegung relevanter Daten ohne triftigen Grund vom Gericht bei der Beurteilung des Rechtsstreits als erschwerender Umstand gewertet wird.</w:t>
      </w:r>
    </w:p>
    <w:p w:rsidR="00583744" w:rsidP="00750824" w:rsidRDefault="00583744" w14:paraId="3D9F7CFD" w14:textId="77777777">
      <w:pPr>
        <w:jc w:val="both"/>
      </w:pPr>
    </w:p>
    <w:p w:rsidR="00583744" w:rsidP="00750824" w:rsidRDefault="00000000" w14:paraId="4148CC07" w14:textId="3CA8D641">
      <w:pPr>
        <w:pStyle w:val="Blokbesedila"/>
      </w:pPr>
      <w:r>
        <w:rPr>
          <w:b/>
          <w:bCs/>
        </w:rPr>
        <w:t xml:space="preserve">Hintergrund: </w:t>
      </w:r>
      <w:r>
        <w:t xml:space="preserve">Artikel 21 der Richtlinie verlangt, dass Gerichte und zuständige Behörden befugt sind, die Offenlegung </w:t>
      </w:r>
      <w:r>
        <w:t xml:space="preserve">von</w:t>
      </w:r>
      <w:r>
        <w:t xml:space="preserve"> Beweismitteln </w:t>
      </w:r>
      <w:r w:rsidR="00D7386B">
        <w:t xml:space="preserve">– </w:t>
      </w:r>
      <w:r>
        <w:t xml:space="preserve">einschließlich vertraulicher Informationen –</w:t>
      </w:r>
      <w:r>
        <w:t xml:space="preserve"> zu verlangen</w:t>
      </w:r>
      <w:r>
        <w:t xml:space="preserve">. Die Expertengruppe der Europäischen Kommission hat bestätigt: Die Berufung auf das Geschäftsgeheimnis stellt kein absolutes Hindernis dar. Der Gerichtshof der Europäischen Union hat in der Rechtssache C-634/21 klargestellt, dass ungeachtet der Anforderungen an die Geschäftsgeheimnisse zumindest eine Mindestmenge an Informationen bereitgestellt werden muss.</w:t>
      </w:r>
    </w:p>
    <w:p w:rsidR="00983F19" w:rsidP="00750824" w:rsidRDefault="00000000" w14:paraId="4096C2D9" w14:textId="34BD8053">
      <w:pPr>
        <w:pStyle w:val="Naslov3"/>
        <w:jc w:val="both"/>
      </w:pPr>
      <w:r>
        <w:t xml:space="preserve">Empfehlung 7.5 [ÜBERSTEIGT DAS MINIMUM]: </w:t>
      </w:r>
      <w:r w:rsidR="00583744">
        <w:t xml:space="preserve">Strafrechtliche Haftung </w:t>
      </w:r>
      <w:r>
        <w:t xml:space="preserve">von Geschäftsführern bei Briefkastenfirmen: Die Haftung muss über die juristische Person hinausreichen</w:t>
      </w:r>
    </w:p>
    <w:p w:rsidR="00983F19" w:rsidP="00750824" w:rsidRDefault="00000000" w14:paraId="72BDC569" w14:textId="216FC185">
      <w:pPr>
        <w:jc w:val="both"/>
      </w:pPr>
      <w:r>
        <w:t xml:space="preserve">Die Ministerien müssen eine Bestimmung in das Gesetz aufnehmen, die die persönliche Haftung von Geschäftsführern oder Eigentümern </w:t>
      </w:r>
      <w:r>
        <w:t xml:space="preserve">von Subunternehmen</w:t>
      </w:r>
      <w:r>
        <w:t xml:space="preserve"> festlegt</w:t>
      </w:r>
      <w:r>
        <w:t xml:space="preserve">, wenn festgestellt wird, dass diese Unternehmen ausschließlich oder überwiegend als Instrument zur Umgehung der arbeitsrechtlichen Verpflichtungen der Plattform fungierten und wenn sie den Arbeitnehmern bei der Schließung Zahlungen, Beiträge oder Entschädigungen schuldete. </w:t>
      </w:r>
      <w:r>
        <w:t xml:space="preserve">Die </w:t>
      </w:r>
      <w:r w:rsidR="00A25A76">
        <w:t xml:space="preserve">gesamtschuldnerische </w:t>
      </w:r>
      <w:r>
        <w:t xml:space="preserve">Haftung der Plattform muss in solchen Fällen bedingungslos sein. Wir empfehlen, im Gesetz die Vermutung einzuführen, dass die Plattform von den Handlungen des Strohunternehmens Kenntnis hatte, wenn sie mit diesem </w:t>
      </w:r>
      <w:r w:rsidR="00583744">
        <w:t xml:space="preserve">ein Vertragsverhältnis </w:t>
      </w:r>
      <w:r>
        <w:t xml:space="preserve">von mehr </w:t>
      </w:r>
      <w:r w:rsidR="00583744">
        <w:t xml:space="preserve">als drei Monaten </w:t>
      </w:r>
      <w:r w:rsidR="00583744">
        <w:t xml:space="preserve">unterhielt</w:t>
      </w:r>
      <w:r>
        <w:t xml:space="preserve">.</w:t>
      </w:r>
    </w:p>
    <w:p w:rsidR="00583744" w:rsidP="00750824" w:rsidRDefault="00583744" w14:paraId="37A93A4C" w14:textId="77777777">
      <w:pPr>
        <w:jc w:val="both"/>
      </w:pPr>
    </w:p>
    <w:p w:rsidR="00583744" w:rsidP="00750824" w:rsidRDefault="00000000" w14:paraId="081FCAED" w14:textId="3430469E">
      <w:pPr>
        <w:pStyle w:val="Blokbesedila"/>
      </w:pPr>
      <w:r>
        <w:rPr>
          <w:b/>
          <w:bCs/>
        </w:rPr>
        <w:t xml:space="preserve">Hintergrund: </w:t>
      </w:r>
      <w:r>
        <w:t xml:space="preserve">Die Erfahrungen in Spanien nach dem Lieferdienstgesetz von 2021 belegen, wie Plattformen nach Einführung der Regulierung systematisch Scheinfirmen gegründet haben, die die Rolle des formellen Arbeitgebers übernahmen. Wenn diese Unternehmen ihre Türen schließen, bleiben die Arbeitnehmer ohne Bezahlung und ohne verantwortliche Stelle zurück. Die spanischen Behörden haben in einigen Fällen Strafverfahren gegen die Geschäftsführer solcher Unternehmen eingeleitet. Eine Analyse von 91 Plattformen zeigt, dass dieses Muster in mindestens 41 Fällen vorliegt.</w:t>
      </w:r>
    </w:p>
    <w:p w:rsidR="00D90A18" w:rsidP="00750824" w:rsidRDefault="00000000" w14:paraId="360D6B61" w14:textId="3B11EE6B">
      <w:pPr>
        <w:pStyle w:val="Naslov3"/>
        <w:jc w:val="both"/>
      </w:pPr>
      <w:r>
        <w:t xml:space="preserve">Empfehlung 7.6 [ÜBERTRIFFT DAS MINIMUM]: Grenzüberschreitende Sperrung der App über DSA und ELA bei systemischen Verstößen</w:t>
      </w:r>
    </w:p>
    <w:p w:rsidR="00D90A18" w:rsidP="00750824" w:rsidRDefault="00000000" w14:paraId="3BDD30EC" w14:textId="462A1AE6">
      <w:pPr>
        <w:jc w:val="both"/>
      </w:pPr>
      <w:r>
        <w:t xml:space="preserve">Die Ministerien sollten ein formelles Protokoll für die grenzüberschreitende Benachrichtigung über die Europäische Arbeitsagentur (ELA) und das IMI-System (</w:t>
      </w:r>
      <w:r>
        <w:t xml:space="preserve">Internal </w:t>
      </w:r>
      <w:r>
        <w:t xml:space="preserve">Market </w:t>
      </w:r>
      <w:r>
        <w:t xml:space="preserve">Information </w:t>
      </w:r>
      <w:r>
        <w:t xml:space="preserve">System</w:t>
      </w:r>
      <w:r>
        <w:t xml:space="preserve">) </w:t>
      </w:r>
      <w:r>
        <w:t xml:space="preserve">einrichten</w:t>
      </w:r>
      <w:r>
        <w:t xml:space="preserve">, wenn eine zuständige nationale Behörde einen schwerwiegenden oder systemischen Verstoß gegen die Richtlinie durch eine Plattform feststellt. Auf der Grundlage dieses Protokolls koordiniert die ELA gemeinsame Inspektionen und schlägt abgestimmte Maßnahmen vor. Bei systemischen Verstößen</w:t>
      </w:r>
      <w:r w:rsidR="00B357A5">
        <w:t xml:space="preserve">, </w:t>
      </w:r>
      <w:r>
        <w:t xml:space="preserve">die sich in mehreren Mitgliedstaaten wiederholen</w:t>
      </w:r>
      <w:r w:rsidR="00B357A5">
        <w:t xml:space="preserve">, </w:t>
      </w:r>
      <w:r>
        <w:t xml:space="preserve">sammelt die ELA Unterlagen und erstattet </w:t>
      </w:r>
      <w:r>
        <w:t xml:space="preserve">der</w:t>
      </w:r>
      <w:r w:rsidR="00B357A5">
        <w:t xml:space="preserve"> Europäischen </w:t>
      </w:r>
      <w:r>
        <w:t xml:space="preserve">Kommission </w:t>
      </w:r>
      <w:r>
        <w:t xml:space="preserve">Bericht</w:t>
      </w:r>
      <w:r>
        <w:t xml:space="preserve">, die ein Verfahren zur Feststellung von Verstößen gegen das EU-Recht gegen diejenigen Mitgliedstaaten einleiten kann, die die Richtlinie nicht umsetzen. Eine Plattform, bei der systemische Verstöße festgestellt wurden, wird gemäß der Richtlinie 2014/24/EU (Artikel 57) von öffentlichen Aufträgen in der EU ausgeschlossen. Eine Beschwerde gegen Geldbußen hat keine aufschiebende Wirkung; eine Beschwerde gegen ein Tätigkeitsverbot hat aufschiebende Wirkung bis zur Entscheidung der Beschwerdeinstanz.</w:t>
      </w:r>
    </w:p>
    <w:p w:rsidR="00B357A5" w:rsidP="00750824" w:rsidRDefault="00B357A5" w14:paraId="0F065822" w14:textId="77777777">
      <w:pPr>
        <w:jc w:val="both"/>
      </w:pPr>
    </w:p>
    <w:p w:rsidR="00D90A18" w:rsidP="00750824" w:rsidRDefault="00000000" w14:paraId="2FAA9F8F" w14:textId="33AF4758">
      <w:pPr>
        <w:pStyle w:val="Blokbesedila"/>
      </w:pPr>
      <w:r>
        <w:lastRenderedPageBreak/>
      </w:r>
      <w:r>
        <w:t xml:space="preserve">Hintergrund: Das SDDP-Protokoll (1. Säule, überarbeitet) sieht eine Koordinierung über ELA und IMI sowie den Ausschluss von öffentlichen Aufträgen bei systemischen Verstößen vor. Die DSA (Verordnung über digitale Dienste) regelt rechtswidrige Online-Inhalte </w:t>
      </w:r>
      <w:r w:rsidR="00D7386B">
        <w:t xml:space="preserve">– </w:t>
      </w:r>
      <w:r>
        <w:t xml:space="preserve">nicht arbeitsrechtliche Streitigkeiten </w:t>
      </w:r>
      <w:r w:rsidR="00D7386B">
        <w:t xml:space="preserve">– </w:t>
      </w:r>
      <w:r>
        <w:t xml:space="preserve">und bildet keine Rechtsgrundlage für die Sperrung von Anwendungen aufgrund von Verstößen gegen das Arbeitsrecht. Artikel 24 Absatz 4 der Richtlinie schafft einen Rahmen für die grenzüberschreitende Zusammenarbeit; die Richtlinie 2014/24/EU (Artikel 57) lässt den Ausschluss von öffentlichen Aufträgen bei schwerwiegenden Rechtsverstößen zu. Dies ist eine realistische und rechtlich tragfähige Kombination.</w:t>
      </w:r>
    </w:p>
    <w:p w:rsidR="00D90A18" w:rsidP="00750824" w:rsidRDefault="00D90A18" w14:paraId="3FB7F1EA" w14:textId="77777777">
      <w:pPr>
        <w:jc w:val="both"/>
        <w:rPr>
          <w:b/>
          <w:bCs/>
        </w:rPr>
      </w:pPr>
    </w:p>
    <w:p w:rsidR="00983F19" w:rsidP="00750824" w:rsidRDefault="00000000" w14:paraId="0EC863FF" w14:textId="77777777">
      <w:pPr>
        <w:jc w:val="both"/>
      </w:pPr>
      <w:r>
        <w:rPr>
          <w:b/>
          <w:bCs/>
        </w:rPr>
        <w:t xml:space="preserve">Anmerkung zur Umsetzung</w:t>
      </w:r>
    </w:p>
    <w:p w:rsidR="00983F19" w:rsidP="00750824" w:rsidRDefault="00000000" w14:paraId="38B0D3C7" w14:textId="14DDC68A">
      <w:pPr>
        <w:jc w:val="both"/>
      </w:pPr>
      <w:r>
        <w:rPr>
          <w:i/>
          <w:iCs/>
        </w:rPr>
        <w:t xml:space="preserve">Die Umsetzung der Richtlinie ist eine Kette: Zwei Artikel sind besonders schwach. Kollektivverfahren ohne abschreckende Sanktionen lösen das Problem nicht </w:t>
      </w:r>
      <w:r w:rsidR="00D7386B">
        <w:rPr>
          <w:i/>
          <w:iCs/>
        </w:rPr>
        <w:t xml:space="preserve">– </w:t>
      </w:r>
      <w:r>
        <w:rPr>
          <w:i/>
          <w:iCs/>
        </w:rPr>
        <w:t xml:space="preserve">die Plattformen werden zwar einzelne Rechtsstreitigkeiten verlieren, aber ihre systematische Praxis fortsetzen, solange dies finanziell vorteilhafter ist als die Einhaltung </w:t>
      </w:r>
      <w:r w:rsidR="00B357A5">
        <w:rPr>
          <w:i/>
          <w:iCs/>
        </w:rPr>
        <w:t xml:space="preserve">der Rechtsvorschriften</w:t>
      </w:r>
      <w:r>
        <w:rPr>
          <w:i/>
          <w:iCs/>
        </w:rPr>
        <w:t xml:space="preserve">. Abschreckende Sanktionen ohne kollektive Verfahren lösen das Problem nicht </w:t>
      </w:r>
      <w:r w:rsidR="00D7386B">
        <w:rPr>
          <w:i/>
          <w:iCs/>
        </w:rPr>
        <w:t xml:space="preserve">– </w:t>
      </w:r>
      <w:r>
        <w:rPr>
          <w:i/>
          <w:iCs/>
        </w:rPr>
        <w:t xml:space="preserve">Arbeitnehmer werden keine Verfahren einleiten, die sie sich nicht leisten können. Beide Elemente sind gleichzeitig erforderlich. Eine dritte notwendige Voraussetzung </w:t>
      </w:r>
      <w:r w:rsidR="00B357A5">
        <w:rPr>
          <w:i/>
          <w:iCs/>
        </w:rPr>
        <w:t xml:space="preserve">sind </w:t>
      </w:r>
      <w:r w:rsidR="00B357A5">
        <w:rPr>
          <w:i/>
          <w:iCs/>
        </w:rPr>
        <w:t xml:space="preserve">ausreichend </w:t>
      </w:r>
      <w:r>
        <w:rPr>
          <w:i/>
          <w:iCs/>
        </w:rPr>
        <w:t xml:space="preserve">finanzierte und qualifizierte </w:t>
      </w:r>
      <w:r w:rsidR="00B357A5">
        <w:rPr>
          <w:i/>
          <w:iCs/>
        </w:rPr>
        <w:t xml:space="preserve">Aufsichtsbehörden</w:t>
      </w:r>
      <w:r>
        <w:rPr>
          <w:i/>
          <w:iCs/>
        </w:rPr>
        <w:t xml:space="preserve">.</w:t>
      </w:r>
    </w:p>
    <w:p w:rsidR="00750824" w:rsidRDefault="00750824" w14:paraId="6F777EB7" w14:textId="77777777">
      <w:pPr>
        <w:rPr>
          <w:b/>
          <w:bCs/>
          <w:color w:val="1F3864"/>
          <w:sz w:val="36"/>
          <w:szCs w:val="36"/>
        </w:rPr>
      </w:pPr>
      <w:bookmarkStart w:name="X01c0a85e2beae09c886a0133721a09d77e9ac5a" w:id="67"/>
      <w:bookmarkEnd w:id="59"/>
      <w:bookmarkEnd w:id="66"/>
      <w:r>
        <w:br w:type="page"/>
      </w:r>
    </w:p>
    <w:p w:rsidR="00983F19" w:rsidP="00750824" w:rsidRDefault="00000000" w14:paraId="72B93E39" w14:textId="39F4629A">
      <w:pPr>
        <w:pStyle w:val="Naslov1"/>
        <w:jc w:val="both"/>
      </w:pPr>
      <w:bookmarkStart w:name="_Toc233699504" w:id="68"/>
      <w:r>
        <w:lastRenderedPageBreak/>
      </w:r>
      <w:r>
        <w:t xml:space="preserve">Kapitel 8: Eine breitere Anwendung der Richtlinie über die Grenzen </w:t>
      </w:r>
      <w:r>
        <w:t xml:space="preserve">der Plattformarbeit </w:t>
      </w:r>
      <w:r>
        <w:t xml:space="preserve">hinaus</w:t>
      </w:r>
      <w:bookmarkEnd w:id="68"/>
    </w:p>
    <w:p w:rsidR="00983F19" w:rsidP="00750824" w:rsidRDefault="00000000" w14:paraId="4795151B" w14:textId="602D88D5">
      <w:pPr>
        <w:jc w:val="both"/>
      </w:pPr>
      <w:r>
        <w:t xml:space="preserve">Die EU-Richtlinie 2024/2831 wurde als Reaktion auf </w:t>
      </w:r>
      <w:r>
        <w:t xml:space="preserve">die Plattformwirtschaft</w:t>
      </w:r>
      <w:r>
        <w:t xml:space="preserve"> verabschiedet</w:t>
      </w:r>
      <w:r w:rsidR="00E923E8">
        <w:t xml:space="preserve">, </w:t>
      </w:r>
      <w:r>
        <w:t xml:space="preserve">doch </w:t>
      </w:r>
      <w:r w:rsidR="00E923E8">
        <w:t xml:space="preserve">die Probleme</w:t>
      </w:r>
      <w:r>
        <w:t xml:space="preserve">, die sie angeht, sind nicht </w:t>
      </w:r>
      <w:r w:rsidR="00E923E8">
        <w:t xml:space="preserve">spezifisch </w:t>
      </w:r>
      <w:r>
        <w:t xml:space="preserve">für </w:t>
      </w:r>
      <w:r>
        <w:t xml:space="preserve">Uber </w:t>
      </w:r>
      <w:r>
        <w:t xml:space="preserve">oder </w:t>
      </w:r>
      <w:r>
        <w:t xml:space="preserve">Wolt</w:t>
      </w:r>
      <w:r>
        <w:t xml:space="preserve">. Scheinselbstständigkeit, </w:t>
      </w:r>
      <w:r>
        <w:t xml:space="preserve">Unterauftragnehmerketten zur Umgehung arbeitsrechtlicher Verpflichtungen und algorithmisches Management (AM) haben sich bei </w:t>
      </w:r>
      <w:r>
        <w:t xml:space="preserve">der Plattformarbeit </w:t>
      </w:r>
      <w:r w:rsidR="00E923E8">
        <w:t xml:space="preserve">lediglich </w:t>
      </w:r>
      <w:r>
        <w:t xml:space="preserve">in </w:t>
      </w:r>
      <w:r>
        <w:t xml:space="preserve">ihrer</w:t>
      </w:r>
      <w:r w:rsidR="00E923E8">
        <w:t xml:space="preserve"> offensichtlichsten </w:t>
      </w:r>
      <w:r>
        <w:t xml:space="preserve">Form </w:t>
      </w:r>
      <w:r>
        <w:t xml:space="preserve">gezeigt</w:t>
      </w:r>
      <w:r>
        <w:t xml:space="preserve">. In Branchen wie Logistik und Lieferwesen sind </w:t>
      </w:r>
      <w:r w:rsidR="00E923E8">
        <w:t xml:space="preserve">ähnliche </w:t>
      </w:r>
      <w:r>
        <w:t xml:space="preserve">Muster vorhanden, nur ohne dass eine App im Vordergrund steht. Die Richtlinie ist daher nicht nur eine sektorale Vorschrift </w:t>
      </w:r>
      <w:r w:rsidR="00D7386B">
        <w:t xml:space="preserve">– </w:t>
      </w:r>
      <w:r>
        <w:t xml:space="preserve">sie ist ein Prototyp für eine umfassendere Reform des Arbeitsrechts im digitalen Zeitalter.</w:t>
      </w:r>
    </w:p>
    <w:p w:rsidR="00983F19" w:rsidP="00750824" w:rsidRDefault="00000000" w14:paraId="3D578526" w14:textId="77777777">
      <w:pPr>
        <w:pStyle w:val="Naslov2"/>
        <w:jc w:val="both"/>
      </w:pPr>
      <w:bookmarkStart w:name="_Toc233699505" w:id="69"/>
      <w:bookmarkStart w:name="X09750c65b21f891164a18d50f383bfaf4ab216f" w:id="70"/>
      <w:r>
        <w:t xml:space="preserve">8.1 Was die Richtlinie über </w:t>
      </w:r>
      <w:r>
        <w:t xml:space="preserve">die Plattformarbeit </w:t>
      </w:r>
      <w:r>
        <w:t xml:space="preserve">hinaus zulässt</w:t>
      </w:r>
      <w:bookmarkEnd w:id="69"/>
    </w:p>
    <w:p w:rsidR="00983F19" w:rsidP="00750824" w:rsidRDefault="00000000" w14:paraId="619BE290" w14:textId="77777777">
      <w:pPr>
        <w:jc w:val="both"/>
      </w:pPr>
      <w:r>
        <w:t xml:space="preserve">Artikel 26 Absatz 2 der Richtlinie ist eine ausdrückliche Aufforderung zu einer ehrgeizigeren Umsetzung. Die Richtlinie berührt nicht das Recht der Mitgliedstaaten, im Einklang mit den Zielen der Richtlinie Gesetze anzuwenden oder einzuführen, die für </w:t>
      </w:r>
      <w:r>
        <w:t xml:space="preserve">Plattformarbeiter günstiger </w:t>
      </w:r>
      <w:r>
        <w:t xml:space="preserve">sind</w:t>
      </w:r>
      <w:r>
        <w:t xml:space="preserve">, oder Tarifverträge zu fördern, die über die Mindestanforderungen hinausgehen. Die Richtlinie legt ein Mindestmaß fest, keine Obergrenze.</w:t>
      </w:r>
      <w:r>
        <w:rPr>
          <w:rStyle w:val="Sprotnaopomba-sklic"/>
        </w:rPr>
        <w:footnoteReference w:id="6"/>
      </w:r>
    </w:p>
    <w:p w:rsidR="00D90A18" w:rsidP="00750824" w:rsidRDefault="00D90A18" w14:paraId="344F8D66" w14:textId="77777777">
      <w:pPr>
        <w:jc w:val="both"/>
      </w:pPr>
    </w:p>
    <w:p w:rsidR="00983F19" w:rsidP="00750824" w:rsidRDefault="00000000" w14:paraId="6AF048C9" w14:textId="3A4CC47E">
      <w:pPr>
        <w:jc w:val="both"/>
      </w:pPr>
      <w:r>
        <w:t xml:space="preserve">Artikel 25 verpflichtet die Mitgliedstaaten, die Rolle der Sozialpartner aktiv zu fördern und das Recht auf Tarifverhandlungen im </w:t>
      </w:r>
      <w:r>
        <w:t xml:space="preserve">Bereich der Plattformarbeit</w:t>
      </w:r>
      <w:r>
        <w:t xml:space="preserve"> durchzusetzen </w:t>
      </w:r>
      <w:r w:rsidR="00D7386B">
        <w:t xml:space="preserve">– </w:t>
      </w:r>
      <w:r>
        <w:t xml:space="preserve">einschließlich der Festlegung des korrekten Beschäftigungsstatus und der Durchsetzung von Rechten im Zusammenhang mit algorithmischem Management (AM) sowie Systemen der künstlichen Intelligenz (</w:t>
      </w:r>
      <w:r>
        <w:t xml:space="preserve">Artificial </w:t>
      </w:r>
      <w:r>
        <w:t xml:space="preserve">Intelligence</w:t>
      </w:r>
      <w:r>
        <w:t xml:space="preserve">, AI). Eine Expertengruppe der Europäischen Kommission hat bestätigt, dass diese Maßnahmen nicht </w:t>
      </w:r>
      <w:r>
        <w:t xml:space="preserve">in separaten Rechtsvorschriften verankert werden</w:t>
      </w:r>
      <w:r w:rsidR="00D17094">
        <w:t xml:space="preserve"> müssen </w:t>
      </w:r>
      <w:r w:rsidR="00D7386B">
        <w:t xml:space="preserve">– </w:t>
      </w:r>
      <w:r>
        <w:t xml:space="preserve">es reicht aus, wenn sie Teil umfassenderer politischer Strategien oder Aktionspläne sind.</w:t>
      </w:r>
    </w:p>
    <w:p w:rsidR="00D17094" w:rsidP="00750824" w:rsidRDefault="00D17094" w14:paraId="35B312B6" w14:textId="77777777">
      <w:pPr>
        <w:jc w:val="both"/>
      </w:pPr>
    </w:p>
    <w:p w:rsidR="00983F19" w:rsidP="00750824" w:rsidRDefault="00000000" w14:paraId="1F2532D8" w14:textId="26D37833">
      <w:pPr>
        <w:jc w:val="both"/>
      </w:pPr>
      <w:r>
        <w:t xml:space="preserve">Das zentrale Argument für eine Ausweitung der Richtlinie über </w:t>
      </w:r>
      <w:r>
        <w:t xml:space="preserve">die Plattformarbeit</w:t>
      </w:r>
      <w:r>
        <w:t xml:space="preserve"> hinaus </w:t>
      </w:r>
      <w:r>
        <w:t xml:space="preserve">ergibt sich aus der Natur des Problems selbst: Plattformen sind </w:t>
      </w:r>
      <w:r w:rsidR="00D17094">
        <w:t xml:space="preserve">nur </w:t>
      </w:r>
      <w:r>
        <w:t xml:space="preserve">zum sichtbarsten, aber nicht zum einzigen Beispiel </w:t>
      </w:r>
      <w:r>
        <w:t xml:space="preserve">für Unterauftragsketten </w:t>
      </w:r>
      <w:r>
        <w:t xml:space="preserve">geworden</w:t>
      </w:r>
      <w:r>
        <w:t xml:space="preserve">, bei denen unklar ist, wer tatsächlich der Arbeitgeber ist und wer die Verantwortung für </w:t>
      </w:r>
      <w:r w:rsidR="00D17094">
        <w:t xml:space="preserve">die Gewährleistung der Arbeits- und Sozialrechte der Arbeitnehmer </w:t>
      </w:r>
      <w:r>
        <w:t xml:space="preserve">trägt</w:t>
      </w:r>
      <w:r>
        <w:t xml:space="preserve">. </w:t>
      </w:r>
      <w:r w:rsidR="00D17094">
        <w:t xml:space="preserve">Algorithmisches Management wird nicht nur von Plattformen genutzt, sondern </w:t>
      </w:r>
      <w:r>
        <w:t xml:space="preserve">kommt </w:t>
      </w:r>
      <w:r w:rsidR="00D17094">
        <w:t xml:space="preserve">auch </w:t>
      </w:r>
      <w:r>
        <w:t xml:space="preserve">in Lagerhäusern</w:t>
      </w:r>
      <w:r w:rsidR="00D17094">
        <w:t xml:space="preserve">, </w:t>
      </w:r>
      <w:r>
        <w:t xml:space="preserve">Callcentern </w:t>
      </w:r>
      <w:r w:rsidR="00D17094">
        <w:t xml:space="preserve">und anderswo </w:t>
      </w:r>
      <w:r>
        <w:t xml:space="preserve">zum Einsatz</w:t>
      </w:r>
      <w:r>
        <w:t xml:space="preserve">.</w:t>
      </w:r>
    </w:p>
    <w:p w:rsidR="00983F19" w:rsidP="00750824" w:rsidRDefault="00000000" w14:paraId="711C4AA1" w14:textId="77777777">
      <w:pPr>
        <w:pStyle w:val="Naslov2"/>
        <w:jc w:val="both"/>
      </w:pPr>
      <w:bookmarkStart w:name="_Toc233699506" w:id="71"/>
      <w:bookmarkStart w:name="ugotovitve-iz-prakse-5" w:id="72"/>
      <w:bookmarkEnd w:id="70"/>
      <w:r>
        <w:t xml:space="preserve">8.2 Erkenntnisse aus der Praxis</w:t>
      </w:r>
      <w:bookmarkEnd w:id="71"/>
    </w:p>
    <w:p w:rsidR="00983F19" w:rsidP="00750824" w:rsidRDefault="00000000" w14:paraId="6567EB3C" w14:textId="583FA04F">
      <w:pPr>
        <w:jc w:val="both"/>
      </w:pPr>
      <w:r>
        <w:rPr>
          <w:b/>
          <w:bCs/>
        </w:rPr>
        <w:t xml:space="preserve">Subunternehmerketten und die Verschleierung der Arbeitgeberverantwortung. </w:t>
      </w:r>
      <w:r>
        <w:t xml:space="preserve">Der Beitrag zum SDDP-Projekt über die Vermittlung von </w:t>
      </w:r>
      <w:r>
        <w:t xml:space="preserve">Plattformarbeit dokumentiert, dass bei fast der Hälfte der analysierten Plattformen (siehe Kapitel 2) </w:t>
      </w:r>
      <w:r>
        <w:t xml:space="preserve">Subunternehmerketten keine Ausnahme, sondern ein struktureller Bestandteil </w:t>
      </w:r>
      <w:r w:rsidR="000F63BC">
        <w:t xml:space="preserve">ihres </w:t>
      </w:r>
      <w:r>
        <w:t xml:space="preserve">Geschäftsmodells </w:t>
      </w:r>
      <w:r>
        <w:t xml:space="preserve">sind</w:t>
      </w:r>
      <w:r>
        <w:t xml:space="preserve">. Das Problem beschränkt sich nicht auf Plattformen: In Deutschland waren die Vermittlerketten in der fleischverarbeitenden Industrie so verflochten, dass nicht festgestellt werden konnte, wer tatsächlich der Arbeitgeber ist und wer die rechtliche Verantwortung für </w:t>
      </w:r>
      <w:r>
        <w:t xml:space="preserve">die Arbeitnehmerrechte</w:t>
      </w:r>
      <w:r>
        <w:t xml:space="preserve"> trägt</w:t>
      </w:r>
      <w:r>
        <w:t xml:space="preserve">. </w:t>
      </w:r>
      <w:r w:rsidR="000F63BC">
        <w:t xml:space="preserve">Als Reaktion auf die systematische Verschleierung der Arbeitgeberverantwortung </w:t>
      </w:r>
      <w:r>
        <w:t xml:space="preserve">führte</w:t>
      </w:r>
      <w:r>
        <w:t xml:space="preserve"> Deutschland im Jahr 2021 </w:t>
      </w:r>
      <w:r>
        <w:t xml:space="preserve">in diesem Sektor die Verpflichtung zur direkten Beschäftigung ein.</w:t>
      </w:r>
      <w:r>
        <w:rPr>
          <w:rStyle w:val="Sprotnaopomba-sklic"/>
        </w:rPr>
        <w:footnoteReference w:id="7"/>
      </w:r>
    </w:p>
    <w:p w:rsidR="00D90A18" w:rsidP="00750824" w:rsidRDefault="00D90A18" w14:paraId="5EB85A9A" w14:textId="77777777">
      <w:pPr>
        <w:jc w:val="both"/>
      </w:pPr>
    </w:p>
    <w:p w:rsidR="00983F19" w:rsidP="00750824" w:rsidRDefault="00000000" w14:paraId="61789ECF" w14:textId="385552FF">
      <w:pPr>
        <w:jc w:val="both"/>
      </w:pPr>
      <w:r>
        <w:rPr>
          <w:b/>
          <w:bCs/>
        </w:rPr>
        <w:lastRenderedPageBreak/>
      </w:r>
      <w:r>
        <w:rPr>
          <w:b/>
          <w:bCs/>
        </w:rPr>
        <w:t xml:space="preserve">Algorithmisches Management in Lagerhäusern und Callcentern. </w:t>
      </w:r>
      <w:r>
        <w:t xml:space="preserve">Der österreichische Beitrag zum SDDP-Projekt dokumentiert, dass algorithmisches Management nicht auf Plattformen beschränkt ist: Systeme zur Produktivitätsmessung, algorithmische Arbeitsverteilung und automatische Sanktionen bei Abweichungen von der Norm kommen </w:t>
      </w:r>
      <w:r w:rsidR="000F63BC">
        <w:t xml:space="preserve">auch </w:t>
      </w:r>
      <w:r>
        <w:t xml:space="preserve">in Lagerhäusern und Callcentern </w:t>
      </w:r>
      <w:r>
        <w:t xml:space="preserve">zum Einsatz</w:t>
      </w:r>
      <w:r>
        <w:t xml:space="preserve">. Die Richtlinie regelt diese Praktiken bei Plattformen, nicht jedoch bei allen anderen Arbeitgebern</w:t>
      </w:r>
      <w:r w:rsidR="000F63BC">
        <w:t xml:space="preserve">, </w:t>
      </w:r>
      <w:r>
        <w:t xml:space="preserve">was zu einer Asymmetrie zwischen den Sektoren führt.</w:t>
      </w:r>
    </w:p>
    <w:p w:rsidR="00D90A18" w:rsidP="00750824" w:rsidRDefault="00D90A18" w14:paraId="6B71555F" w14:textId="77777777">
      <w:pPr>
        <w:jc w:val="both"/>
      </w:pPr>
    </w:p>
    <w:p w:rsidR="00983F19" w:rsidP="00750824" w:rsidRDefault="00000000" w14:paraId="75E5061C" w14:textId="4B833C24">
      <w:pPr>
        <w:jc w:val="both"/>
      </w:pPr>
      <w:r>
        <w:rPr>
          <w:b/>
          <w:bCs/>
        </w:rPr>
        <w:t xml:space="preserve">Scheinselbstständigkeit jenseits der Plattformen. </w:t>
      </w:r>
      <w:r>
        <w:t xml:space="preserve">Der ZSSS stellt in seinen Leitlinien zur Umsetzung der Richtlinie (April 2025) fest, dass Scheinselbstständigkeit in der Republik Slowenien weit über </w:t>
      </w:r>
      <w:r>
        <w:t xml:space="preserve">die Plattformarbeit</w:t>
      </w:r>
      <w:r>
        <w:t xml:space="preserve"> hinaus verbreitet ist</w:t>
      </w:r>
      <w:r>
        <w:t xml:space="preserve">. Der ZSSS schlägt vor, für Slowenien den Grundsatz einzuführen, wonach jede Arbeit als im Rahmen eines Arbeitsverhältnisses </w:t>
      </w:r>
      <w:r w:rsidR="00615F18">
        <w:t xml:space="preserve">bzw. einer Beschäftigung </w:t>
      </w:r>
      <w:r>
        <w:t xml:space="preserve">erbracht gilt</w:t>
      </w:r>
      <w:r>
        <w:t xml:space="preserve">, es sei denn, der Arbeitgeber weist im Voraus das Gegenteil nach. In diesem Zusammenhang schlägt die ZSSS die Einrichtung eines Registers vor, in dem alle Fälle atypischer Arbeitsformen zusammen mit den Gründen für deren Anwendung erfasst werden.</w:t>
      </w:r>
    </w:p>
    <w:p w:rsidR="00D90A18" w:rsidP="00750824" w:rsidRDefault="00D90A18" w14:paraId="6E284FE3" w14:textId="77777777">
      <w:pPr>
        <w:jc w:val="both"/>
      </w:pPr>
    </w:p>
    <w:p w:rsidR="00D90A18" w:rsidP="00750824" w:rsidRDefault="00000000" w14:paraId="1B8DB113" w14:textId="7EA14F35">
      <w:pPr>
        <w:jc w:val="both"/>
      </w:pPr>
      <w:r>
        <w:rPr>
          <w:b/>
          <w:bCs/>
        </w:rPr>
        <w:t xml:space="preserve">Ein Tarifvertrag ohne AM-Regelung bietet keinen ausreichenden Schutz. </w:t>
      </w:r>
      <w:r>
        <w:t xml:space="preserve">Zwei Beispiele aus Partnerländern belegen dies eindrucksvoll. Der österreichische Tarifvertrag für Lieferfahrer (</w:t>
      </w:r>
      <w:r>
        <w:t xml:space="preserve">Gewerkschaft </w:t>
      </w:r>
      <w:r>
        <w:t xml:space="preserve">vida, gültig von 2023 bis 2025) regelte </w:t>
      </w:r>
      <w:r w:rsidR="001E67F7">
        <w:t xml:space="preserve">Fragen zu Lohn</w:t>
      </w:r>
      <w:r>
        <w:t xml:space="preserve">, </w:t>
      </w:r>
      <w:r w:rsidR="001E67F7">
        <w:t xml:space="preserve">Arbeitszeit </w:t>
      </w:r>
      <w:r>
        <w:t xml:space="preserve">und </w:t>
      </w:r>
      <w:r w:rsidR="001E67F7">
        <w:t xml:space="preserve">Kostenerstattung, </w:t>
      </w:r>
      <w:r>
        <w:t xml:space="preserve">ging </w:t>
      </w:r>
      <w:r w:rsidR="001E67F7">
        <w:t xml:space="preserve">jedoch </w:t>
      </w:r>
      <w:r>
        <w:t xml:space="preserve">nicht auf </w:t>
      </w:r>
      <w:r>
        <w:t xml:space="preserve">das Thema </w:t>
      </w:r>
      <w:r>
        <w:t xml:space="preserve">algorithmisches Management </w:t>
      </w:r>
      <w:r>
        <w:t xml:space="preserve">ein. Die Gewerkschaft kündigte den Vertrag im Juni 2025. Der italienische Tarifvertrag für </w:t>
      </w:r>
      <w:r>
        <w:t xml:space="preserve">Just-Eat-Takeaway-/Scoober-Lieferfahrer </w:t>
      </w:r>
      <w:r>
        <w:t xml:space="preserve">(gültig von Januar 2025 bis Dezember 2027) geht einen Schritt weiter: Die Lieferfahrer sind </w:t>
      </w:r>
      <w:r w:rsidR="00615F18">
        <w:t xml:space="preserve">fest angestellt, </w:t>
      </w:r>
      <w:r>
        <w:t xml:space="preserve">der Vertrag verweist auf </w:t>
      </w:r>
      <w:r w:rsidR="001E67F7">
        <w:t xml:space="preserve">den</w:t>
      </w:r>
      <w:r>
        <w:t xml:space="preserve"> nationalen </w:t>
      </w:r>
      <w:r w:rsidR="001E67F7">
        <w:t xml:space="preserve">Tarifvertrag </w:t>
      </w:r>
      <w:r>
        <w:t xml:space="preserve">für Logistik und Transport (CCNL </w:t>
      </w:r>
      <w:r>
        <w:t xml:space="preserve">Logistics</w:t>
      </w:r>
      <w:r>
        <w:t xml:space="preserve">). </w:t>
      </w:r>
    </w:p>
    <w:p w:rsidR="00D90A18" w:rsidP="00750824" w:rsidRDefault="00D90A18" w14:paraId="25CEF840" w14:textId="77777777">
      <w:pPr>
        <w:jc w:val="both"/>
      </w:pPr>
    </w:p>
    <w:p w:rsidR="00983F19" w:rsidP="00750824" w:rsidRDefault="00000000" w14:paraId="10167AA2" w14:textId="5AD59B41">
      <w:pPr>
        <w:jc w:val="both"/>
      </w:pPr>
      <w:r>
        <w:t xml:space="preserve">Dennoch enthält der Vertrag keine Bestimmungen zur Transparenz algorithmischer Parameter, obwohl </w:t>
      </w:r>
      <w:r w:rsidR="001E67F7">
        <w:t xml:space="preserve">der Leistungsbonus </w:t>
      </w:r>
      <w:r>
        <w:t xml:space="preserve">(PDR) von algorithmischen Kriterien abhängt </w:t>
      </w:r>
      <w:r w:rsidR="00D7386B">
        <w:t xml:space="preserve">– </w:t>
      </w:r>
      <w:r>
        <w:t xml:space="preserve">einer Anwesenheitsquote von über 93 % und einer Produktivität von über 1,85 Aufträgen pro Stunde </w:t>
      </w:r>
      <w:r w:rsidR="00D7386B">
        <w:t xml:space="preserve">– </w:t>
      </w:r>
      <w:r>
        <w:t xml:space="preserve">ohne jegliche Bestimmungen darüber, wie diese Kriterien berechnet werden und wer sie anfechten kann. Die gemeinsame Lehre aus beiden Fällen: Ein Tarifvertrag, der </w:t>
      </w:r>
      <w:r w:rsidR="001E67F7">
        <w:t xml:space="preserve">die algorithmische Steuerung (AM)</w:t>
      </w:r>
      <w:r>
        <w:t xml:space="preserve"> nicht regelt</w:t>
      </w:r>
      <w:r>
        <w:t xml:space="preserve">, gewährleistet keinen umfassenden Schutz in </w:t>
      </w:r>
      <w:r>
        <w:t xml:space="preserve">der Plattformwirtschaft.</w:t>
      </w:r>
      <w:r>
        <w:rPr>
          <w:rStyle w:val="Sprotnaopomba-sklic"/>
        </w:rPr>
        <w:footnoteReference w:id="8"/>
      </w:r>
      <w:r w:rsidR="00645F58">
        <w:t xml:space="preserve"> </w:t>
      </w:r>
      <w:r>
        <w:rPr>
          <w:rStyle w:val="Sprotnaopomba-sklic"/>
        </w:rPr>
        <w:footnoteReference w:id="9"/>
      </w:r>
    </w:p>
    <w:p w:rsidR="00D90A18" w:rsidP="00750824" w:rsidRDefault="00D90A18" w14:paraId="496B41FD" w14:textId="77777777">
      <w:pPr>
        <w:jc w:val="both"/>
      </w:pPr>
    </w:p>
    <w:p w:rsidR="00983F19" w:rsidP="00750824" w:rsidRDefault="00000000" w14:paraId="32CF5609" w14:textId="04E24715">
      <w:pPr>
        <w:jc w:val="both"/>
      </w:pPr>
      <w:r>
        <w:rPr>
          <w:b/>
          <w:bCs/>
        </w:rPr>
        <w:t xml:space="preserve">Vertraulichkeitsvereinbarungen als Druckmittel. </w:t>
      </w:r>
      <w:r>
        <w:t xml:space="preserve">Bei Verhandlungen mit </w:t>
      </w:r>
      <w:r>
        <w:t xml:space="preserve">Plattformunternehmen über Tarifverträge und bei Forderungen nach Daten zur algorithmischen Steuerung </w:t>
      </w:r>
      <w:r>
        <w:t xml:space="preserve">verlangen die Plattformen von den Gewerkschaften die Unterzeichnung einer Vertraulichkeitsvereinbarung (</w:t>
      </w:r>
      <w:r w:rsidR="00645F58">
        <w:t xml:space="preserve">„</w:t>
      </w:r>
      <w:r>
        <w:t xml:space="preserve">Non-Disclosure </w:t>
      </w:r>
      <w:r w:rsidR="00645F58">
        <w:t xml:space="preserve">Agreement“, </w:t>
      </w:r>
      <w:r>
        <w:t xml:space="preserve">NDA</w:t>
      </w:r>
      <w:r>
        <w:t xml:space="preserve">). Damit schränken sie die Gewerkschaften nicht nur in der öffentlichen Debatte ein, sondern schüchtern sie auch ein, Beschwerden einzureichen und Rechte geltend zu machen, die ihnen durch die Richtlinie ausdrücklich garantiert sind. Artikel 9 der Richtlinie erlegt den Plattformen die proaktive Verpflichtung auf, Gewerkschaftsvertreter über AM/KI-Systeme zu informieren </w:t>
      </w:r>
      <w:r w:rsidR="00D7386B">
        <w:t xml:space="preserve">– </w:t>
      </w:r>
      <w:r>
        <w:t xml:space="preserve">diese Verpflichtung darf nicht von der Unterzeichnung einer Vereinbarung abhängig gemacht werden. Artikel 22 der Richtlinie verbietet jegliches schädigende Verhalten gegenüber Personen und deren Vertretern, die die in der Richtlinie verankerten Rechte geltend machen.</w:t>
      </w:r>
    </w:p>
    <w:p w:rsidR="00D90A18" w:rsidP="00750824" w:rsidRDefault="00D90A18" w14:paraId="572469EA" w14:textId="77777777">
      <w:pPr>
        <w:jc w:val="both"/>
      </w:pPr>
    </w:p>
    <w:p w:rsidR="00983F19" w:rsidP="00750824" w:rsidRDefault="00000000" w14:paraId="2B001D43" w14:textId="74333029">
      <w:pPr>
        <w:jc w:val="both"/>
      </w:pPr>
      <w:r>
        <w:rPr>
          <w:b/>
          <w:bCs/>
        </w:rPr>
        <w:t xml:space="preserve">Vorteile von AM für Arbeitnehmer, nicht nur für Arbeitgeber. </w:t>
      </w:r>
      <w:r>
        <w:t xml:space="preserve">Der ZSSS weist in seinen Leitlinien darauf hin, dass die Einführung von AM und KI-Systemen auch den Arbeitnehmern Vorteile bringen muss </w:t>
      </w:r>
      <w:r w:rsidR="00D7386B">
        <w:t xml:space="preserve">– </w:t>
      </w:r>
      <w:r>
        <w:t xml:space="preserve">durch eine bessere Arbeitsorganisation, höhere Löhne, die Reduzierung sich wiederholender Aufgaben und die Möglichkeit einer Verkürzung </w:t>
      </w:r>
      <w:r>
        <w:t xml:space="preserve">der Arbeitszeit</w:t>
      </w:r>
      <w:r>
        <w:lastRenderedPageBreak/>
      </w:r>
      <w:r>
        <w:t xml:space="preserve"> . Eine Regulierung der automatisierten Fertigung, die sich ausschließlich auf die Überwachung beschränkt, ohne die Forderung nach einer gerechten Verteilung der Vorteile, reicht nicht aus.</w:t>
      </w:r>
    </w:p>
    <w:p w:rsidR="00983F19" w:rsidP="00750824" w:rsidRDefault="00000000" w14:paraId="3E6F525B" w14:textId="77777777">
      <w:pPr>
        <w:pStyle w:val="Naslov2"/>
        <w:jc w:val="both"/>
      </w:pPr>
      <w:bookmarkStart w:name="_Toc233699507" w:id="73"/>
      <w:bookmarkStart w:name="priporočila-5" w:id="74"/>
      <w:bookmarkEnd w:id="72"/>
      <w:r>
        <w:t xml:space="preserve">8.3 Empfehlungen</w:t>
      </w:r>
      <w:bookmarkEnd w:id="73"/>
    </w:p>
    <w:p w:rsidRPr="00D90A18" w:rsidR="00983F19" w:rsidP="00750824" w:rsidRDefault="00000000" w14:paraId="4FB73DAE" w14:textId="77777777">
      <w:pPr>
        <w:jc w:val="both"/>
        <w:rPr>
          <w:i/>
          <w:iCs/>
        </w:rPr>
      </w:pPr>
      <w:r>
        <w:rPr>
          <w:rStyle w:val="Poudarek"/>
        </w:rPr>
        <w:t xml:space="preserve">Die folgenden Empfehlungen richten sich an die Arbeitsministerien und die Sozialpartner aller EU-Mitgliedstaaten sowie an den EGB.</w:t>
      </w:r>
    </w:p>
    <w:p w:rsidRPr="00D90A18" w:rsidR="00983F19" w:rsidP="00750824" w:rsidRDefault="00000000" w14:paraId="44040075" w14:textId="77777777">
      <w:pPr>
        <w:pStyle w:val="Naslov3"/>
        <w:jc w:val="both"/>
      </w:pPr>
      <w:r>
        <w:t xml:space="preserve">Empfehlung 8.1 [ÜBERSTEIGT DAS MINIMUM]: Verbot des Missbrauchs von Vertraulichkeitsvereinbarungen gegenüber Gewerkschaftsvertretern</w:t>
      </w:r>
    </w:p>
    <w:p w:rsidR="00983F19" w:rsidP="00750824" w:rsidRDefault="00000000" w14:paraId="68926663" w14:textId="7D7DDDE1">
      <w:pPr>
        <w:jc w:val="both"/>
      </w:pPr>
      <w:r>
        <w:t xml:space="preserve">Die Forderung nach der Unterzeichnung einer Vertraulichkeitsvereinbarung als Voraussetzung für den Zugang zu Informationen, auf die Gewerkschaftsvertreter gemäß der Richtlinie bereits Anspruch haben, ist </w:t>
      </w:r>
      <w:r>
        <w:t xml:space="preserve">nach Artikel 22 der Richtlinie </w:t>
      </w:r>
      <w:r w:rsidR="00885168">
        <w:t xml:space="preserve">verboten</w:t>
      </w:r>
      <w:r>
        <w:t xml:space="preserve">.</w:t>
      </w:r>
    </w:p>
    <w:p w:rsidRPr="00D90A18" w:rsidR="00D90A18" w:rsidP="00750824" w:rsidRDefault="00D90A18" w14:paraId="536ED4A8" w14:textId="77777777">
      <w:pPr>
        <w:jc w:val="both"/>
      </w:pPr>
    </w:p>
    <w:p w:rsidR="00983F19" w:rsidP="00750824" w:rsidRDefault="00000000" w14:paraId="5DE11210" w14:textId="1875A5AC">
      <w:pPr>
        <w:jc w:val="both"/>
      </w:pPr>
      <w:r>
        <w:t xml:space="preserve">Die Ministerien </w:t>
      </w:r>
      <w:r w:rsidR="00885168">
        <w:t xml:space="preserve">sollten </w:t>
      </w:r>
      <w:r>
        <w:t xml:space="preserve">dieses Verbot im Umsetzungsgesetz konkretisieren: Eine Vertraulichkeitsvereinbarung darf die Gewerkschaft nicht daran hindern, Beschwerden einzureichen oder Informationen vor Gericht vorzulegen. Darüber hinaus sind alle Vertragsklauseln unwirksam, die es den Arbeitnehmern verbieten, Arbeitsbedingungen offenzulegen </w:t>
      </w:r>
      <w:r w:rsidR="00D7386B">
        <w:t xml:space="preserve">– </w:t>
      </w:r>
      <w:r w:rsidR="00885168">
        <w:t xml:space="preserve">gemäß der </w:t>
      </w:r>
      <w:r>
        <w:t xml:space="preserve">III. Säule des Protokolls sowie den Artikeln 14 und 22 der Richtlinie. Ein Verstoß seitens eines Plattformunternehmens gilt als Verstoß gegen die Richtlinie und unterliegt Sanktionen gemäß Artikel 24.</w:t>
      </w:r>
    </w:p>
    <w:p w:rsidRPr="00D90A18" w:rsidR="00885168" w:rsidP="00750824" w:rsidRDefault="00885168" w14:paraId="07CA53AF" w14:textId="77777777">
      <w:pPr>
        <w:jc w:val="both"/>
      </w:pPr>
    </w:p>
    <w:p w:rsidRPr="00D90A18" w:rsidR="00983F19" w:rsidP="00750824" w:rsidRDefault="00000000" w14:paraId="1E7ED245" w14:textId="77777777">
      <w:pPr>
        <w:pStyle w:val="Blokbesedila"/>
      </w:pPr>
      <w:r>
        <w:t xml:space="preserve">Hintergrund: Artikel 9: Proaktive Verpflichtung zur Unterrichtung der Gewerkschaftsvertreter über AM/AI. Artikel 22: Verbot von Benachteiligungen gegenüber Personen, die ihre Rechte aus der Richtlinie geltend machen.</w:t>
      </w:r>
    </w:p>
    <w:p w:rsidRPr="00D90A18" w:rsidR="00983F19" w:rsidP="00750824" w:rsidRDefault="00000000" w14:paraId="02556E79" w14:textId="77777777">
      <w:pPr>
        <w:jc w:val="both"/>
      </w:pPr>
      <w:r>
        <w:t xml:space="preserve"> </w:t>
      </w:r>
    </w:p>
    <w:p w:rsidRPr="00D90A18" w:rsidR="00983F19" w:rsidP="00750824" w:rsidRDefault="00000000" w14:paraId="227BBD6C" w14:textId="77777777">
      <w:pPr>
        <w:pStyle w:val="Naslov3"/>
        <w:jc w:val="both"/>
      </w:pPr>
      <w:r>
        <w:t xml:space="preserve">Empfehlung 8.2 [AMBITIONIERT]: Gleiche Regulierung von Unterauftragsketten in Branchen mit hohem Vermittlungsanteil</w:t>
      </w:r>
    </w:p>
    <w:p w:rsidR="00983F19" w:rsidP="00750824" w:rsidRDefault="00885168" w14:paraId="001EAB30" w14:textId="31B7457E">
      <w:pPr>
        <w:jc w:val="both"/>
      </w:pPr>
      <w:r>
        <w:t xml:space="preserve">Die </w:t>
      </w:r>
      <w:r w:rsidR="00A25A76">
        <w:t xml:space="preserve">gesamtschuldnerische </w:t>
      </w:r>
      <w:r>
        <w:t xml:space="preserve">Haftung und die Erfassung von Unterauftragsketten dürfen nicht auf den Plattformsektor beschränkt werden.</w:t>
      </w:r>
    </w:p>
    <w:p w:rsidRPr="00D90A18" w:rsidR="00D90A18" w:rsidP="00750824" w:rsidRDefault="00D90A18" w14:paraId="3399F77A" w14:textId="77777777">
      <w:pPr>
        <w:jc w:val="both"/>
      </w:pPr>
    </w:p>
    <w:p w:rsidR="00983F19" w:rsidP="00750824" w:rsidRDefault="00000000" w14:paraId="34B7CF26" w14:textId="77777777">
      <w:pPr>
        <w:jc w:val="both"/>
      </w:pPr>
      <w:r>
        <w:t xml:space="preserve">Die Ministerien sollen in Zusammenarbeit mit den Aufsichtsbehörden den Umfang der Unterauftragsketten in Branchen mit nachweislich hohem Vermittlungsgrad untersuchen und gesetzliche Maßnahmen vorschlagen, um die Arbeitgeberhaftung entlang der gesamten Kette klar zu definieren. Wir fordern den EGB auf, seinen eigenen Vorschlag für eine Richtlinie über Untervergabe und Vermittlung vom November 2025 zu unterstützen.</w:t>
      </w:r>
    </w:p>
    <w:p w:rsidRPr="00D90A18" w:rsidR="00885168" w:rsidP="00750824" w:rsidRDefault="00885168" w14:paraId="01947D24" w14:textId="77777777">
      <w:pPr>
        <w:jc w:val="both"/>
      </w:pPr>
    </w:p>
    <w:p w:rsidRPr="00D90A18" w:rsidR="00983F19" w:rsidP="00750824" w:rsidRDefault="00000000" w14:paraId="0A92C624" w14:textId="1F93BCCD">
      <w:pPr>
        <w:pStyle w:val="Blokbesedila"/>
      </w:pPr>
      <w:r>
        <w:t xml:space="preserve">Hintergrund: Deutschland 2021: Forderung nach direkter Beschäftigung in der fleischverarbeitenden Industrie als Reaktion auf die systematische Verschleierung der Arbeitgeberverantwortung. EGB November 2025: </w:t>
      </w:r>
      <w:r w:rsidR="00A25A76">
        <w:t xml:space="preserve">Solidarische </w:t>
      </w:r>
      <w:r>
        <w:t xml:space="preserve">Verantwortung für Löhne, Sozialabgaben und das Recht auf gewerkschaftliche Organisation.</w:t>
      </w:r>
    </w:p>
    <w:p w:rsidRPr="00D90A18" w:rsidR="00983F19" w:rsidP="00750824" w:rsidRDefault="00000000" w14:paraId="3BC804AE" w14:textId="77777777">
      <w:pPr>
        <w:jc w:val="both"/>
      </w:pPr>
      <w:r>
        <w:t xml:space="preserve"> </w:t>
      </w:r>
    </w:p>
    <w:p w:rsidRPr="00D90A18" w:rsidR="00983F19" w:rsidP="00750824" w:rsidRDefault="00000000" w14:paraId="03686A7F" w14:textId="77777777">
      <w:pPr>
        <w:pStyle w:val="Naslov3"/>
        <w:jc w:val="both"/>
      </w:pPr>
      <w:r>
        <w:t xml:space="preserve">Empfehlung 8.3 [ÜBERTRIFFT DAS MINIMUM]: Der digitale Arbeitsplatz als rechtlicher Maßstab für Gewerkschaftsrechte</w:t>
      </w:r>
    </w:p>
    <w:p w:rsidR="00983F19" w:rsidP="00750824" w:rsidRDefault="00000000" w14:paraId="57CA3119" w14:textId="77777777">
      <w:pPr>
        <w:jc w:val="both"/>
      </w:pPr>
      <w:r>
        <w:t xml:space="preserve">Das Übertragungsgesetz definiert die digitale Arbeitsumgebung für die Zwecke der Ausübung gewerkschaftlicher Rechte als dem physischen Arbeitsplatz gleichgestellt.</w:t>
      </w:r>
    </w:p>
    <w:p w:rsidRPr="00D90A18" w:rsidR="00D90A18" w:rsidP="00750824" w:rsidRDefault="00D90A18" w14:paraId="02CA774F" w14:textId="77777777">
      <w:pPr>
        <w:jc w:val="both"/>
      </w:pPr>
    </w:p>
    <w:p w:rsidR="00983F19" w:rsidP="00750824" w:rsidRDefault="00000000" w14:paraId="2C4FC267" w14:textId="62D52123">
      <w:pPr>
        <w:jc w:val="both"/>
      </w:pPr>
      <w:r>
        <w:t xml:space="preserve">Ein Gewerkschaftsvertreter, dessen Konto von der Plattform deaktiviert wurde, weil er Gewerkschaftsrechte geltend gemacht hat, genießt denselben Schutz wie ein Arbeitnehmer, dessen </w:t>
      </w:r>
      <w:r w:rsidR="00885168">
        <w:t xml:space="preserve">Arbeitsvertrag</w:t>
      </w:r>
      <w:r>
        <w:t xml:space="preserve"> vom Arbeitgeber gekündigt wurde</w:t>
      </w:r>
      <w:r w:rsidR="00885168">
        <w:lastRenderedPageBreak/>
      </w:r>
      <w:r w:rsidR="00885168">
        <w:t xml:space="preserve"> </w:t>
      </w:r>
      <w:r>
        <w:t xml:space="preserve">. Das Verbot der Diskriminierung aufgrund der Gewerkschaftsmitgliedschaft gilt für alle, die über eine digitale Plattform arbeiten, unabhängig von ihrem formalen Status.</w:t>
      </w:r>
    </w:p>
    <w:p w:rsidRPr="00D90A18" w:rsidR="00885168" w:rsidP="00750824" w:rsidRDefault="00885168" w14:paraId="3D85F254" w14:textId="77777777">
      <w:pPr>
        <w:jc w:val="both"/>
      </w:pPr>
    </w:p>
    <w:p w:rsidRPr="00D90A18" w:rsidR="00983F19" w:rsidP="00750824" w:rsidRDefault="00000000" w14:paraId="0AE1C5CF" w14:textId="77777777">
      <w:pPr>
        <w:pStyle w:val="Blokbesedila"/>
      </w:pPr>
      <w:r>
        <w:t xml:space="preserve">Hintergrund: Wolt-Entwurf des Tarifvertrags (ZSSS und Gewerkschaft Mladi plus, 2025), Artikel 17: Die App gilt als digitaler Arbeitsplatz. ZSSS-Leitlinien 2025.</w:t>
      </w:r>
    </w:p>
    <w:p w:rsidRPr="00D90A18" w:rsidR="00983F19" w:rsidP="00750824" w:rsidRDefault="00000000" w14:paraId="126E5F42" w14:textId="77777777">
      <w:pPr>
        <w:pStyle w:val="Naslov3"/>
        <w:jc w:val="both"/>
      </w:pPr>
      <w:r>
        <w:t xml:space="preserve">Empfehlung 8.4 [ÜBERTRIFFT DAS MINIMUM]: Gewerkschaftliches Schwarzes Brett in der App: ein Recht, kein Gefallen</w:t>
      </w:r>
    </w:p>
    <w:p w:rsidR="00983F19" w:rsidP="00750824" w:rsidRDefault="00000000" w14:paraId="2F491E46" w14:textId="61A4F5E9">
      <w:pPr>
        <w:jc w:val="both"/>
      </w:pPr>
      <w:r>
        <w:t xml:space="preserve">Die Plattform </w:t>
      </w:r>
      <w:r>
        <w:t xml:space="preserve">richtet </w:t>
      </w:r>
      <w:r w:rsidR="00885168">
        <w:t xml:space="preserve">in der App </w:t>
      </w:r>
      <w:r>
        <w:t xml:space="preserve">einen Bereich ein, in dem die Gewerkschaft frei Mitteilungen an die Beschäftigten veröffentlichen kann </w:t>
      </w:r>
      <w:r w:rsidR="00D7386B">
        <w:t xml:space="preserve">– </w:t>
      </w:r>
      <w:r>
        <w:t xml:space="preserve">ohne vorherige Genehmigung durch die Plattform.</w:t>
      </w:r>
    </w:p>
    <w:p w:rsidRPr="00D90A18" w:rsidR="00D90A18" w:rsidP="00750824" w:rsidRDefault="00D90A18" w14:paraId="231B3F38" w14:textId="77777777">
      <w:pPr>
        <w:jc w:val="both"/>
      </w:pPr>
    </w:p>
    <w:p w:rsidR="00983F19" w:rsidP="00750824" w:rsidRDefault="00000000" w14:paraId="67550E60" w14:textId="41B328D0">
      <w:pPr>
        <w:jc w:val="both"/>
      </w:pPr>
      <w:r>
        <w:t xml:space="preserve">Die Gewerkschaft hat das Recht, </w:t>
      </w:r>
      <w:r>
        <w:t xml:space="preserve">alle Arbeitnehmer </w:t>
      </w:r>
      <w:r>
        <w:t xml:space="preserve">mindestens zweimal monatlich direkt </w:t>
      </w:r>
      <w:r>
        <w:t xml:space="preserve">über die App </w:t>
      </w:r>
      <w:r w:rsidR="00FA3434">
        <w:t xml:space="preserve">zu informieren</w:t>
      </w:r>
      <w:r>
        <w:t xml:space="preserve">. Die Plattform darf weder den Inhalt dieser Mitteilungen kontrollieren noch den Zugang der Beschäftigten zu diesen einschränken. Artikel 20 der Richtlinie verlangt, dass die Plattform digitale Kommunikationskanäle bereitstellt, die den Beschäftigten und ihren Vertretern eine vertrauliche und sichere Kommunikation ermöglichen, wobei die Plattformen davon Abstand nehmen müssen, auf diese Kommunikation zuzugreifen oder sie zu überwachen.</w:t>
      </w:r>
      <w:r w:rsidRPr="00016B3D">
        <w:rPr>
          <w:rStyle w:val="Sprotnaopomba-sklic"/>
          <w:sz w:val="16"/>
          <w:szCs w:val="16"/>
          <w:vertAlign w:val="baseline"/>
        </w:rPr>
        <w:footnoteReference w:id="10"/>
      </w:r>
    </w:p>
    <w:p w:rsidRPr="00D90A18" w:rsidR="00885168" w:rsidP="00750824" w:rsidRDefault="00885168" w14:paraId="0186C3AD" w14:textId="77777777">
      <w:pPr>
        <w:jc w:val="both"/>
      </w:pPr>
    </w:p>
    <w:p w:rsidRPr="00D90A18" w:rsidR="00983F19" w:rsidP="00750824" w:rsidRDefault="00000000" w14:paraId="45155A35" w14:textId="77777777">
      <w:pPr>
        <w:pStyle w:val="Blokbesedila"/>
      </w:pPr>
      <w:r>
        <w:t xml:space="preserve">Hintergrund: Wolt-Entwurf des Tarifvertrags, Artikel 14: Registerkarte in der App für gewerkschaftliche Mitteilungen, zweimal monatlich Push-Benachrichtigung, Verbot der verdeckten Überwachung von Gewerkschaftsgruppen. ZSSS-Leitlinien 2025.</w:t>
      </w:r>
    </w:p>
    <w:p w:rsidR="00983F19" w:rsidP="00750824" w:rsidRDefault="00000000" w14:paraId="5F327B38" w14:textId="77777777">
      <w:pPr>
        <w:jc w:val="both"/>
      </w:pPr>
      <w:r>
        <w:t xml:space="preserve"> </w:t>
      </w:r>
    </w:p>
    <w:p w:rsidRPr="00D90A18" w:rsidR="00983F19" w:rsidP="00750824" w:rsidRDefault="00000000" w14:paraId="2EADF6A0" w14:textId="4B93A713">
      <w:pPr>
        <w:jc w:val="both"/>
        <w:rPr>
          <w:rStyle w:val="Poudarek"/>
        </w:rPr>
      </w:pPr>
      <w:r>
        <w:rPr>
          <w:rStyle w:val="Poudarek"/>
        </w:rPr>
        <w:t xml:space="preserve">Die Richtlinie über Plattformarbeit ist rechtlich gesehen eine sektorale Vorschrift. Politisch gesehen ist sie ein Prototyp. Es geht nicht </w:t>
      </w:r>
      <w:r w:rsidR="00FA3434">
        <w:rPr>
          <w:rStyle w:val="Poudarek"/>
        </w:rPr>
        <w:t xml:space="preserve">nur </w:t>
      </w:r>
      <w:r>
        <w:rPr>
          <w:rStyle w:val="Poudarek"/>
        </w:rPr>
        <w:t xml:space="preserve">um den Schutz </w:t>
      </w:r>
      <w:r w:rsidR="00FA3434">
        <w:rPr>
          <w:rStyle w:val="Poudarek"/>
        </w:rPr>
        <w:t xml:space="preserve">der Arbeitnehmer </w:t>
      </w:r>
      <w:r>
        <w:rPr>
          <w:rStyle w:val="Poudarek"/>
        </w:rPr>
        <w:t xml:space="preserve">vor </w:t>
      </w:r>
      <w:r w:rsidR="00FA3434">
        <w:rPr>
          <w:rStyle w:val="Poudarek"/>
        </w:rPr>
        <w:t xml:space="preserve">Plattformen</w:t>
      </w:r>
      <w:r>
        <w:rPr>
          <w:rStyle w:val="Poudarek"/>
        </w:rPr>
        <w:t xml:space="preserve">, sondern um die Schaffung eines Standards, nach dem </w:t>
      </w:r>
      <w:r w:rsidR="00FA3434">
        <w:rPr>
          <w:rStyle w:val="Poudarek"/>
        </w:rPr>
        <w:t xml:space="preserve">AM</w:t>
      </w:r>
      <w:r>
        <w:rPr>
          <w:rStyle w:val="Poudarek"/>
        </w:rPr>
        <w:t xml:space="preserve">, </w:t>
      </w:r>
      <w:r>
        <w:rPr>
          <w:rStyle w:val="Poudarek"/>
        </w:rPr>
        <w:t xml:space="preserve">Subunternehmerketten und Scheinselbstständigkeit in keiner </w:t>
      </w:r>
      <w:r w:rsidR="00FA3434">
        <w:rPr>
          <w:rStyle w:val="Poudarek"/>
        </w:rPr>
        <w:t xml:space="preserve">Branche bzw. </w:t>
      </w:r>
      <w:r>
        <w:rPr>
          <w:rStyle w:val="Poudarek"/>
        </w:rPr>
        <w:t xml:space="preserve">keinem </w:t>
      </w:r>
      <w:r w:rsidR="00FA3434">
        <w:rPr>
          <w:rStyle w:val="Poudarek"/>
        </w:rPr>
        <w:t xml:space="preserve">Sektor </w:t>
      </w:r>
      <w:r>
        <w:rPr>
          <w:rStyle w:val="Poudarek"/>
        </w:rPr>
        <w:t xml:space="preserve">ein legitimes Instrument zur Umgehung arbeitsrechtlicher Verpflichtungen sein dürfen</w:t>
      </w:r>
      <w:r>
        <w:rPr>
          <w:rStyle w:val="Poudarek"/>
        </w:rPr>
        <w:t xml:space="preserve">. Artikel 26 Absatz 2 der Richtlinie bildet die Rechtsgrundlage für diesen Schritt. Ob er umgesetzt wird oder nicht, hängt vom Willen der Sozialpartner und der Regierungen ab.</w:t>
      </w:r>
    </w:p>
    <w:p w:rsidR="00983F19" w:rsidP="00750824" w:rsidRDefault="00000000" w14:paraId="62DB2573" w14:textId="77777777">
      <w:pPr>
        <w:jc w:val="both"/>
      </w:pPr>
      <w:r>
        <w:t xml:space="preserve"> </w:t>
      </w:r>
    </w:p>
    <w:p w:rsidR="00983F19" w:rsidP="00750824" w:rsidRDefault="00000000" w14:paraId="0C389801" w14:textId="77777777">
      <w:pPr>
        <w:jc w:val="both"/>
      </w:pPr>
      <w:r>
        <w:rPr>
          <w:rStyle w:val="Sprotnaopomba-sklic"/>
        </w:rPr>
        <w:footnoteReference w:id="11"/>
      </w:r>
      <w:r>
        <w:t xml:space="preserve"> EU-Richtlinie 2024/2831, Artikel 20, Originaltext in slowenischer Sprache (gekürzt): </w:t>
      </w:r>
      <w:r>
        <w:rPr>
          <w:i/>
          <w:iCs/>
        </w:rPr>
        <w:t xml:space="preserve">„Die Mitgliedstaaten ergreifen die erforderlichen Maßnahmen, um sicherzustellen, dass digitale Arbeitsplattformen den Personen, die Plattformarbeit verrichten, die Möglichkeit geben, über die digitale Infrastruktur oder ähnlich wirksame Mittel Kontakt aufzunehmen und untereinander vertraulich und sicher zu kommunizieren sowie mit Vertretern in Kontakt zu treten. Die Mitgliedstaaten verlangen von den digitalen Arbeitsplattformen, dass sie auf den Zugriff auf diese Kontakte und Kommunikationen sowie auf deren Überwachung verzichten</w:t>
      </w:r>
      <w:r>
        <w:t xml:space="preserve">.“</w:t>
      </w:r>
    </w:p>
    <w:p w:rsidR="00750824" w:rsidRDefault="00750824" w14:paraId="369C81FF" w14:textId="77777777">
      <w:pPr>
        <w:rPr>
          <w:b/>
          <w:bCs/>
          <w:color w:val="1F3864"/>
          <w:sz w:val="36"/>
          <w:szCs w:val="36"/>
        </w:rPr>
      </w:pPr>
      <w:bookmarkStart w:name="X76a8c6d7513e997c1970b7e156028d704c0f862" w:id="75"/>
      <w:bookmarkEnd w:id="67"/>
      <w:bookmarkEnd w:id="74"/>
      <w:r>
        <w:br w:type="page"/>
      </w:r>
    </w:p>
    <w:p w:rsidR="00983F19" w:rsidP="00750824" w:rsidRDefault="00000000" w14:paraId="722C0F10" w14:textId="56452B57">
      <w:pPr>
        <w:pStyle w:val="Naslov1"/>
        <w:jc w:val="both"/>
      </w:pPr>
      <w:bookmarkStart w:name="_Toc233699508" w:id="76"/>
      <w:r>
        <w:lastRenderedPageBreak/>
      </w:r>
      <w:r>
        <w:t xml:space="preserve">Kapitel 9: Herausforderungen bei der Umsetzung und Umgehungsstrategien</w:t>
      </w:r>
      <w:bookmarkEnd w:id="76"/>
    </w:p>
    <w:p w:rsidR="00983F19" w:rsidP="00750824" w:rsidRDefault="00000000" w14:paraId="1F4ADB91" w14:textId="1621F7E7">
      <w:pPr>
        <w:jc w:val="both"/>
      </w:pPr>
      <w:r>
        <w:t xml:space="preserve">Die Richtlinie wurde verabschiedet. Die Umsetzungsfrist läuft bis Dezember 2026. Doch die Verabschiedung der Richtlinie und ihre tatsächliche Umsetzung sind zwei verschiedene Dinge. Erfahrungen aus den Partnerländern zeigen, dass die Herausforderungen bei der Umsetzung vorhersehbar sind </w:t>
      </w:r>
      <w:r w:rsidR="00D7386B">
        <w:t xml:space="preserve">– </w:t>
      </w:r>
      <w:r>
        <w:t xml:space="preserve">Plattformkonzerne analysieren sie intensiv, während sich Gewerkschaften und Ministerien darauf vorbereiten müssen, bevor </w:t>
      </w:r>
      <w:r>
        <w:t xml:space="preserve">sie eintreten</w:t>
      </w:r>
      <w:r>
        <w:t xml:space="preserve">. Dieses Kapitel systematisiert die dokumentierten Herausforderungen und schlägt für jede Herausforderung eine vorbeugende Maßnahme vor.</w:t>
      </w:r>
    </w:p>
    <w:p w:rsidR="00D90A18" w:rsidP="00750824" w:rsidRDefault="00D90A18" w14:paraId="15D5FBCE" w14:textId="77777777">
      <w:pPr>
        <w:jc w:val="both"/>
      </w:pPr>
    </w:p>
    <w:p w:rsidR="00983F19" w:rsidP="00750824" w:rsidRDefault="00000000" w14:paraId="4D29D52B" w14:textId="3A60F30B">
      <w:pPr>
        <w:jc w:val="both"/>
      </w:pPr>
      <w:r>
        <w:t xml:space="preserve">Der gemeinsame rote Faden: </w:t>
      </w:r>
      <w:r>
        <w:rPr>
          <w:b/>
          <w:bCs/>
        </w:rPr>
        <w:t xml:space="preserve">Die Herausforderungen sind vorhersehbar. </w:t>
      </w:r>
      <w:r>
        <w:t xml:space="preserve">Strategien zur Umgehung wurden </w:t>
      </w:r>
      <w:r>
        <w:t xml:space="preserve">in Spanien nach </w:t>
      </w:r>
      <w:r w:rsidR="008C7863">
        <w:t xml:space="preserve">dem Gesetz </w:t>
      </w:r>
      <w:r>
        <w:t xml:space="preserve">über Lieferfahrer sowie in Deutschland, Polen und Italien </w:t>
      </w:r>
      <w:r w:rsidR="008C7863">
        <w:t xml:space="preserve">beobachtet</w:t>
      </w:r>
      <w:r>
        <w:t xml:space="preserve">. Die Ministerien müssen diese präventiv und nicht reaktiv angehen.</w:t>
      </w:r>
    </w:p>
    <w:p w:rsidR="00983F19" w:rsidP="00750824" w:rsidRDefault="00000000" w14:paraId="58E3A976" w14:textId="77777777">
      <w:pPr>
        <w:pStyle w:val="Naslov2"/>
        <w:jc w:val="both"/>
      </w:pPr>
      <w:bookmarkStart w:name="_Toc233699509" w:id="77"/>
      <w:bookmarkStart w:name="strukturni-izzivi-implementacije" w:id="78"/>
      <w:r>
        <w:t xml:space="preserve">9.1 Strukturelle Herausforderungen bei der Umsetzung</w:t>
      </w:r>
      <w:bookmarkEnd w:id="77"/>
    </w:p>
    <w:p w:rsidR="00983F19" w:rsidP="00750824" w:rsidRDefault="00000000" w14:paraId="30E901B7" w14:textId="77777777">
      <w:pPr>
        <w:pStyle w:val="RedBlock"/>
      </w:pPr>
      <w:r>
        <w:rPr>
          <w:b/>
          <w:bCs/>
        </w:rPr>
        <w:t xml:space="preserve">Herausforderung 9.1: Politischer Zeitplan: Wahlen, Karenzregierungen und Verzögerungen</w:t>
      </w:r>
    </w:p>
    <w:p w:rsidR="00983F19" w:rsidP="00750824" w:rsidRDefault="00000000" w14:paraId="75F387E5" w14:textId="45EFB64B">
      <w:pPr>
        <w:pStyle w:val="RedBlock"/>
      </w:pPr>
      <w:r>
        <w:t xml:space="preserve">Die Umsetzung der Richtlinie in nationales Recht muss bis zum 2. Dezember 2026 abgeschlossen sein. In der Republik Slowenien werden die Wahlen im März 2026 ein politisches Vakuum schaffen, und zwar genau zu dem Zeitpunkt, zu dem </w:t>
      </w:r>
      <w:r w:rsidR="008C7863">
        <w:t xml:space="preserve">die Umsetzung der Richtlinie </w:t>
      </w:r>
      <w:r>
        <w:t xml:space="preserve">in vollem Gange </w:t>
      </w:r>
      <w:r>
        <w:t xml:space="preserve">sein sollte</w:t>
      </w:r>
      <w:r>
        <w:t xml:space="preserve">. Die Erfahrung zeigt, dass Slowenien bei EU-Richtlinien in der Regel bis zum letzten Moment wartet. In Italien hat sich die Regierung bis Mitte 2025 </w:t>
      </w:r>
      <w:r>
        <w:t xml:space="preserve">hinsichtlich der Umsetzung </w:t>
      </w:r>
      <w:r>
        <w:t xml:space="preserve">völlig </w:t>
      </w:r>
      <w:r w:rsidR="008C7863">
        <w:t xml:space="preserve">bedeckt</w:t>
      </w:r>
      <w:r>
        <w:t xml:space="preserve"> gehalten</w:t>
      </w:r>
      <w:r>
        <w:t xml:space="preserve">; die Opposition steht dem positiv gegenüber, verfügt jedoch nicht über eine parlamentarische Mehrheit. In Deutschland blieben die Gewerkschaften am Rande der Debatte, da unklar war, welcher Sektor bzw. welche Gewerkschaft für Plattformarbeiter zuständig ist.</w:t>
      </w:r>
    </w:p>
    <w:p w:rsidR="00983F19" w:rsidP="00750824" w:rsidRDefault="00000000" w14:paraId="1AB141CC" w14:textId="77777777">
      <w:pPr>
        <w:pStyle w:val="RedBlock"/>
      </w:pPr>
      <w:r>
        <w:rPr>
          <w:b/>
          <w:bCs/>
        </w:rPr>
        <w:t xml:space="preserve">Risiko: </w:t>
      </w:r>
      <w:r>
        <w:t xml:space="preserve">Die Richtlinie wird nur minimal und ohne Ambitionen unter dem Druck der Plattformen umgesetzt.</w:t>
      </w:r>
    </w:p>
    <w:p w:rsidR="00983F19" w:rsidP="00750824" w:rsidRDefault="00000000" w14:paraId="1D35EE47" w14:textId="77777777">
      <w:pPr>
        <w:jc w:val="both"/>
      </w:pPr>
      <w:r>
        <w:t xml:space="preserve"> </w:t>
      </w:r>
    </w:p>
    <w:p w:rsidR="00983F19" w:rsidP="00750824" w:rsidRDefault="00000000" w14:paraId="3902D1FD" w14:textId="0C2DC1A9">
      <w:pPr>
        <w:pStyle w:val="RedBlock"/>
      </w:pPr>
      <w:r>
        <w:rPr>
          <w:b/>
          <w:bCs/>
        </w:rPr>
        <w:t xml:space="preserve">Herausforderung 9.2: </w:t>
      </w:r>
      <w:r w:rsidR="008C7863">
        <w:rPr>
          <w:b/>
          <w:bCs/>
        </w:rPr>
        <w:t xml:space="preserve">Dauer der Gerichtsverfahren </w:t>
      </w:r>
      <w:r>
        <w:rPr>
          <w:b/>
          <w:bCs/>
        </w:rPr>
        <w:t xml:space="preserve">und Rechtslücke während der Anfechtung </w:t>
      </w:r>
      <w:r w:rsidR="008C7863">
        <w:rPr>
          <w:b/>
          <w:bCs/>
        </w:rPr>
        <w:t xml:space="preserve">der Vermutung </w:t>
      </w:r>
      <w:r w:rsidR="00615F18">
        <w:rPr>
          <w:b/>
          <w:bCs/>
        </w:rPr>
        <w:t xml:space="preserve">des Arbeitsverhältnisses</w:t>
      </w:r>
    </w:p>
    <w:p w:rsidR="00983F19" w:rsidP="00750824" w:rsidRDefault="00000000" w14:paraId="3C3EB997" w14:textId="647BD448">
      <w:pPr>
        <w:pStyle w:val="RedBlock"/>
      </w:pPr>
      <w:r>
        <w:t xml:space="preserve">Sobald die Richtlinie umgesetzt ist, wird eine Phase folgen, in der die rechtliche Vermutung </w:t>
      </w:r>
      <w:r w:rsidR="00615F18">
        <w:t xml:space="preserve">des Arbeitsverhältnisses </w:t>
      </w:r>
      <w:r>
        <w:t xml:space="preserve">vor Gericht </w:t>
      </w:r>
      <w:r>
        <w:t xml:space="preserve">angefochten wird</w:t>
      </w:r>
      <w:r>
        <w:t xml:space="preserve">. Die Gerichte in den Partnerländern benötigen für solche Verfahren zwischen einem und fünf Jahren. In diesem Zeitraum genießen die Arbeitnehmer keinen garantierten Schutz </w:t>
      </w:r>
      <w:r w:rsidR="00D7386B">
        <w:t xml:space="preserve">– </w:t>
      </w:r>
      <w:r>
        <w:t xml:space="preserve">die Plattformen werden die bestehenden Vertragsverhältnisse fortsetzen und auf die einzelnen Gerichtsentscheidungen warten.</w:t>
      </w:r>
    </w:p>
    <w:p w:rsidR="00983F19" w:rsidP="00750824" w:rsidRDefault="00000000" w14:paraId="4D62B829" w14:textId="3EFAB04B">
      <w:pPr>
        <w:pStyle w:val="RedBlock"/>
      </w:pPr>
      <w:r>
        <w:rPr>
          <w:b/>
          <w:bCs/>
        </w:rPr>
        <w:t xml:space="preserve">Risiko: </w:t>
      </w:r>
      <w:r>
        <w:t xml:space="preserve">Die Rechtslücke zwischen der Verabschiedung der Richtlinie und dem tatsächlichen Schutz dauert Jahre. Genau dies ist das Argument für die Empfehlung 6.5 dieses Dokuments </w:t>
      </w:r>
      <w:r w:rsidR="00D7386B">
        <w:t xml:space="preserve">– </w:t>
      </w:r>
      <w:r>
        <w:t xml:space="preserve">ein vorübergehender kollektiver Schutz während der Anfechtung der Rechtsvermutung </w:t>
      </w:r>
      <w:r w:rsidR="00615F18">
        <w:t xml:space="preserve">des Arbeitsverhältnisses</w:t>
      </w:r>
      <w:r>
        <w:t xml:space="preserve">.</w:t>
      </w:r>
    </w:p>
    <w:p w:rsidR="00983F19" w:rsidP="00750824" w:rsidRDefault="00000000" w14:paraId="5F3FE2B8" w14:textId="77777777">
      <w:pPr>
        <w:jc w:val="both"/>
      </w:pPr>
      <w:r>
        <w:t xml:space="preserve"> </w:t>
      </w:r>
    </w:p>
    <w:p w:rsidR="00983F19" w:rsidP="00750824" w:rsidRDefault="00000000" w14:paraId="30E9A747" w14:textId="09611D7A">
      <w:pPr>
        <w:pStyle w:val="RedBlock"/>
      </w:pPr>
      <w:r>
        <w:rPr>
          <w:b/>
          <w:bCs/>
        </w:rPr>
        <w:t xml:space="preserve">Herausforderung 9.3: Unzureichende Finanzierung und </w:t>
      </w:r>
      <w:r w:rsidR="008C7863">
        <w:rPr>
          <w:b/>
          <w:bCs/>
        </w:rPr>
        <w:t xml:space="preserve">Qualifizierung </w:t>
      </w:r>
      <w:r>
        <w:rPr>
          <w:b/>
          <w:bCs/>
        </w:rPr>
        <w:t xml:space="preserve">der Arbeitsaufsichtsbehörden</w:t>
      </w:r>
    </w:p>
    <w:p w:rsidR="00983F19" w:rsidP="00750824" w:rsidRDefault="00000000" w14:paraId="0EC320FE" w14:textId="64BFB4BA">
      <w:pPr>
        <w:pStyle w:val="RedBlock"/>
      </w:pPr>
      <w:r>
        <w:t xml:space="preserve">Die Arbeitsaufsichtsbehörden in allen fünf Partnerländern wurden auf der SDDP-Konferenz (Ljubljana, Mai 2025) als entscheidender Schwachpunkt identifiziert: zu wenige Inspektoren, zu wenig Wissen über algorithmisches Management, zu wenige Instrumente zur Analyse von Plattformdaten. Die österreichische Arbeitsaufsichtsbehörde hat Verständnis für die Richtlinie gezeigt, weist jedoch selbst auf die Notwendigkeit einer finanziellen Aufstockung hin. </w:t>
      </w:r>
      <w:r>
        <w:t xml:space="preserve">Die</w:t>
      </w:r>
      <w:r w:rsidR="008C7863">
        <w:t xml:space="preserve"> slowenische </w:t>
      </w:r>
      <w:r>
        <w:t xml:space="preserve">Arbeitsaufsichtsbehörde (IRSD) sollte die Befugnis erhalten, ein Arbeitsverhältnis </w:t>
      </w:r>
      <w:r w:rsidR="00615F18">
        <w:t xml:space="preserve">bzw. eine Beschäftigung </w:t>
      </w:r>
      <w:r>
        <w:t xml:space="preserve">durch einen Bescheid </w:t>
      </w:r>
      <w:r>
        <w:t xml:space="preserve">festzustellen </w:t>
      </w:r>
      <w:r w:rsidR="00D7386B">
        <w:t xml:space="preserve">– </w:t>
      </w:r>
      <w:r>
        <w:t xml:space="preserve">diese Zuständigkeit fehlt ihr derzeit formal.</w:t>
      </w:r>
    </w:p>
    <w:p w:rsidR="00983F19" w:rsidP="00750824" w:rsidRDefault="00000000" w14:paraId="6ED56DB6" w14:textId="77777777">
      <w:pPr>
        <w:pStyle w:val="RedBlock"/>
      </w:pPr>
      <w:r>
        <w:rPr>
          <w:b/>
          <w:bCs/>
        </w:rPr>
        <w:t xml:space="preserve">Risiko: </w:t>
      </w:r>
      <w:r>
        <w:t xml:space="preserve">Eine Richtlinie auf dem Papier, ohne die Möglichkeit einer praktischen Durchsetzung durch die Aufsichtsbehörden.</w:t>
      </w:r>
    </w:p>
    <w:p w:rsidR="00983F19" w:rsidP="00750824" w:rsidRDefault="00000000" w14:paraId="0CDEDD3A" w14:textId="77777777">
      <w:pPr>
        <w:pStyle w:val="Naslov2"/>
        <w:jc w:val="both"/>
      </w:pPr>
      <w:bookmarkStart w:name="_Toc233699510" w:id="79"/>
      <w:bookmarkStart w:name="strategije-izogibanja-platform" w:id="80"/>
      <w:bookmarkEnd w:id="78"/>
      <w:r>
        <w:t xml:space="preserve">9.2 Strategien zur Umgehung von Plattformen</w:t>
      </w:r>
      <w:bookmarkEnd w:id="79"/>
    </w:p>
    <w:p w:rsidR="00983F19" w:rsidP="00750824" w:rsidRDefault="00000000" w14:paraId="5CD9A228" w14:textId="77777777">
      <w:pPr>
        <w:pStyle w:val="RedBlock"/>
      </w:pPr>
      <w:r>
        <w:rPr>
          <w:b/>
          <w:bCs/>
        </w:rPr>
        <w:lastRenderedPageBreak/>
      </w:r>
      <w:r>
        <w:rPr>
          <w:b/>
          <w:bCs/>
        </w:rPr>
        <w:t xml:space="preserve">Herausforderung 9.4: Das Flottensystem als primärer Mechanismus zur Umgehung</w:t>
      </w:r>
    </w:p>
    <w:p w:rsidR="00983F19" w:rsidP="00750824" w:rsidRDefault="006E6A4A" w14:paraId="242EB931" w14:textId="245E7E57">
      <w:pPr>
        <w:pStyle w:val="RedBlock"/>
      </w:pPr>
      <w:r>
        <w:t xml:space="preserve">Die Erfahrungen der SDDP-Projektpartner haben deutlich gezeigt, dass die Einführung eines Flottensystems eine der häufigsten Reaktionen der Plattformen auf Regulierungsmaßnahmen ist. In Polen </w:t>
      </w:r>
      <w:r w:rsidR="00D7386B">
        <w:t xml:space="preserve">– </w:t>
      </w:r>
      <w:r>
        <w:t xml:space="preserve">dem größten EU-Markt, auf dem der Lieferdienstsektor fast ausschließlich über Vermittlerstrukturen organisiert ist </w:t>
      </w:r>
      <w:r w:rsidR="00D7386B">
        <w:t xml:space="preserve">– </w:t>
      </w:r>
      <w:r>
        <w:t xml:space="preserve">entstand das Flottensystem direkt als Reaktion auf die Regulierung im Jahr 2016: Als Uber die Einhaltung der Anforderungen formell gewährleisten musste, tat es dies über Vermittler, die das rechtliche Risiko übernahmen. Heute </w:t>
      </w:r>
      <w:r>
        <w:t xml:space="preserve">arbeiten </w:t>
      </w:r>
      <w:r>
        <w:t xml:space="preserve">alle größeren </w:t>
      </w:r>
      <w:r>
        <w:t xml:space="preserve">Plattformakteure in Polen nach diesem Modell.</w:t>
      </w:r>
      <w:r>
        <w:rPr>
          <w:rStyle w:val="Sprotnaopomba-sklic"/>
        </w:rPr>
        <w:footnoteReference w:id="12"/>
      </w:r>
    </w:p>
    <w:p w:rsidR="00983F19" w:rsidP="00750824" w:rsidRDefault="00000000" w14:paraId="2F834C6B" w14:textId="37916122">
      <w:pPr>
        <w:pStyle w:val="RedBlock"/>
      </w:pPr>
      <w:r>
        <w:t xml:space="preserve">Das spanische Beispiel nach der Verabschiedung </w:t>
      </w:r>
      <w:r>
        <w:t xml:space="preserve">des Lieferantengesetzes zeigt dieselbe Dynamik: </w:t>
      </w:r>
      <w:r>
        <w:t xml:space="preserve">Die Plattformkonzerne haben die Anforderung der Beschäftigung formal erfüllt, aber die Subunternehmerketten beibehalten, was weitere Verhandlungen mit den Regulierungsbehörden ermöglichte. Uber Eats behält über Vermittlungspartner die wirtschaftliche Kontrolle über die Lieferfahrer, ohne direkt die Arbeitgeberverantwortung zu übernehmen.</w:t>
      </w:r>
      <w:r>
        <w:rPr>
          <w:rStyle w:val="Sprotnaopomba-sklic"/>
        </w:rPr>
        <w:footnoteReference w:id="13"/>
      </w:r>
    </w:p>
    <w:p w:rsidR="00983F19" w:rsidP="00750824" w:rsidRDefault="00000000" w14:paraId="5B176083" w14:textId="5AE16788">
      <w:pPr>
        <w:pStyle w:val="RedBlock"/>
      </w:pPr>
      <w:r>
        <w:rPr>
          <w:b/>
          <w:bCs/>
        </w:rPr>
        <w:t xml:space="preserve">Voraussichtliche </w:t>
      </w:r>
      <w:r w:rsidR="006E6A4A">
        <w:rPr>
          <w:b/>
          <w:bCs/>
        </w:rPr>
        <w:t xml:space="preserve">Reaktion </w:t>
      </w:r>
      <w:r>
        <w:rPr>
          <w:b/>
          <w:bCs/>
        </w:rPr>
        <w:t xml:space="preserve">nach der Umsetzung der Richtlinie: </w:t>
      </w:r>
      <w:r>
        <w:t xml:space="preserve">Die Plattformen werden die Anforderung der Rechtsvermutung auf ihre Flottenpartner übertragen </w:t>
      </w:r>
      <w:r w:rsidR="00D7386B">
        <w:t xml:space="preserve">– </w:t>
      </w:r>
      <w:r>
        <w:t xml:space="preserve">die Vermittler werden formal als Arbeitgeber gelten, während die Plattformen die wirtschaftliche Kontrolle über Algorithmen behalten. Die Richtlinie wird formal erfüllt, ihr Zweck jedoch nicht.</w:t>
      </w:r>
    </w:p>
    <w:p w:rsidR="00983F19" w:rsidP="00750824" w:rsidRDefault="00000000" w14:paraId="2ADE71E9" w14:textId="77777777">
      <w:pPr>
        <w:jc w:val="both"/>
      </w:pPr>
      <w:r>
        <w:t xml:space="preserve"> </w:t>
      </w:r>
    </w:p>
    <w:p w:rsidR="00983F19" w:rsidP="00750824" w:rsidRDefault="00000000" w14:paraId="32C4B5D6" w14:textId="77777777">
      <w:pPr>
        <w:pStyle w:val="RedBlock"/>
      </w:pPr>
      <w:r>
        <w:rPr>
          <w:b/>
          <w:bCs/>
        </w:rPr>
        <w:t xml:space="preserve">Herausforderung 9.5: Das chamäleonartige Geschäftsmodell: formale Konformität ohne inhaltliche Veränderung</w:t>
      </w:r>
    </w:p>
    <w:p w:rsidR="00983F19" w:rsidP="00750824" w:rsidRDefault="00000000" w14:paraId="3F80A371" w14:textId="715DC4C4">
      <w:pPr>
        <w:pStyle w:val="RedBlock"/>
      </w:pPr>
      <w:r>
        <w:t xml:space="preserve">In der wissenschaftlichen Literatur werden Plattformen als chamäleonartige Einheiten beschrieben </w:t>
      </w:r>
      <w:r w:rsidR="00D7386B">
        <w:t xml:space="preserve">– </w:t>
      </w:r>
      <w:r>
        <w:t xml:space="preserve">Organisationen, die sich dem regulatorischen Umfeld so anpassen, dass sie die Anforderungen formal erfüllen, gleichzeitig aber genau jene Bedingungen reproduzieren, die die Regulierung beseitigen will. Die Erfahrungen in Spanien bestätigen dies anschaulich</w:t>
      </w:r>
      <w:r w:rsidR="006E6A4A">
        <w:t xml:space="preserve">: </w:t>
      </w:r>
      <w:r>
        <w:t xml:space="preserve">Uber </w:t>
      </w:r>
      <w:r>
        <w:t xml:space="preserve">Eats </w:t>
      </w:r>
      <w:r>
        <w:t xml:space="preserve">hat seine Vermittlerstruktur beibehalten, </w:t>
      </w:r>
      <w:r>
        <w:t xml:space="preserve">während</w:t>
      </w:r>
      <w:r w:rsidR="006E6A4A">
        <w:t xml:space="preserve"> den Lieferfahrern </w:t>
      </w:r>
      <w:r>
        <w:t xml:space="preserve">faktisch die Rechte vorenthalten wurden, die ihnen das Gesetz formal garantiert.</w:t>
      </w:r>
      <w:r>
        <w:rPr>
          <w:rStyle w:val="Sprotnaopomba-sklic"/>
        </w:rPr>
        <w:footnoteReference w:id="14"/>
      </w:r>
    </w:p>
    <w:p w:rsidR="00983F19" w:rsidP="00750824" w:rsidRDefault="00000000" w14:paraId="450AF194" w14:textId="732C8627">
      <w:pPr>
        <w:pStyle w:val="RedBlock"/>
      </w:pPr>
      <w:r>
        <w:rPr>
          <w:b/>
          <w:bCs/>
        </w:rPr>
        <w:t xml:space="preserve">Vorhersehbare Reaktion auf die Richtlinie: </w:t>
      </w:r>
      <w:r>
        <w:t xml:space="preserve">Die Plattformen werden den Wortlaut ihrer Verträge und </w:t>
      </w:r>
      <w:r>
        <w:t xml:space="preserve">ihre</w:t>
      </w:r>
      <w:r w:rsidR="006E6A4A">
        <w:t xml:space="preserve"> digitale </w:t>
      </w:r>
      <w:r>
        <w:t xml:space="preserve">Infrastruktur so </w:t>
      </w:r>
      <w:r>
        <w:t xml:space="preserve">anpassen</w:t>
      </w:r>
      <w:r>
        <w:t xml:space="preserve">, dass sie formal keine „Anweisungen und Kontrolle“ mehr aufweisen, gleichzeitig aber ihren wirtschaftlichen Einfluss über Bewertungs- und Auftragsverteilungssysteme beibehalten. Die algorithmische Kontrolle wird verschleiert, nicht beseitigt.</w:t>
      </w:r>
    </w:p>
    <w:p w:rsidR="00983F19" w:rsidP="00750824" w:rsidRDefault="00000000" w14:paraId="4FE29833" w14:textId="77777777">
      <w:pPr>
        <w:jc w:val="both"/>
      </w:pPr>
      <w:r>
        <w:t xml:space="preserve"> </w:t>
      </w:r>
    </w:p>
    <w:p w:rsidR="00983F19" w:rsidP="00750824" w:rsidRDefault="00000000" w14:paraId="42F5C9C6" w14:textId="3F1B2DB2">
      <w:pPr>
        <w:pStyle w:val="RedBlock"/>
      </w:pPr>
      <w:r>
        <w:rPr>
          <w:b/>
          <w:bCs/>
        </w:rPr>
        <w:t xml:space="preserve">Herausforderung 9.6: Briefkastenfirmen: Flucht vor der Strafverfolgung nach </w:t>
      </w:r>
      <w:r>
        <w:rPr>
          <w:b/>
          <w:bCs/>
        </w:rPr>
        <w:t xml:space="preserve">einem Inspektionsbescheid</w:t>
      </w:r>
    </w:p>
    <w:p w:rsidR="00983F19" w:rsidP="00750824" w:rsidRDefault="006E6A4A" w14:paraId="6A4A8453" w14:textId="5DFFA6E3">
      <w:pPr>
        <w:pStyle w:val="RedBlock"/>
      </w:pPr>
      <w:r>
        <w:t xml:space="preserve">In Kroatien und Serbien wurde eine Praxis dokumentiert, bei der Vermittlungsunternehmen </w:t>
      </w:r>
      <w:r w:rsidR="00D7386B">
        <w:t xml:space="preserve">– </w:t>
      </w:r>
      <w:r>
        <w:t xml:space="preserve">meist als Einzelunternehmer oder einfache </w:t>
      </w:r>
      <w:r>
        <w:t xml:space="preserve">GmbHs</w:t>
      </w:r>
      <w:r>
        <w:t xml:space="preserve"> registriert </w:t>
      </w:r>
      <w:r>
        <w:t xml:space="preserve">– </w:t>
      </w:r>
      <w:r w:rsidR="00D7386B">
        <w:t xml:space="preserve">– </w:t>
      </w:r>
      <w:r>
        <w:t xml:space="preserve">nach einem Inspektionsbescheid oder einer Klage einfach das Unternehmen schließen und ein neues eröffnen, während die Arbeitnehmer ohne Löhne, Sozialabgaben und Rechtsmittel dastehen. Die Arbeitnehmer in Kroatien und Serbien führten für solche Fälle sogar sogenannte „schwarze Listen“ auf Facebook, auf denen sie namentliche Informationen über nicht erreichbare Subunternehmer sammelten.</w:t>
      </w:r>
      <w:r>
        <w:rPr>
          <w:rStyle w:val="Sprotnaopomba-sklic"/>
        </w:rPr>
        <w:footnoteReference w:id="15"/>
      </w:r>
    </w:p>
    <w:p w:rsidR="00983F19" w:rsidP="00750824" w:rsidRDefault="00000000" w14:paraId="47C3445C" w14:textId="2C5DA71D">
      <w:pPr>
        <w:pStyle w:val="RedBlock"/>
      </w:pPr>
      <w:r>
        <w:rPr>
          <w:b/>
          <w:bCs/>
        </w:rPr>
        <w:t xml:space="preserve">Voraussichtliche Reaktion auf die Richtlinie: </w:t>
      </w:r>
      <w:r>
        <w:t xml:space="preserve">Die </w:t>
      </w:r>
      <w:r w:rsidR="00A25A76">
        <w:t xml:space="preserve">gesamtschuldnerische </w:t>
      </w:r>
      <w:r>
        <w:t xml:space="preserve">Haftung der Plattformen wird ein entscheidendes Abschreckungsmittel sein </w:t>
      </w:r>
      <w:r w:rsidR="00D7386B">
        <w:t xml:space="preserve">– </w:t>
      </w:r>
      <w:r>
        <w:t xml:space="preserve">allerdings nur, wenn sie im Umsetzungsgesetz als Verpflichtung und nicht lediglich als Option festgelegt wird.</w:t>
      </w:r>
    </w:p>
    <w:p w:rsidR="00983F19" w:rsidP="00750824" w:rsidRDefault="00000000" w14:paraId="29225FF4" w14:textId="77777777">
      <w:pPr>
        <w:jc w:val="both"/>
      </w:pPr>
      <w:r>
        <w:t xml:space="preserve"> </w:t>
      </w:r>
    </w:p>
    <w:p w:rsidR="00983F19" w:rsidP="00750824" w:rsidRDefault="00000000" w14:paraId="26C7E803" w14:textId="77777777">
      <w:pPr>
        <w:pStyle w:val="RedBlock"/>
      </w:pPr>
      <w:r>
        <w:rPr>
          <w:b/>
          <w:bCs/>
        </w:rPr>
        <w:t xml:space="preserve">Herausforderung 9.7: Der dritte Status: Legitimierung einer Zwischenstellung</w:t>
      </w:r>
    </w:p>
    <w:p w:rsidR="00983F19" w:rsidP="00750824" w:rsidRDefault="00000000" w14:paraId="5E1C82CB" w14:textId="5D883196">
      <w:pPr>
        <w:pStyle w:val="RedBlock"/>
      </w:pPr>
      <w:r>
        <w:lastRenderedPageBreak/>
      </w:r>
      <w:r>
        <w:t xml:space="preserve">In Italien, Polen und Österreich gibt es bereits Zwischenstatus zwischen Arbeitnehmern und Selbstständigen oder solche werden vorgeschlagen (in Italien „parasubordinierte Arbeitnehmer“, in Polen </w:t>
      </w:r>
      <w:r>
        <w:t xml:space="preserve">„umowa </w:t>
      </w:r>
      <w:r w:rsidR="006E6A4A">
        <w:t xml:space="preserve">zlecenie“</w:t>
      </w:r>
      <w:r>
        <w:t xml:space="preserve">). Die SDDP-Konferenz (Ljubljana, Mai 2025) hat den Druck </w:t>
      </w:r>
      <w:r w:rsidR="006E6A4A">
        <w:t xml:space="preserve">der Plattformen </w:t>
      </w:r>
      <w:r>
        <w:t xml:space="preserve">zur Einführung eines dritten Status als mögliche Reaktion auf die Richtlinie </w:t>
      </w:r>
      <w:r>
        <w:t xml:space="preserve">identifiziert</w:t>
      </w:r>
      <w:r>
        <w:t xml:space="preserve">. Der Umsetzungsvorschlag der NIdiL-CGIL Firenze weist ausdrücklich darauf hin: Zwischenstatus lösen </w:t>
      </w:r>
      <w:r>
        <w:t xml:space="preserve">das Problem der Prekarisierung</w:t>
      </w:r>
      <w:r>
        <w:t xml:space="preserve"> nicht </w:t>
      </w:r>
      <w:r w:rsidR="00D7386B">
        <w:t xml:space="preserve">– </w:t>
      </w:r>
      <w:r>
        <w:t xml:space="preserve">sie verfestigen es. Sie gewährleisten zwar einige Rechte, aber nicht alle, wodurch sie </w:t>
      </w:r>
      <w:r>
        <w:t xml:space="preserve">eine</w:t>
      </w:r>
      <w:r>
        <w:t xml:space="preserve"> regulierte </w:t>
      </w:r>
      <w:r>
        <w:t xml:space="preserve">Prekarisierung </w:t>
      </w:r>
      <w:r>
        <w:t xml:space="preserve">anstelle </w:t>
      </w:r>
      <w:r w:rsidR="00615F18">
        <w:t xml:space="preserve">einer </w:t>
      </w:r>
      <w:r w:rsidR="006E6A4A">
        <w:t xml:space="preserve">sicheren </w:t>
      </w:r>
      <w:r w:rsidR="00615F18">
        <w:t xml:space="preserve">Beschäftigung </w:t>
      </w:r>
      <w:r>
        <w:t xml:space="preserve">schaffen</w:t>
      </w:r>
      <w:r>
        <w:t xml:space="preserve">.</w:t>
      </w:r>
      <w:r>
        <w:rPr>
          <w:rStyle w:val="Sprotnaopomba-sklic"/>
        </w:rPr>
        <w:footnoteReference w:id="16"/>
      </w:r>
    </w:p>
    <w:p w:rsidR="00D90A18" w:rsidP="00750824" w:rsidRDefault="00000000" w14:paraId="06D29F6F" w14:textId="04DD21FF">
      <w:pPr>
        <w:pStyle w:val="RedBlock"/>
      </w:pPr>
      <w:r>
        <w:rPr>
          <w:b/>
          <w:bCs/>
        </w:rPr>
        <w:t xml:space="preserve">Risiko der Richtlinie: </w:t>
      </w:r>
      <w:r>
        <w:t xml:space="preserve">Der dritte Status wird den Plattformen eine Lösung bieten, die formal die Forderung der Richtlinie nach einer „Verbesserung der Arbeitsbedingungen“ erfüllt, in der Praxis jedoch </w:t>
      </w:r>
      <w:r>
        <w:t xml:space="preserve">die </w:t>
      </w:r>
      <w:r>
        <w:t xml:space="preserve">prekäre </w:t>
      </w:r>
      <w:r>
        <w:t xml:space="preserve">Lage </w:t>
      </w:r>
      <w:r w:rsidR="006E6A4A">
        <w:t xml:space="preserve">der Arbeitnehmer </w:t>
      </w:r>
      <w:r w:rsidR="006E6A4A">
        <w:t xml:space="preserve">aufrechterhält</w:t>
      </w:r>
      <w:r>
        <w:t xml:space="preserve">.</w:t>
      </w:r>
    </w:p>
    <w:p w:rsidRPr="00D90A18" w:rsidR="00D90A18" w:rsidP="00750824" w:rsidRDefault="00000000" w14:paraId="593B1833" w14:textId="77777777">
      <w:pPr>
        <w:jc w:val="both"/>
      </w:pPr>
      <w:r>
        <w:t xml:space="preserve"> </w:t>
      </w:r>
    </w:p>
    <w:p w:rsidR="00983F19" w:rsidP="00750824" w:rsidRDefault="00000000" w14:paraId="4B1C432E" w14:textId="77777777">
      <w:pPr>
        <w:pStyle w:val="RedBlock"/>
      </w:pPr>
      <w:r>
        <w:rPr>
          <w:b/>
          <w:bCs/>
        </w:rPr>
        <w:t xml:space="preserve">Herausforderung 9.8: Die Plattformen warten bewusst auf die Umsetzung</w:t>
      </w:r>
    </w:p>
    <w:p w:rsidR="00983F19" w:rsidP="00750824" w:rsidRDefault="00000000" w14:paraId="164A0FB5" w14:textId="6D5BC8FB">
      <w:pPr>
        <w:pStyle w:val="RedBlock"/>
      </w:pPr>
      <w:r>
        <w:t xml:space="preserve">Ein Beitrag zum SDDP-Projekt aus Italien dokumentiert eine Feststellung, die von den Gewerkschaften in allen Partnerländern bestätigt wurde: Plattformkonzerne ändern ihr Geschäftsmodell bewusst nicht vor Ablauf der Umsetzungsfrist der Richtlinie, um keinen Präzedenzfall zu schaffen, der über die Mindestanforderungen hinausginge. Die Logik ist klar: Jeder freiwillig abgeschlossene Tarifvertrag oder </w:t>
      </w:r>
      <w:r>
        <w:t xml:space="preserve">jede Statusänderung vor Dezember 2026 würde zu einem Bezugspunkt für Verhandlungen nach der Umsetzung werden.</w:t>
      </w:r>
    </w:p>
    <w:p w:rsidR="00983F19" w:rsidP="00750824" w:rsidRDefault="00000000" w14:paraId="32495DFC" w14:textId="3CED9928">
      <w:pPr>
        <w:pStyle w:val="RedBlock"/>
      </w:pPr>
      <w:r>
        <w:rPr>
          <w:b/>
          <w:bCs/>
        </w:rPr>
        <w:t xml:space="preserve">Die Folge: </w:t>
      </w:r>
      <w:r>
        <w:t xml:space="preserve">Verhandlungen über Tarifverträge vor Ablauf der Frist sind zwar möglich </w:t>
      </w:r>
      <w:r w:rsidR="00D7386B">
        <w:t xml:space="preserve">– </w:t>
      </w:r>
      <w:r>
        <w:t xml:space="preserve">die Plattformen sind bereit, diese unter bestimmten Bedingungen abzuschließen </w:t>
      </w:r>
      <w:r w:rsidR="00D7386B">
        <w:t xml:space="preserve">–</w:t>
      </w:r>
      <w:r>
        <w:t xml:space="preserve">, werden aber strategisch von den Plattformen erschwert, die einen Einfrieren der Inhalte bis zum Abschluss der Umsetzung verlangen.</w:t>
      </w:r>
    </w:p>
    <w:p w:rsidR="00983F19" w:rsidP="00750824" w:rsidRDefault="00000000" w14:paraId="43A74E1C" w14:textId="77777777">
      <w:pPr>
        <w:jc w:val="both"/>
      </w:pPr>
      <w:r>
        <w:t xml:space="preserve"> </w:t>
      </w:r>
    </w:p>
    <w:p w:rsidR="00983F19" w:rsidP="00750824" w:rsidRDefault="00000000" w14:paraId="046C5F8B" w14:textId="77777777">
      <w:pPr>
        <w:pStyle w:val="RedBlock"/>
      </w:pPr>
      <w:r>
        <w:rPr>
          <w:b/>
          <w:bCs/>
        </w:rPr>
        <w:t xml:space="preserve">Herausforderung 9.9: Wanderarbeitnehmer: besondere Schutzbedürftigkeit</w:t>
      </w:r>
    </w:p>
    <w:p w:rsidR="00983F19" w:rsidP="00750824" w:rsidRDefault="00000000" w14:paraId="4C9A0307" w14:textId="0FC600DE">
      <w:pPr>
        <w:pStyle w:val="RedBlock"/>
      </w:pPr>
      <w:r>
        <w:t xml:space="preserve">Der Lieferdienstsektor ist in allen fünf Partnerländern überdurchschnittlich stark von Arbeitsmigranten geprägt. Ihre besondere Gefährdung hat drei Ursachen: Sprachbarrieren verhindern das Verständnis ihrer Rechte; ein unsicherer Rechtsstatus </w:t>
      </w:r>
      <w:r w:rsidR="006E6A4A">
        <w:t xml:space="preserve">hält </w:t>
      </w:r>
      <w:r>
        <w:t xml:space="preserve">davon</w:t>
      </w:r>
      <w:r w:rsidR="006E6A4A">
        <w:t xml:space="preserve"> ab, </w:t>
      </w:r>
      <w:r>
        <w:t xml:space="preserve">Verstöße zu melden; die wirtschaftliche Abhängigkeit vom Einkommen aus der Plattformarbeit erschwert kollektives Handeln. Das Fairwork-Projekt stellt fest, dass Wanderarbeitnehmer oft </w:t>
      </w:r>
      <w:r w:rsidR="006E6A4A">
        <w:t xml:space="preserve">am stärksten </w:t>
      </w:r>
      <w:r>
        <w:t xml:space="preserve">unter den Folgen von Vermittlungsstrukturen leiden, die Löhne nicht auszahlen oder keine Sozialabgaben abführen.</w:t>
      </w:r>
      <w:r>
        <w:rPr>
          <w:rStyle w:val="Sprotnaopomba-sklic"/>
        </w:rPr>
        <w:footnoteReference w:id="17"/>
      </w:r>
    </w:p>
    <w:p w:rsidR="00983F19" w:rsidP="00750824" w:rsidRDefault="00000000" w14:paraId="4B7311D6" w14:textId="77777777">
      <w:pPr>
        <w:pStyle w:val="RedBlock"/>
      </w:pPr>
      <w:r>
        <w:rPr>
          <w:b/>
          <w:bCs/>
        </w:rPr>
        <w:t xml:space="preserve">Risiko für die Richtlinie: </w:t>
      </w:r>
      <w:r>
        <w:t xml:space="preserve">Ohne spezielle Maßnahmen für Wanderarbeitnehmer wird die Richtlinie tatsächlich nur für jene Arbeitnehmer zugänglich sein, die den Mut und das Wissen haben, ihre Rechte durchzusetzen.</w:t>
      </w:r>
    </w:p>
    <w:p w:rsidR="00983F19" w:rsidP="00750824" w:rsidRDefault="00000000" w14:paraId="188026F8" w14:textId="77777777">
      <w:pPr>
        <w:jc w:val="both"/>
      </w:pPr>
      <w:r>
        <w:t xml:space="preserve"> </w:t>
      </w:r>
    </w:p>
    <w:p w:rsidR="00983F19" w:rsidP="00750824" w:rsidRDefault="00000000" w14:paraId="0763C4F9" w14:textId="77777777">
      <w:pPr>
        <w:pStyle w:val="RedBlock"/>
      </w:pPr>
      <w:r>
        <w:rPr>
          <w:b/>
          <w:bCs/>
        </w:rPr>
        <w:t xml:space="preserve">Herausforderung 9.10: Algorithmische Entwicklung: Systeme, die sich der Regulierung entziehen</w:t>
      </w:r>
    </w:p>
    <w:p w:rsidR="00983F19" w:rsidP="00750824" w:rsidRDefault="00000000" w14:paraId="198845DF" w14:textId="1AD7ACA1">
      <w:pPr>
        <w:pStyle w:val="RedBlock"/>
      </w:pPr>
      <w:r>
        <w:t xml:space="preserve">Die Richtlinie basiert auf dem Konzept der „Anweisungen und Kontrolle“ durch automatisierte Systeme. Die Plattformen werden die Gestaltung ihrer Algorithmen so anpassen, dass Umfang und Intensität der Kontrolle weniger offensichtlich sind. Anstelle </w:t>
      </w:r>
      <w:r w:rsidR="006E6A4A">
        <w:t xml:space="preserve">direkter Sanktionen </w:t>
      </w:r>
      <w:r>
        <w:t xml:space="preserve">werden sie </w:t>
      </w:r>
      <w:r>
        <w:t xml:space="preserve">„Empfehlungen“ einführen; anstelle von Deaktivierungsschwellen werden sie „Verfügbarkeitsboni“ einführen. Die formale Kontrolle wird weniger sichtbar sein </w:t>
      </w:r>
      <w:r w:rsidR="00D7386B">
        <w:t xml:space="preserve">– </w:t>
      </w:r>
      <w:r>
        <w:t xml:space="preserve">die tatsächliche wirtschaftliche Kontrolle bleibt jedoch bestehen. Die Expertengruppe der Europäischen Kommission weist in ihrem Bericht darauf hin, dass sich die Plattformwirtschaft ständig weiterentwickelt und dass der Begriff „Anweisungen und Kontrolle“ dynamisch verstanden werden muss, einschließlich indirekter Formen des Drucks durch negative Maßnahmen oder diskriminierende Aufgabenvergabe.</w:t>
      </w:r>
      <w:r>
        <w:rPr>
          <w:rStyle w:val="Sprotnaopomba-sklic"/>
        </w:rPr>
        <w:footnoteReference w:id="18"/>
      </w:r>
    </w:p>
    <w:p w:rsidR="00983F19" w:rsidP="00750824" w:rsidRDefault="00000000" w14:paraId="1BED4572" w14:textId="77777777">
      <w:pPr>
        <w:pStyle w:val="RedBlock"/>
      </w:pPr>
      <w:r>
        <w:rPr>
          <w:b/>
          <w:bCs/>
        </w:rPr>
        <w:lastRenderedPageBreak/>
      </w:r>
      <w:r>
        <w:rPr>
          <w:b/>
          <w:bCs/>
        </w:rPr>
        <w:t xml:space="preserve">Risiko: </w:t>
      </w:r>
      <w:r>
        <w:t xml:space="preserve">Rechtliche Prüfkriterien für „Anweisungen und Kontrolle“ veralten angesichts der algorithmischen Weiterentwicklung der Plattformen.</w:t>
      </w:r>
    </w:p>
    <w:p w:rsidR="00983F19" w:rsidP="00750824" w:rsidRDefault="00000000" w14:paraId="788DDA30" w14:textId="77777777">
      <w:pPr>
        <w:jc w:val="both"/>
      </w:pPr>
      <w:r>
        <w:t xml:space="preserve"> </w:t>
      </w:r>
    </w:p>
    <w:p w:rsidR="00983F19" w:rsidP="00750824" w:rsidRDefault="00000000" w14:paraId="74F850FB" w14:textId="77777777">
      <w:pPr>
        <w:pStyle w:val="RedBlock"/>
      </w:pPr>
      <w:r>
        <w:rPr>
          <w:b/>
          <w:bCs/>
        </w:rPr>
        <w:t xml:space="preserve">Herausforderung 9.11: Grenzüberschreitende Plattformen und Sitz außerhalb der EU</w:t>
      </w:r>
    </w:p>
    <w:p w:rsidR="00983F19" w:rsidP="00750824" w:rsidRDefault="00000000" w14:paraId="75479C99" w14:textId="5357D298">
      <w:pPr>
        <w:pStyle w:val="RedBlock"/>
      </w:pPr>
      <w:r>
        <w:t xml:space="preserve">Die Richtlinie gilt für alle digitalen Arbeitsplattformen, die die Arbeit von Arbeitnehmern mit Wohnsitz in der EU organisieren </w:t>
      </w:r>
      <w:r w:rsidR="00D7386B">
        <w:t xml:space="preserve">– </w:t>
      </w:r>
      <w:r>
        <w:t xml:space="preserve">unabhängig davon, wo die Plattform ihren Sitz hat. Artikel 24 Absatz 4 der Richtlinie sieht eine grenzüberschreitende Zusammenarbeit zwischen den zuständigen Behörden vor. Die Umsetzung erfordert jedoch eine aktive Koordinierung, die von der Europäischen Arbeitsagentur (ELA) gewährleistet wird. In der Praxis wird die Durchsetzung der Arbeitnehmerrechte bei Plattformen mit Sitz außerhalb der EU oder in Ländern mit minimalen Umsetzungsstandards Mechanismen erfordern, die über die Möglichkeiten einzelner nationaler Aufsichtsbehörden hinausgehen.</w:t>
      </w:r>
      <w:r>
        <w:rPr>
          <w:rStyle w:val="Sprotnaopomba-sklic"/>
        </w:rPr>
        <w:footnoteReference w:id="19"/>
      </w:r>
    </w:p>
    <w:p w:rsidR="00983F19" w:rsidP="00750824" w:rsidRDefault="00000000" w14:paraId="574F9DAE" w14:textId="3C2D4A67">
      <w:pPr>
        <w:pStyle w:val="RedBlock"/>
      </w:pPr>
      <w:r>
        <w:rPr>
          <w:b/>
          <w:bCs/>
        </w:rPr>
        <w:t xml:space="preserve">Risiko: </w:t>
      </w:r>
      <w:r>
        <w:t xml:space="preserve">Plattformen werden ihren Sitz außerhalb der EU oder in einem günstigeren Mitgliedstaat als Vorwand anführen, um sich </w:t>
      </w:r>
      <w:r w:rsidR="00E56EFA">
        <w:t xml:space="preserve">ihrer Verantwortung</w:t>
      </w:r>
      <w:r>
        <w:t xml:space="preserve"> zu entziehen</w:t>
      </w:r>
      <w:r w:rsidR="00E56EFA">
        <w:t xml:space="preserve">.</w:t>
      </w:r>
    </w:p>
    <w:p w:rsidR="00983F19" w:rsidP="00750824" w:rsidRDefault="00000000" w14:paraId="2460FF0B" w14:textId="77777777">
      <w:pPr>
        <w:pStyle w:val="Naslov2"/>
        <w:jc w:val="both"/>
      </w:pPr>
      <w:bookmarkStart w:name="_Toc233699511" w:id="81"/>
      <w:bookmarkStart w:name="priporočila-6" w:id="82"/>
      <w:bookmarkEnd w:id="80"/>
      <w:r>
        <w:t xml:space="preserve">9.3 Empfehlungen</w:t>
      </w:r>
      <w:bookmarkEnd w:id="81"/>
    </w:p>
    <w:p w:rsidR="00983F19" w:rsidP="00750824" w:rsidRDefault="00000000" w14:paraId="382512E0" w14:textId="77777777">
      <w:pPr>
        <w:jc w:val="both"/>
      </w:pPr>
      <w:r>
        <w:t xml:space="preserve">Die folgenden Empfehlungen sind eine direkte Reaktion auf die identifizierten Herausforderungen. Sie richten sich an die Arbeitsministerien und den EGB.</w:t>
      </w:r>
    </w:p>
    <w:p w:rsidR="00983F19" w:rsidP="00750824" w:rsidRDefault="00000000" w14:paraId="0151F8F7" w14:textId="77777777">
      <w:pPr>
        <w:jc w:val="both"/>
      </w:pPr>
      <w:r>
        <w:t xml:space="preserve"> </w:t>
      </w:r>
    </w:p>
    <w:p w:rsidR="00983F19" w:rsidP="00750824" w:rsidRDefault="00000000" w14:paraId="14ED26AD" w14:textId="6AE9AC4D">
      <w:pPr>
        <w:pStyle w:val="RedBlock"/>
      </w:pPr>
      <w:r w:rsidR="00615F18">
        <w:rPr>
          <w:b/>
          <w:bCs/>
        </w:rPr>
        <w:t xml:space="preserve">Emp</w:t>
      </w:r>
      <w:r>
        <w:rPr>
          <w:b/>
          <w:bCs/>
        </w:rPr>
        <w:t xml:space="preserve">fehlung 9.1 [ÜBER DAS MINIMUM HINAUS]: Verhinderung eines „dritten Status“: binärer Beschäftigungstest</w:t>
      </w:r>
    </w:p>
    <w:p w:rsidR="00983F19" w:rsidP="00750824" w:rsidRDefault="00000000" w14:paraId="68F179EF" w14:textId="77777777">
      <w:pPr>
        <w:pStyle w:val="RedBlock"/>
      </w:pPr>
      <w:r>
        <w:rPr>
          <w:b/>
          <w:bCs/>
        </w:rPr>
        <w:t xml:space="preserve">Das Übertragungsgesetz darf keine Zwischenstatus zwischen Arbeitnehmern und Selbstständigen einführen.</w:t>
      </w:r>
    </w:p>
    <w:p w:rsidR="00983F19" w:rsidP="00750824" w:rsidRDefault="00000000" w14:paraId="12DFC3C8" w14:textId="7525039A">
      <w:pPr>
        <w:pStyle w:val="RedBlock"/>
      </w:pPr>
      <w:r>
        <w:t xml:space="preserve">Die Richtlinie basiert auf einem binären Test: entweder </w:t>
      </w:r>
      <w:r w:rsidR="00615F18">
        <w:t xml:space="preserve">Arbeitnehmer </w:t>
      </w:r>
      <w:r>
        <w:t xml:space="preserve">oder Selbstständiger. Jegliche Zwischenstatus </w:t>
      </w:r>
      <w:r w:rsidR="00D7386B">
        <w:t xml:space="preserve">– </w:t>
      </w:r>
      <w:r>
        <w:t xml:space="preserve">parasubordinierte Arbeitsverhältnisse</w:t>
      </w:r>
      <w:r>
        <w:t xml:space="preserve">, abhängige Selbstständigkeit, wirtschaftlich abhängige Arbeitnehmer mit eingeschränkten Rechten </w:t>
      </w:r>
      <w:r w:rsidR="00D7386B">
        <w:t xml:space="preserve">–</w:t>
      </w:r>
      <w:r>
        <w:t xml:space="preserve">, </w:t>
      </w:r>
      <w:r>
        <w:t xml:space="preserve">die anstelle einer umfassenden Rechtsvermutung </w:t>
      </w:r>
      <w:r w:rsidR="00615F18">
        <w:t xml:space="preserve">der Beschäftigung </w:t>
      </w:r>
      <w:r>
        <w:t xml:space="preserve">eingeführt würden</w:t>
      </w:r>
      <w:r>
        <w:t xml:space="preserve">, entsprechen nicht dem Zweck der Richtlinie. </w:t>
      </w:r>
      <w:r>
        <w:rPr>
          <w:b/>
          <w:bCs/>
        </w:rPr>
        <w:t xml:space="preserve">Die Ministerien müssen sicherstellen, dass das Umsetzungsgesetz keinen dritten Status als „Lösung“ vorsieht. </w:t>
      </w:r>
      <w:r>
        <w:t xml:space="preserve">Arbeitnehmer in einem beliebigen Zwischenstatus müssen denselben Zugang zum Recht auf </w:t>
      </w:r>
      <w:r>
        <w:t xml:space="preserve">Vereinigungsfreiheit und Tarifverhandlungen </w:t>
      </w:r>
      <w:r>
        <w:t xml:space="preserve">haben </w:t>
      </w:r>
      <w:r>
        <w:t xml:space="preserve">wie </w:t>
      </w:r>
      <w:r w:rsidR="00615F18">
        <w:t xml:space="preserve">Arbeitnehmer in einem Arbeitsverhältnis</w:t>
      </w:r>
      <w:r>
        <w:t xml:space="preserve">.</w:t>
      </w:r>
    </w:p>
    <w:p w:rsidR="00983F19" w:rsidP="00750824" w:rsidRDefault="00000000" w14:paraId="2D669019" w14:textId="3D52C24E">
      <w:pPr>
        <w:pStyle w:val="RedBlock"/>
      </w:pPr>
      <w:r>
        <w:rPr>
          <w:b/>
          <w:bCs/>
        </w:rPr>
        <w:t xml:space="preserve">Quelle/Maßnahme: </w:t>
      </w:r>
      <w:r>
        <w:t xml:space="preserve">Beitrag von NIdiL-CGIL Florenz (Vorschlag für Empfehlungen, 2025): Die Gefahr eines dritten Status als </w:t>
      </w:r>
      <w:r>
        <w:t xml:space="preserve">Legitimation </w:t>
      </w:r>
      <w:r>
        <w:t xml:space="preserve">der Prekarisierung </w:t>
      </w:r>
      <w:r w:rsidR="00D7386B">
        <w:t xml:space="preserve">– </w:t>
      </w:r>
      <w:r>
        <w:t xml:space="preserve">Italien, Kroatien. </w:t>
      </w:r>
    </w:p>
    <w:p w:rsidR="00983F19" w:rsidP="00750824" w:rsidRDefault="00000000" w14:paraId="52B2CAA6" w14:textId="77777777">
      <w:pPr>
        <w:jc w:val="both"/>
      </w:pPr>
      <w:r>
        <w:t xml:space="preserve"> </w:t>
      </w:r>
    </w:p>
    <w:p w:rsidR="00983F19" w:rsidP="00750824" w:rsidRDefault="00000000" w14:paraId="726848E4" w14:textId="1FE45EEF">
      <w:pPr>
        <w:pStyle w:val="RedBlock"/>
      </w:pPr>
      <w:r>
        <w:rPr>
          <w:b/>
          <w:bCs/>
        </w:rPr>
        <w:t xml:space="preserve">Empfehlung 9.2 [AMBITIONIERT]: Dynamische Auslegung von Anweisungen und Kontrolle </w:t>
      </w:r>
      <w:r w:rsidR="00D7386B">
        <w:rPr>
          <w:b/>
          <w:bCs/>
        </w:rPr>
        <w:t xml:space="preserve">– </w:t>
      </w:r>
      <w:r>
        <w:rPr>
          <w:b/>
          <w:bCs/>
        </w:rPr>
        <w:t xml:space="preserve">Widerstandsfähigkeit gegenüber der algorithmischen Entwicklung</w:t>
      </w:r>
    </w:p>
    <w:p w:rsidR="00983F19" w:rsidP="00750824" w:rsidRDefault="00000000" w14:paraId="25C137D5" w14:textId="77777777">
      <w:pPr>
        <w:pStyle w:val="RedBlock"/>
      </w:pPr>
      <w:r>
        <w:rPr>
          <w:b/>
          <w:bCs/>
        </w:rPr>
        <w:t xml:space="preserve">Das Übertragungsgesetz darf keine statische Liste von Kriterien für Anweisungen und Kontrolle enthalten, die mit der Weiterentwicklung der Algorithmen veralten würde.</w:t>
      </w:r>
    </w:p>
    <w:p w:rsidR="00983F19" w:rsidP="00750824" w:rsidRDefault="00000000" w14:paraId="0087BA87" w14:textId="3C43930E">
      <w:pPr>
        <w:pStyle w:val="RedBlock"/>
      </w:pPr>
      <w:r>
        <w:t xml:space="preserve">Die Richtlinie basiert auf Fakten, nicht auf formalen Kriterien </w:t>
      </w:r>
      <w:r w:rsidR="00D7386B">
        <w:t xml:space="preserve">– </w:t>
      </w:r>
      <w:r w:rsidR="00E56EFA">
        <w:t xml:space="preserve">entscheidend </w:t>
      </w:r>
      <w:r>
        <w:t xml:space="preserve">ist, ob die faktischen Indikatoren für Anweisungen und Überwachung vorhanden sind, nicht aber, ob genau festgelegte formale Elemente vorliegen. Das Umsetzungsgesetz muss diese Dynamik bewahren: </w:t>
      </w:r>
      <w:r w:rsidR="00E56EFA">
        <w:t xml:space="preserve">Die Liste </w:t>
      </w:r>
      <w:r>
        <w:t xml:space="preserve">der indikativen Kriterien muss </w:t>
      </w:r>
      <w:r>
        <w:rPr>
          <w:b/>
          <w:bCs/>
        </w:rPr>
        <w:t xml:space="preserve">beispielhaft, nicht aber </w:t>
      </w:r>
      <w:r w:rsidR="00E56EFA">
        <w:rPr>
          <w:b/>
          <w:bCs/>
        </w:rPr>
        <w:t xml:space="preserve">erschöpfend</w:t>
      </w:r>
      <w:r>
        <w:rPr>
          <w:b/>
          <w:bCs/>
        </w:rPr>
        <w:t xml:space="preserve"> sein</w:t>
      </w:r>
      <w:r>
        <w:t xml:space="preserve">. Aufsichtsbehörden und Gerichte müssen befugt sein, neue Formen der algorithmischen Überwachung zu berücksichtigen, die zum Zeitpunkt der Verabschiedung des Gesetzes nicht vorhersehbar waren. Genau zu diesem Zweck müssen die Aufsichtsbehörden Zugang zu den algorithmischen Daten der Plattformen haben.</w:t>
      </w:r>
    </w:p>
    <w:p w:rsidR="00983F19" w:rsidP="00750824" w:rsidRDefault="00000000" w14:paraId="720B7FD7" w14:textId="2C2DA4D1">
      <w:pPr>
        <w:pStyle w:val="RedBlock"/>
      </w:pPr>
      <w:r>
        <w:rPr>
          <w:b/>
          <w:bCs/>
        </w:rPr>
        <w:t xml:space="preserve">Quelle/Maßnahme: </w:t>
      </w:r>
      <w:r>
        <w:t xml:space="preserve">EK-Expertengruppe: Die Richtlinie verlangt keine Kriterien</w:t>
      </w:r>
      <w:r w:rsidR="00E56EFA">
        <w:t xml:space="preserve">, </w:t>
      </w:r>
      <w:r>
        <w:t xml:space="preserve">ein</w:t>
      </w:r>
      <w:r>
        <w:t xml:space="preserve"> </w:t>
      </w:r>
      <w:r>
        <w:t xml:space="preserve">Prima-facie</w:t>
      </w:r>
      <w:r>
        <w:t xml:space="preserve">-Standard sowie faktische Indikatoren für Anweisungen und Überwachung </w:t>
      </w:r>
      <w:r>
        <w:t xml:space="preserve">reichen aus</w:t>
      </w:r>
      <w:r>
        <w:t xml:space="preserve">. Artikel 5 Absatz 1 der Richtlinie</w:t>
      </w:r>
      <w:r w:rsidR="00E56EFA">
        <w:t xml:space="preserve">: </w:t>
      </w:r>
      <w:r>
        <w:t xml:space="preserve">„</w:t>
      </w:r>
      <w:r>
        <w:t xml:space="preserve">Labour</w:t>
      </w:r>
      <w:r>
        <w:lastRenderedPageBreak/>
      </w:r>
      <w:r>
        <w:t xml:space="preserve"> -intermediation</w:t>
      </w:r>
      <w:r w:rsidR="00E56EFA">
        <w:t xml:space="preserve">“; </w:t>
      </w:r>
      <w:r>
        <w:t xml:space="preserve">Plattformen sind chamäleonartige Einheiten, die sich an das regulatorische Umfeld anpassen.</w:t>
      </w:r>
    </w:p>
    <w:p w:rsidR="00983F19" w:rsidP="00750824" w:rsidRDefault="00000000" w14:paraId="3E346127" w14:textId="77777777">
      <w:pPr>
        <w:jc w:val="both"/>
      </w:pPr>
      <w:r>
        <w:t xml:space="preserve"> </w:t>
      </w:r>
    </w:p>
    <w:p w:rsidR="00983F19" w:rsidP="00750824" w:rsidRDefault="00000000" w14:paraId="0A00D1FE" w14:textId="77777777">
      <w:pPr>
        <w:jc w:val="both"/>
      </w:pPr>
      <w:r>
        <w:t xml:space="preserve"> </w:t>
      </w:r>
    </w:p>
    <w:p w:rsidR="00983F19" w:rsidP="00750824" w:rsidRDefault="00000000" w14:paraId="377E7C66" w14:textId="47DDC2DB">
      <w:pPr>
        <w:jc w:val="both"/>
      </w:pPr>
      <w:r>
        <w:rPr>
          <w:i/>
          <w:iCs/>
        </w:rPr>
        <w:t xml:space="preserve">Die Herausforderungen bei der Umsetzung sind keine Überraschung </w:t>
      </w:r>
      <w:r w:rsidR="00D7386B">
        <w:rPr>
          <w:i/>
          <w:iCs/>
        </w:rPr>
        <w:t xml:space="preserve">– </w:t>
      </w:r>
      <w:r>
        <w:rPr>
          <w:i/>
          <w:iCs/>
        </w:rPr>
        <w:t xml:space="preserve">sie sind das vorhersehbare Ergebnis von Geschäftsmodellen, die mit dem bewussten Ziel geschaffen wurden, arbeitsrechtliche </w:t>
      </w:r>
      <w:r w:rsidR="00E56EFA">
        <w:rPr>
          <w:i/>
          <w:iCs/>
        </w:rPr>
        <w:t xml:space="preserve">Verpflichtungen der Plattformen </w:t>
      </w:r>
      <w:r>
        <w:rPr>
          <w:i/>
          <w:iCs/>
        </w:rPr>
        <w:t xml:space="preserve">zu umgehen</w:t>
      </w:r>
      <w:r>
        <w:rPr>
          <w:i/>
          <w:iCs/>
        </w:rPr>
        <w:t xml:space="preserve">. Den Ministerien bietet sich eine einmalige legislative Chance, wie sie nur einmal pro Generation auftritt: Die Richtlinie gibt ihnen das Mandat, die Ressourcen und die Frist vor. Die Frage ist nicht, ob </w:t>
      </w:r>
      <w:r>
        <w:rPr>
          <w:i/>
          <w:iCs/>
        </w:rPr>
        <w:t xml:space="preserve">die Plattformen versuchen werden</w:t>
      </w:r>
      <w:r w:rsidR="00E56EFA">
        <w:rPr>
          <w:i/>
          <w:iCs/>
        </w:rPr>
        <w:t xml:space="preserve">, sich </w:t>
      </w:r>
      <w:r>
        <w:rPr>
          <w:i/>
          <w:iCs/>
        </w:rPr>
        <w:t xml:space="preserve">der Richtlinie zu entziehen. Die Frage ist, ob das Umsetzungsgesetz und </w:t>
      </w:r>
      <w:r w:rsidR="00E56EFA">
        <w:rPr>
          <w:i/>
          <w:iCs/>
        </w:rPr>
        <w:t xml:space="preserve">die Überwachung seiner Umsetzung </w:t>
      </w:r>
      <w:r>
        <w:rPr>
          <w:i/>
          <w:iCs/>
        </w:rPr>
        <w:t xml:space="preserve">robust genug </w:t>
      </w:r>
      <w:r>
        <w:rPr>
          <w:i/>
          <w:iCs/>
        </w:rPr>
        <w:t xml:space="preserve">sein werden</w:t>
      </w:r>
      <w:r>
        <w:rPr>
          <w:i/>
          <w:iCs/>
        </w:rPr>
        <w:t xml:space="preserve">, um dies zu verhindern.</w:t>
      </w:r>
    </w:p>
    <w:p w:rsidR="00750824" w:rsidRDefault="00750824" w14:paraId="3A6CA70A" w14:textId="77777777">
      <w:pPr>
        <w:rPr>
          <w:b/>
          <w:bCs/>
          <w:color w:val="1F3864"/>
          <w:sz w:val="36"/>
          <w:szCs w:val="36"/>
        </w:rPr>
      </w:pPr>
      <w:bookmarkStart w:name="poglavje-11-zaključek" w:id="83"/>
      <w:bookmarkEnd w:id="75"/>
      <w:bookmarkEnd w:id="82"/>
      <w:r>
        <w:br w:type="page"/>
      </w:r>
    </w:p>
    <w:p w:rsidR="00983F19" w:rsidP="00750824" w:rsidRDefault="00000000" w14:paraId="0A7728D4" w14:textId="2D33E1DD">
      <w:pPr>
        <w:pStyle w:val="Naslov1"/>
        <w:jc w:val="both"/>
      </w:pPr>
      <w:bookmarkStart w:name="_Toc233699512" w:id="84"/>
      <w:r>
        <w:lastRenderedPageBreak/>
      </w:r>
      <w:r>
        <w:t xml:space="preserve">Kapitel 10: Schlussfolgerung</w:t>
      </w:r>
      <w:bookmarkEnd w:id="84"/>
    </w:p>
    <w:p w:rsidR="00983F19" w:rsidP="00750824" w:rsidRDefault="00000000" w14:paraId="18660357" w14:textId="7822C9AE">
      <w:pPr>
        <w:jc w:val="both"/>
      </w:pPr>
      <w:r>
        <w:t xml:space="preserve">Die Richtlinie (EU) 2024/2831 zur Verbesserung der Arbeitsbedingungen in der Plattformarbeit ist nicht nur ein weiterer Rechtsakt, der in nationales Recht umgesetzt werden muss. Sie ist die erste systematische Antwort der Europäischen Union auf ein Geschäftsmodell, das in fünfzehn Jahren eine neue Form der Arbeit geschaffen hat </w:t>
      </w:r>
      <w:r w:rsidR="00D7386B">
        <w:t xml:space="preserve">– </w:t>
      </w:r>
      <w:r>
        <w:t xml:space="preserve">Arbeit ohne grundlegende Schutzmaßnahmen, organisiert über digitale Plattformen für mehrere Millionen Menschen, mit algorithmischer Steuerung anstelle menschlicher Führung und mit Kontrolle ohne Verantwortung. Die Frage, mit der sich dieses Dokument befasst, ist nicht, ob die Richtlinie umgesetzt wird </w:t>
      </w:r>
      <w:r w:rsidR="00D7386B">
        <w:t xml:space="preserve">– </w:t>
      </w:r>
      <w:r>
        <w:t xml:space="preserve">dies ist eine gesetzliche Verpflichtung bis zum 2. Dezember 2026. Die Frage ist vielmehr, ob sie so umgesetzt wird, dass sie die Arbeitsbedingungen </w:t>
      </w:r>
      <w:r w:rsidR="00BD4E18">
        <w:t xml:space="preserve">für immer mehr Arbeitnehmer*innen in der EU </w:t>
      </w:r>
      <w:r>
        <w:t xml:space="preserve">tatsächlich verändern und verbessern kann</w:t>
      </w:r>
      <w:r>
        <w:t xml:space="preserve">, oder ob sie zu einem weiteren formalen Rahmen wird, den die Plattformen schneller umgehen, als die Staaten ihn einführen können.</w:t>
      </w:r>
    </w:p>
    <w:p w:rsidR="00D90A18" w:rsidP="00750824" w:rsidRDefault="00D90A18" w14:paraId="1C9AEE89" w14:textId="77777777">
      <w:pPr>
        <w:jc w:val="both"/>
      </w:pPr>
    </w:p>
    <w:p w:rsidRPr="009742D7" w:rsidR="009742D7" w:rsidP="00750824" w:rsidRDefault="00000000" w14:paraId="7EBDADA5" w14:textId="60D8CD34">
      <w:pPr>
        <w:jc w:val="both"/>
      </w:pPr>
      <w:r>
        <w:t xml:space="preserve">Die Analyse </w:t>
      </w:r>
      <w:r w:rsidR="00BD4E18">
        <w:t xml:space="preserve">der Lage in </w:t>
      </w:r>
      <w:r w:rsidR="00BD4E18">
        <w:t xml:space="preserve">den</w:t>
      </w:r>
      <w:r>
        <w:t xml:space="preserve"> fünf </w:t>
      </w:r>
      <w:r w:rsidR="00BD4E18">
        <w:t xml:space="preserve">Partnerländern des Projekts</w:t>
      </w:r>
      <w:r>
        <w:t xml:space="preserve">, drei Tarifverträge und die Praxis der grenzüberschreitenden Umgehung von Vorschriften </w:t>
      </w:r>
      <w:r w:rsidR="00BD4E18">
        <w:t xml:space="preserve">untermauern </w:t>
      </w:r>
      <w:r>
        <w:t xml:space="preserve">die zentrale Überlegung dieses Dokuments: Die Erfahrungen aus Spanien nach der Verabschiedung </w:t>
      </w:r>
      <w:r>
        <w:t xml:space="preserve">des Lieferantengesetzes</w:t>
      </w:r>
      <w:r w:rsidR="00BD4E18">
        <w:t xml:space="preserve">, </w:t>
      </w:r>
      <w:r>
        <w:t xml:space="preserve">aus Belgien nach der Einführung der Rechtsvermutung im Jahr 2023 und aus Österreich, wo Lieferando im März 2025 die Entlassung von fast tausend festangestellten Lieferanten und den Übergang zu Verträgen als </w:t>
      </w:r>
      <w:r w:rsidR="00BD4E18">
        <w:t xml:space="preserve">„</w:t>
      </w:r>
      <w:r>
        <w:rPr>
          <w:i/>
          <w:iCs/>
        </w:rPr>
        <w:t xml:space="preserve">Freie </w:t>
      </w:r>
      <w:r>
        <w:rPr>
          <w:i/>
          <w:iCs/>
        </w:rPr>
        <w:t xml:space="preserve">Dienstnehmer</w:t>
      </w:r>
      <w:r w:rsidR="00BD4E18">
        <w:t xml:space="preserve">“ </w:t>
      </w:r>
      <w:r>
        <w:t xml:space="preserve">angekündigt hat</w:t>
      </w:r>
      <w:r w:rsidR="00BD4E18">
        <w:t xml:space="preserve">, </w:t>
      </w:r>
    </w:p>
    <w:p w:rsidR="00D90A18" w:rsidP="00750824" w:rsidRDefault="00000000" w14:paraId="4DBB95C4" w14:textId="47421CF2">
      <w:pPr>
        <w:jc w:val="both"/>
      </w:pPr>
      <w:r>
        <w:t xml:space="preserve">zeigen, dass die Plattformen auf jede neue Regulierung mit Umstrukturierungen reagieren, die deren Zweck zunichte machen.</w:t>
      </w:r>
    </w:p>
    <w:p w:rsidR="00D90A18" w:rsidP="00750824" w:rsidRDefault="00D90A18" w14:paraId="306D5FBD" w14:textId="77777777">
      <w:pPr>
        <w:jc w:val="both"/>
      </w:pPr>
    </w:p>
    <w:p w:rsidR="00983F19" w:rsidP="00750824" w:rsidRDefault="00000000" w14:paraId="6EFE9FD6" w14:textId="7BB7435B">
      <w:pPr>
        <w:jc w:val="both"/>
      </w:pPr>
      <w:r>
        <w:t xml:space="preserve">Es besteht die begründete Gefahr, dass sich nach der Umsetzung der Richtlinie dasselbe Muster wiederholt: Die Plattformen werden die Rechtsvermutung </w:t>
      </w:r>
      <w:r w:rsidR="00615F18">
        <w:t xml:space="preserve">eines Arbeitsverhältnisses</w:t>
      </w:r>
      <w:r>
        <w:t xml:space="preserve"> anfechten</w:t>
      </w:r>
      <w:r>
        <w:t xml:space="preserve">, </w:t>
      </w:r>
      <w:r w:rsidR="00BD4E18">
        <w:t xml:space="preserve">die Gerichtsverfahren werden </w:t>
      </w:r>
      <w:r>
        <w:t xml:space="preserve">Jahre </w:t>
      </w:r>
      <w:r w:rsidR="00BD4E18">
        <w:t xml:space="preserve">dauern</w:t>
      </w:r>
      <w:r>
        <w:t xml:space="preserve">, und die Arbeitnehmer bleiben in der Zwischenzeit ohne Schutz. Die Richtlinie erkennt dieses Problem zwar an, löst es aber nicht selbst. Die in diesem Dokument vorgeschlagene Lösung ist der soziale Dialog als Brücke: kein Ersatz für das Recht, sondern ein Mechanismus, der die Arbeitnehmer schützt, </w:t>
      </w:r>
      <w:r w:rsidR="00304218">
        <w:t xml:space="preserve">solange die Mühlen der Justiz mahlen</w:t>
      </w:r>
      <w:r>
        <w:t xml:space="preserve">. Das SDDP-Protokoll, das diesem Dokument als Anhang beigefügt ist, bietet einen konkreten Rahmen für einen solchen Dialog.</w:t>
      </w:r>
    </w:p>
    <w:p w:rsidR="00D90A18" w:rsidP="00750824" w:rsidRDefault="00D90A18" w14:paraId="3946CE34" w14:textId="77777777">
      <w:pPr>
        <w:jc w:val="both"/>
      </w:pPr>
    </w:p>
    <w:p w:rsidRPr="00D90A18" w:rsidR="00983F19" w:rsidP="00750824" w:rsidRDefault="00000000" w14:paraId="6C61654C" w14:textId="77777777">
      <w:pPr>
        <w:jc w:val="both"/>
        <w:rPr>
          <w:b/>
          <w:bCs/>
        </w:rPr>
      </w:pPr>
      <w:r>
        <w:rPr>
          <w:b/>
          <w:bCs/>
        </w:rPr>
        <w:t xml:space="preserve">Aus dem gesamten Dokument ergeben sich fünf Empfehlungen, die vorrangig berücksichtigt werden sollten:</w:t>
      </w:r>
    </w:p>
    <w:p w:rsidR="00D90A18" w:rsidP="00750824" w:rsidRDefault="00D90A18" w14:paraId="6F780E97" w14:textId="77777777">
      <w:pPr>
        <w:jc w:val="both"/>
      </w:pPr>
    </w:p>
    <w:p w:rsidR="00983F19" w:rsidP="00750824" w:rsidRDefault="00304218" w14:paraId="6BD4ABF7" w14:textId="57B2A235">
      <w:pPr>
        <w:jc w:val="both"/>
      </w:pPr>
      <w:r>
        <w:t xml:space="preserve">Erstens: Die Mitgliedstaaten sollten bei der Umsetzung von Artikel 5 keine eigenen Kriterien für die Begründung der Rechtsvermutung </w:t>
      </w:r>
      <w:r w:rsidR="00615F18">
        <w:t xml:space="preserve">eines Arbeitsverhältnisses</w:t>
      </w:r>
      <w:r>
        <w:t xml:space="preserve"> hinzufügen</w:t>
      </w:r>
      <w:r>
        <w:t xml:space="preserve">. Die Richtlinie legt einen Standard für die anfängliche Glaubwürdigkeit fest: Tatsachen, die auf Weisungen und Kontrolle hindeuten, reichen aus. Das belgische Gesetz aus dem Jahr 2023 legte zwei Gruppen von Kriterien fest (zwei von fünf oder drei von acht), was sich in der Praxis als unwirksam erwiesen hat </w:t>
      </w:r>
      <w:r w:rsidR="00D7386B">
        <w:t xml:space="preserve">– </w:t>
      </w:r>
      <w:r>
        <w:t xml:space="preserve">immer mehr große Plattformen haben erklärt, dass sie die Kriterien nicht erfüllen, und das Gesetz sah keine Durchsetzungsmechanismen vor, mit denen die Arbeitsaufsichtsbehörde die Vermutung direkt durchsetzen könnte. Ein Gewerkschafter der ACV-CSC richtete eine Anfrage an das Arbeitsministerium, was man zu unternehmen gedenke; die Antwort lautete, ob die Gewerkschaft selbst vor Gericht gehen wolle. Ein Gesetz ohne Durchsetzungsverfahren bleibt ein toter Buchstabe auf dem Papier. Jedes zusätzliche Kriterium ist ein weiterer Vorwand für die Plattform und ein weiterer Monat ohne Schutz für die Arbeitnehmer </w:t>
      </w:r>
      <w:r w:rsidR="00D7386B">
        <w:t xml:space="preserve">– </w:t>
      </w:r>
      <w:r>
        <w:t xml:space="preserve">ein zusätzlicher Durchsetzungsmechanismus ist jedoch eine Voraussetzung, ohne die selbst das ehrgeizigste Gesetz nichts ändert.</w:t>
      </w:r>
    </w:p>
    <w:p w:rsidR="00D90A18" w:rsidP="00750824" w:rsidRDefault="00D90A18" w14:paraId="58D61F56" w14:textId="77777777">
      <w:pPr>
        <w:jc w:val="both"/>
      </w:pPr>
    </w:p>
    <w:p w:rsidR="00983F19" w:rsidP="00750824" w:rsidRDefault="00304218" w14:paraId="297D02C8" w14:textId="7DD53D38">
      <w:pPr>
        <w:jc w:val="both"/>
      </w:pPr>
      <w:r>
        <w:t xml:space="preserve">Zweitens: Die Verfahren zur Feststellung des korrekten Beschäftigungsstatus müssen effizient und in erster Linie verwaltungsrechtlicher, nicht gerichtlicher Natur sein. Gerichtsverfahren dauern Jahre </w:t>
      </w:r>
      <w:r w:rsidR="00D7386B">
        <w:t xml:space="preserve">– </w:t>
      </w:r>
      <w:r>
        <w:t xml:space="preserve">die Erfahrungen in Spanien </w:t>
      </w:r>
      <w:r>
        <w:t xml:space="preserve">belegen </w:t>
      </w:r>
      <w:r>
        <w:t xml:space="preserve">dies</w:t>
      </w:r>
      <w:r>
        <w:lastRenderedPageBreak/>
      </w:r>
      <w:r>
        <w:t xml:space="preserve"> mit fast vier Jahren Verfahrensdauer nach Verabschiedung des Gesetzes über Lieferfahrer. Verstärkte Arbeitsaufsichtsbehörden müssen die Befugnis und die Pflicht haben, den Beschäftigungsstatus durch einen Bescheid festzustellen, ohne auf ein Gerichtsverfahren zu warten und ohne die Zustimmung des Arbeitnehmers. Die Richtlinie enthält diese Verpflichtung in Artikel 5 Absatz 5, doch ihre wirksame Umsetzung erfordert, dass diese Befugnis ausdrücklich in die nationalen Umsetzungsmaßnahmen aufgenommen wird.</w:t>
      </w:r>
    </w:p>
    <w:p w:rsidR="00D90A18" w:rsidP="00750824" w:rsidRDefault="00D90A18" w14:paraId="3BE072A5" w14:textId="77777777">
      <w:pPr>
        <w:jc w:val="both"/>
      </w:pPr>
    </w:p>
    <w:p w:rsidR="00983F19" w:rsidP="00750824" w:rsidRDefault="00304218" w14:paraId="2C9B026D" w14:textId="47E904F8">
      <w:pPr>
        <w:jc w:val="both"/>
      </w:pPr>
      <w:r>
        <w:t xml:space="preserve">Drittens: Der vorübergehende kollektive Schutz während der Anfechtung der Rechtsvermutung </w:t>
      </w:r>
      <w:r w:rsidR="00D7386B">
        <w:t xml:space="preserve">– </w:t>
      </w:r>
      <w:r>
        <w:t xml:space="preserve">Empfehlung 6.5 dieses Dokuments </w:t>
      </w:r>
      <w:r w:rsidR="00D7386B">
        <w:t xml:space="preserve">– </w:t>
      </w:r>
      <w:r>
        <w:t xml:space="preserve">ist eine entscheidende Neuerung, die über die Anforderungen der Richtlinie hinausgeht. Stellt die Arbeitsaufsichtsbehörde fest, dass die Plattform ein Arbeitgeber ist, muss spätestens innerhalb von fünfzehn Tagen </w:t>
      </w:r>
      <w:r w:rsidR="00D7386B">
        <w:t xml:space="preserve">– </w:t>
      </w:r>
      <w:r>
        <w:t xml:space="preserve">oder innerhalb einer kürzeren Frist, die das nationale Recht zulässt </w:t>
      </w:r>
      <w:r w:rsidR="00D7386B">
        <w:t xml:space="preserve">– </w:t>
      </w:r>
      <w:r>
        <w:t xml:space="preserve">ein obligatorischer dreigliedriger Dialog eingeleitet werden, der eine vorläufige kollektive Vereinbarung über den Mindestlohn, Arbeitszeit und Sozialversicherungsbeiträgen gewährleistet. Die Vergütungen für die geleistete Arbeit und die gezahlten Beiträge verbleiben unabhängig vom Ausgang des Gerichtsverfahrens bei den Arbeitnehmern; die Plattform hat </w:t>
      </w:r>
      <w:r>
        <w:t xml:space="preserve">nur </w:t>
      </w:r>
      <w:r>
        <w:t xml:space="preserve">Anspruch auf </w:t>
      </w:r>
      <w:r>
        <w:t xml:space="preserve">eine</w:t>
      </w:r>
      <w:r>
        <w:t xml:space="preserve"> begrenzte </w:t>
      </w:r>
      <w:r>
        <w:t xml:space="preserve">Rückforderung </w:t>
      </w:r>
      <w:r>
        <w:t xml:space="preserve">der Differenz zum Entgelt für Selbstständige </w:t>
      </w:r>
      <w:r w:rsidR="00D7386B">
        <w:t xml:space="preserve">– </w:t>
      </w:r>
      <w:r>
        <w:t xml:space="preserve">nicht jedoch auf die Vergütungen für die geleistete Arbeit. Die Last der Rechtsunsicherheit trägt die Plattform, die das strittige Verhältnis geschaffen hat, nicht die Arbeitnehmer. Der Staat übernimmt das Risiko einer fehlerhaften Feststellung: Sollte sich die Entscheidung der Aufsichtsbehörde als falsch erweisen, trägt der Staat die Last der Rückzahlung der Auszahlungen </w:t>
      </w:r>
      <w:r w:rsidR="00D7386B">
        <w:t xml:space="preserve">– </w:t>
      </w:r>
      <w:r>
        <w:t xml:space="preserve">damit bürgt er für die Glaubwürdigkeit der Entscheidung und schafft einen Anreiz für qualitativ hochwertige Arbeit der Aufsichtsbehörde. Kein Mitgliedstaat sollte die Richtlinie ohne einen Mechanismus umsetzen, der das Rechtsvakuum zwischen der Entscheidung der Aufsichtsbehörde und einem rechtskräftigen Urteil schließt.</w:t>
      </w:r>
    </w:p>
    <w:p w:rsidR="00D90A18" w:rsidP="00750824" w:rsidRDefault="00D90A18" w14:paraId="51B8EB4F" w14:textId="77777777">
      <w:pPr>
        <w:jc w:val="both"/>
      </w:pPr>
    </w:p>
    <w:p w:rsidR="00983F19" w:rsidP="00750824" w:rsidRDefault="00492887" w14:paraId="3E281C20" w14:textId="70AA0B6E">
      <w:pPr>
        <w:jc w:val="both"/>
      </w:pPr>
      <w:r>
        <w:t xml:space="preserve">Viertens: verbindliche </w:t>
      </w:r>
      <w:r w:rsidR="00A25A76">
        <w:t xml:space="preserve">gesamtschuldnerische </w:t>
      </w:r>
      <w:r>
        <w:t xml:space="preserve">Haftung entlang der gesamten Kette von Vermittlern. Das Flottensystem </w:t>
      </w:r>
      <w:r w:rsidR="00D7386B">
        <w:t xml:space="preserve">– </w:t>
      </w:r>
      <w:r>
        <w:t xml:space="preserve">die Nutzung von Vermittlerketten zur Übertragung des Rechtsrisikos auf Briefkastenfirmen </w:t>
      </w:r>
      <w:r w:rsidR="00D7386B">
        <w:t xml:space="preserve">– </w:t>
      </w:r>
      <w:r>
        <w:t xml:space="preserve">ist ein struktureller Bestandteil des Geschäftsmodells von Plattformen, keine Ausnahme: Es ist bei fast der Hälfte der analysierten Plattformen vorhanden (siehe Kapitel 2). Die Richtlinie lässt in Artikel 3 eine gesamtschuldnerische Haftung zu, verlangt sie jedoch nicht. Diese Zweideutigkeit ist eine Chance für die Ministerien: </w:t>
      </w:r>
      <w:r>
        <w:t xml:space="preserve">Eine </w:t>
      </w:r>
      <w:r>
        <w:t xml:space="preserve">verbindliche </w:t>
      </w:r>
      <w:r w:rsidR="00A25A76">
        <w:t xml:space="preserve">gesamtschuldnerische </w:t>
      </w:r>
      <w:r>
        <w:t xml:space="preserve">Haftung, bei der die Plattform automatisch die Verbindlichkeiten des Subunternehmers gegenüber den Arbeitnehmern übernimmt, ist die einzige wirksame Maßnahme gegen ein Modell, das gerade darauf ausgelegt ist, der Haftung zu entgehen. Der EGB fordert die Verabschiedung einer Richtlinie über Untervergabe und Arbeitsvermittlung, die diese Haftung auf europäischer Ebene gesetzlich verankern würde.</w:t>
      </w:r>
    </w:p>
    <w:p w:rsidR="00D90A18" w:rsidP="00750824" w:rsidRDefault="00D90A18" w14:paraId="23CBDD14" w14:textId="77777777">
      <w:pPr>
        <w:jc w:val="both"/>
      </w:pPr>
    </w:p>
    <w:p w:rsidR="00983F19" w:rsidP="00750824" w:rsidRDefault="00492887" w14:paraId="5EED1FDB" w14:textId="63369F4B">
      <w:pPr>
        <w:jc w:val="both"/>
      </w:pPr>
      <w:r>
        <w:t xml:space="preserve">Fünftens: Der soziale Dialog mit einer proaktiven Rolle des Staates und der Institutionen als Voraussetzung für eine funktionierende Umsetzung. Die Richtlinie schafft ein umfassendes Spektrum an Rechten </w:t>
      </w:r>
      <w:r w:rsidR="00D7386B">
        <w:t xml:space="preserve">– </w:t>
      </w:r>
      <w:r>
        <w:t xml:space="preserve">von der Transparenz der Algorithmen bis zum Verbot von Vergeltungsmaßnahmen </w:t>
      </w:r>
      <w:r w:rsidR="00D7386B">
        <w:t xml:space="preserve">–</w:t>
      </w:r>
      <w:r>
        <w:t xml:space="preserve">, doch Rechte ohne Mechanismen zu ihrer Durchsetzung sind bedeutungslos. Der Staat darf nicht nur passiver Beobachter der Verhandlungen sein, sondern muss als aktiver Vermittler und Garant fungieren: mit einer gestärkten und für algorithmische Systeme qualifizierten Arbeitsaufsichtsbehörde, mit klaren Sanktionen bei Verstößen gegen die Transparenzpflicht (einschließlich der automatischen Nichtigkeit einer nicht begründeten algorithmischen Entscheidung), mit der Möglichkeit von Sammel- und Gruppenklagen, die in mehreren Mitgliedstaaten </w:t>
      </w:r>
      <w:r w:rsidR="00D7386B">
        <w:t xml:space="preserve">– </w:t>
      </w:r>
      <w:r>
        <w:t xml:space="preserve">darunter Deutschland und Slowenien </w:t>
      </w:r>
      <w:r w:rsidR="00D7386B">
        <w:t xml:space="preserve">– </w:t>
      </w:r>
      <w:r>
        <w:t xml:space="preserve">derzeit gesetzlich nicht zulässig sind, sowie mit Anreizen für Plattformen, die sich freiwillig an den Verhandlungen beteiligen.</w:t>
      </w:r>
    </w:p>
    <w:p w:rsidR="00D90A18" w:rsidP="00750824" w:rsidRDefault="00D90A18" w14:paraId="49EBFB5C" w14:textId="77777777">
      <w:pPr>
        <w:jc w:val="both"/>
      </w:pPr>
    </w:p>
    <w:p w:rsidRPr="00D90A18" w:rsidR="00983F19" w:rsidP="00750824" w:rsidRDefault="00000000" w14:paraId="7D16DA5A" w14:textId="7A673C1C">
      <w:pPr>
        <w:jc w:val="both"/>
        <w:rPr>
          <w:rStyle w:val="Poudarek"/>
        </w:rPr>
      </w:pPr>
      <w:r>
        <w:rPr>
          <w:rStyle w:val="Poudarek"/>
        </w:rPr>
        <w:t xml:space="preserve">Diese Empfehlungen sind umfassend </w:t>
      </w:r>
      <w:r w:rsidR="00D7386B">
        <w:rPr>
          <w:rStyle w:val="Poudarek"/>
        </w:rPr>
        <w:t xml:space="preserve">– </w:t>
      </w:r>
      <w:r>
        <w:rPr>
          <w:rStyle w:val="Poudarek"/>
        </w:rPr>
        <w:t xml:space="preserve">das Dokument enthält mehr als vierzig davon. Gleichzeitig sind es jedoch genau jene, ohne die die Umsetzung der Richtlinie nichts für den Arbeitnehmer ändern wird, der um zehn Uhr abends im Regen mit dem Fahrrad Essen ausliefert und nicht weiß, ob ihm der Algorithmus heute noch Arbeit anbieten </w:t>
      </w:r>
      <w:r w:rsidR="004F26A1">
        <w:rPr>
          <w:rStyle w:val="Poudarek"/>
        </w:rPr>
        <w:t xml:space="preserve">und ihm </w:t>
      </w:r>
      <w:r>
        <w:rPr>
          <w:rStyle w:val="Poudarek"/>
        </w:rPr>
        <w:t xml:space="preserve">morgen den Zugang zur App ermöglichen </w:t>
      </w:r>
      <w:r>
        <w:rPr>
          <w:rStyle w:val="Poudarek"/>
        </w:rPr>
        <w:t xml:space="preserve">wird</w:t>
      </w:r>
      <w:r>
        <w:rPr>
          <w:rStyle w:val="Poudarek"/>
        </w:rPr>
        <w:t xml:space="preserve">.</w:t>
      </w:r>
    </w:p>
    <w:p w:rsidR="00D90A18" w:rsidP="00750824" w:rsidRDefault="00D90A18" w14:paraId="70C3980B" w14:textId="77777777">
      <w:pPr>
        <w:jc w:val="both"/>
      </w:pPr>
    </w:p>
    <w:p w:rsidR="00983F19" w:rsidP="00750824" w:rsidRDefault="00000000" w14:paraId="1AACC6D3" w14:textId="532213F9">
      <w:pPr>
        <w:jc w:val="both"/>
      </w:pPr>
      <w:r>
        <w:rPr>
          <w:rStyle w:val="Krepko"/>
        </w:rPr>
        <w:t xml:space="preserve">Die Richtlinie löst nicht alle Probleme. </w:t>
      </w:r>
      <w:r>
        <w:t xml:space="preserve">Sie geht nicht auf die besondere Schutzbedürftigkeit von Arbeitsmigranten ein, die in allen fünf Partnerländern einen großen Anteil der Plattformarbeitnehmer ausmachen und </w:t>
      </w:r>
      <w:r w:rsidR="004F26A1">
        <w:t xml:space="preserve">sich </w:t>
      </w:r>
      <w:r>
        <w:t xml:space="preserve">aufgrund von Sprachbarrieren, unsicherem Aufenthaltsstatus und Abhängigkeit von der Plattform nicht trauen, ihre Rechte geltend zu machen</w:t>
      </w:r>
      <w:r>
        <w:lastRenderedPageBreak/>
      </w:r>
      <w:r>
        <w:t xml:space="preserve"> . Sie beseitigt nicht das Risiko, dass einige Mitgliedstaaten </w:t>
      </w:r>
      <w:r w:rsidR="00016B3D">
        <w:t xml:space="preserve">einen </w:t>
      </w:r>
      <w:r>
        <w:t xml:space="preserve">zwischengeschalteten </w:t>
      </w:r>
      <w:r>
        <w:t xml:space="preserve">„dritten </w:t>
      </w:r>
      <w:r w:rsidR="00016B3D">
        <w:t xml:space="preserve">Status“ </w:t>
      </w:r>
      <w:r>
        <w:t xml:space="preserve">einführen </w:t>
      </w:r>
      <w:r w:rsidR="00D7386B">
        <w:t xml:space="preserve">– </w:t>
      </w:r>
      <w:r>
        <w:t xml:space="preserve">nach dem Vorbild des italienischen </w:t>
      </w:r>
      <w:r w:rsidRPr="00016B3D">
        <w:t xml:space="preserve">„anderweitig organisierten </w:t>
      </w:r>
      <w:r w:rsidRPr="00016B3D" w:rsidR="004F26A1">
        <w:t xml:space="preserve">Mitarbeiters“</w:t>
      </w:r>
      <w:r w:rsidRPr="004F26A1">
        <w:t xml:space="preserve"> (</w:t>
      </w:r>
      <w:r w:rsidRPr="00016B3D" w:rsidR="004F26A1">
        <w:t xml:space="preserve">„</w:t>
      </w:r>
      <w:r w:rsidRPr="00016B3D">
        <w:t xml:space="preserve">collaboratore</w:t>
      </w:r>
      <w:r w:rsidRPr="004F26A1" w:rsidR="004F26A1">
        <w:t xml:space="preserve"> </w:t>
      </w:r>
      <w:r w:rsidRPr="00016B3D" w:rsidR="004F26A1">
        <w:t xml:space="preserve">etero-organizzato“</w:t>
      </w:r>
      <w:r w:rsidRPr="004F26A1">
        <w:t xml:space="preserve">) </w:t>
      </w:r>
      <w:r>
        <w:t xml:space="preserve">oder des österreichischen </w:t>
      </w:r>
      <w:r w:rsidRPr="00016B3D">
        <w:t xml:space="preserve">„Freien </w:t>
      </w:r>
      <w:r w:rsidRPr="004F26A1">
        <w:t xml:space="preserve">Dienstnehmers“ </w:t>
      </w:r>
      <w:r w:rsidR="00D7386B">
        <w:t xml:space="preserve">– </w:t>
      </w:r>
      <w:r>
        <w:t xml:space="preserve">der weder eine Beschäftigung noch eine Selbstständigkeit darstellt, sondern </w:t>
      </w:r>
      <w:r w:rsidR="004F26A1">
        <w:t xml:space="preserve">die Legalisierung </w:t>
      </w:r>
      <w:r>
        <w:t xml:space="preserve">bestehender Ausbeutung unter einem neuen Namen. Dies sind Aufgaben, die einen weiteren europäischen sozialen Dialog, verstärkte Arbeitsaufsichtsbehörden und politischen Willen erfordern, der nicht schon nach der ersten Lobbyrunde der Plattformen versiegt.</w:t>
      </w:r>
    </w:p>
    <w:p w:rsidR="00D90A18" w:rsidP="00750824" w:rsidRDefault="00D90A18" w14:paraId="7154449F" w14:textId="77777777">
      <w:pPr>
        <w:jc w:val="both"/>
      </w:pPr>
    </w:p>
    <w:p w:rsidRPr="009742D7" w:rsidR="009742D7" w:rsidP="00750824" w:rsidRDefault="009742D7" w14:paraId="48D97BE6" w14:textId="77777777">
      <w:pPr>
        <w:jc w:val="both"/>
      </w:pPr>
      <w:r>
        <w:t xml:space="preserve">Die Richtlinie bietet eine außergewöhnliche Chance, die wir nicht verpassen dürfen. Plattformarbeit, wie wir sie heute kennen, ist im Grunde prekäre Arbeit mit algorithmischer Steuerung: Arbeit ohne garantierten Mindestlohn, ohne soziale Sicherheit, ohne das Recht auf eine Begründung von Entscheidungen – und mit einem Algorithmus anstelle eines Menschen, der entscheidet, wer heute arbeitet, wie viel er verdienen wird und ob er morgen überhaupt noch Arbeit haben wird. Wenn wir diese Mechanismen jetzt nicht regulieren, werden wir ihnen bald überall begegnen: in der Logistik, im Einzelhandel, im Gastgewerbe, im Gesundheitswesen und in Callcentern. Die Plattformen haben die Prekarität nicht erfunden – sie haben lediglich alle bestehenden Lücken im Arbeitsrecht ausgenutzt und diese durch algorithmische Kontrolle und grenzüberschreitende Tätigkeit noch verstärkt. Deshalb ermöglicht uns die Richtlinie, diese Lücken nicht nur für die Plattformarbeit zu schließen, sondern für alle Arbeitsformen, in denen dieselben Ausbeutungsmechanismen auftreten.</w:t>
      </w:r>
    </w:p>
    <w:p w:rsidRPr="00D90A18" w:rsidR="00983F19" w:rsidP="00750824" w:rsidRDefault="00000000" w14:paraId="5A73155F" w14:textId="42529446">
      <w:pPr>
        <w:jc w:val="both"/>
        <w:rPr>
          <w:rStyle w:val="Krepko"/>
        </w:rPr>
      </w:pPr>
      <w:r>
        <w:rPr>
          <w:rStyle w:val="Krepko"/>
        </w:rPr>
        <w:t xml:space="preserve">Diese Gelegenheit zu verpassen bedeutet nicht nur, dass </w:t>
      </w:r>
      <w:r>
        <w:rPr>
          <w:rStyle w:val="Krepko"/>
        </w:rPr>
        <w:t xml:space="preserve">Plattformarbeiter ungeschützt </w:t>
      </w:r>
      <w:r>
        <w:rPr>
          <w:rStyle w:val="Krepko"/>
        </w:rPr>
        <w:t xml:space="preserve">bleiben</w:t>
      </w:r>
      <w:r w:rsidR="00BB1A2F">
        <w:rPr>
          <w:rStyle w:val="Krepko"/>
        </w:rPr>
        <w:t xml:space="preserve">, </w:t>
      </w:r>
      <w:r>
        <w:rPr>
          <w:rStyle w:val="Krepko"/>
        </w:rPr>
        <w:t xml:space="preserve">sondern auch, dass ihr Modell </w:t>
      </w:r>
      <w:r w:rsidR="00BB1A2F">
        <w:rPr>
          <w:rStyle w:val="Krepko"/>
        </w:rPr>
        <w:t xml:space="preserve">zur</w:t>
      </w:r>
      <w:r>
        <w:rPr>
          <w:rStyle w:val="Krepko"/>
        </w:rPr>
        <w:t xml:space="preserve"> neuen </w:t>
      </w:r>
      <w:r w:rsidR="00BB1A2F">
        <w:rPr>
          <w:rStyle w:val="Krepko"/>
        </w:rPr>
        <w:t xml:space="preserve">Arbeitsnorm für alle </w:t>
      </w:r>
      <w:r>
        <w:rPr>
          <w:rStyle w:val="Krepko"/>
        </w:rPr>
        <w:t xml:space="preserve">wird</w:t>
      </w:r>
      <w:r>
        <w:rPr>
          <w:rStyle w:val="Krepko"/>
        </w:rPr>
        <w:t xml:space="preserve">.</w:t>
      </w:r>
    </w:p>
    <w:p w:rsidR="00D90A18" w:rsidP="00750824" w:rsidRDefault="00D90A18" w14:paraId="0C07D028" w14:textId="77777777">
      <w:pPr>
        <w:jc w:val="both"/>
      </w:pPr>
    </w:p>
    <w:p w:rsidR="00983F19" w:rsidP="00750824" w:rsidRDefault="00000000" w14:paraId="22C93E90" w14:textId="0D97D13C">
      <w:pPr>
        <w:jc w:val="both"/>
      </w:pPr>
      <w:r>
        <w:rPr>
          <w:rStyle w:val="Krepko"/>
        </w:rPr>
        <w:t xml:space="preserve">Die Frist ist klar: 2. Dezember 2026.</w:t>
      </w:r>
      <w:r>
        <w:t xml:space="preserve"> Nach einer Analyse von fünf Ländern, drei Tarifverträgen und dokumentierten Umgehungsstrategien schließt dieses Dokument mit einer Feststellung, die zugleich eine Warnung ist: Die Herausforderungen bei der Umsetzung sind nicht unvorhersehbar </w:t>
      </w:r>
      <w:r w:rsidR="00D7386B">
        <w:t xml:space="preserve">– </w:t>
      </w:r>
      <w:r>
        <w:t xml:space="preserve">sie sind ein wiederkehrendes Muster, das die Plattformen bereits in Spanien, Deutschland und anderswo erprobt haben. Ministerien, die präventiv vorgehen, werden die Richtlinie wirksam umsetzen. Ministerien, die auf den ersten Rechtsstreit warten, werden die belgische Erfahrung wiederholen: Gesetz auf dem Papier, Prekarisierung in der Praxis.</w:t>
      </w:r>
    </w:p>
    <w:p w:rsidR="00D90A18" w:rsidP="00750824" w:rsidRDefault="00D90A18" w14:paraId="1D71DE5A" w14:textId="77777777">
      <w:pPr>
        <w:jc w:val="both"/>
      </w:pPr>
    </w:p>
    <w:p w:rsidR="00983F19" w:rsidP="00750824" w:rsidRDefault="00000000" w14:paraId="346BD37A" w14:textId="48F70648">
      <w:pPr>
        <w:jc w:val="both"/>
      </w:pPr>
      <w:r>
        <w:t xml:space="preserve">Das SDDP-Projekt </w:t>
      </w:r>
      <w:r w:rsidR="00D7386B">
        <w:t xml:space="preserve">– </w:t>
      </w:r>
      <w:r>
        <w:t xml:space="preserve">fünf Länder, der EGB und partnerliche Gewerkschaftsverbände, zwei Jahre Feldarbeit </w:t>
      </w:r>
      <w:r w:rsidR="00D7386B">
        <w:t xml:space="preserve">– </w:t>
      </w:r>
      <w:r>
        <w:t xml:space="preserve">hat mit diesem Dokument konkrete, überprüfbare Empfehlungen vorgelegt. Das Konsortium steht jedem Mitgliedstaat und jedem Sozialpartner zur Verfügung, der die Umsetzung der Richtlinie so gestalten möchte, dass die von ihr </w:t>
      </w:r>
      <w:r>
        <w:t xml:space="preserve">angesprochenen </w:t>
      </w:r>
      <w:r>
        <w:t xml:space="preserve">Personen tatsächlich geschützt werden</w:t>
      </w:r>
      <w:r>
        <w:t xml:space="preserve">.</w:t>
      </w:r>
      <w:bookmarkEnd w:id="83"/>
    </w:p>
    <w:sectPr w:rsidR="00983F19">
      <w:footerReference w:type="default" r:id="rId8"/>
      <w:pgSz w:w="11906" w:h="16838"/>
      <w:pgMar w:top="144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779E" w:rsidRDefault="00AA779E" w14:paraId="14AEC7F3" w14:textId="77777777">
      <w:r>
        <w:separator/>
      </w:r>
    </w:p>
  </w:endnote>
  <w:endnote w:type="continuationSeparator" w:id="0">
    <w:p w:rsidR="00AA779E" w:rsidRDefault="00AA779E" w14:paraId="045AD2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30D3" w:rsidRDefault="007D30D3" w14:paraId="27F72AFB" w14:textId="517F802B">
    <w:pPr>
      <w:pStyle w:val="Noga"/>
    </w:pPr>
    <w:r>
      <w:rPr>
        <w:noProof/>
      </w:rPr>
      <w:drawing>
        <wp:inline distT="0" distB="0" distL="0" distR="0" wp14:anchorId="69CF034E" wp14:editId="0EAC88DC">
          <wp:extent cx="2513607" cy="525780"/>
          <wp:effectExtent l="0" t="0" r="0" b="7620"/>
          <wp:docPr id="14102094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209493" name="Slika 1410209493"/>
                  <pic:cNvPicPr/>
                </pic:nvPicPr>
                <pic:blipFill>
                  <a:blip r:embed="rId1">
                    <a:extLst>
                      <a:ext uri="{28A0092B-C50C-407E-A947-70E740481C1C}">
                        <a14:useLocalDpi xmlns:a14="http://schemas.microsoft.com/office/drawing/2010/main" val="0"/>
                      </a:ext>
                    </a:extLst>
                  </a:blip>
                  <a:stretch>
                    <a:fillRect/>
                  </a:stretch>
                </pic:blipFill>
                <pic:spPr>
                  <a:xfrm>
                    <a:off x="0" y="0"/>
                    <a:ext cx="2524927" cy="528148"/>
                  </a:xfrm>
                  <a:prstGeom prst="rect">
                    <a:avLst/>
                  </a:prstGeom>
                </pic:spPr>
              </pic:pic>
            </a:graphicData>
          </a:graphic>
        </wp:inline>
      </w:drawing>
    </w:r>
    <w:r>
      <w:tab/>
    </w:r>
    <w:r>
      <w:tab/>
    </w:r>
    <w:r>
      <w:rPr>
        <w:noProof/>
      </w:rPr>
      <w:drawing>
        <wp:inline distT="0" distB="0" distL="0" distR="0" wp14:anchorId="66E248D6" wp14:editId="24D34EB0">
          <wp:extent cx="1318260" cy="643872"/>
          <wp:effectExtent l="0" t="0" r="0" b="4445"/>
          <wp:docPr id="10789567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5670" name="Slika 107895670"/>
                  <pic:cNvPicPr/>
                </pic:nvPicPr>
                <pic:blipFill>
                  <a:blip r:embed="rId2">
                    <a:extLst>
                      <a:ext uri="{28A0092B-C50C-407E-A947-70E740481C1C}">
                        <a14:useLocalDpi xmlns:a14="http://schemas.microsoft.com/office/drawing/2010/main" val="0"/>
                      </a:ext>
                    </a:extLst>
                  </a:blip>
                  <a:stretch>
                    <a:fillRect/>
                  </a:stretch>
                </pic:blipFill>
                <pic:spPr>
                  <a:xfrm>
                    <a:off x="0" y="0"/>
                    <a:ext cx="1333079" cy="6511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779E" w:rsidRDefault="00AA779E" w14:paraId="3F50196E" w14:textId="77777777">
      <w:r>
        <w:separator/>
      </w:r>
    </w:p>
  </w:footnote>
  <w:footnote w:type="continuationSeparator" w:id="0">
    <w:p w:rsidR="00AA779E" w:rsidRDefault="00AA779E" w14:paraId="4F9902D5" w14:textId="77777777">
      <w:r>
        <w:continuationSeparator/>
      </w:r>
    </w:p>
  </w:footnote>
  <w:footnote w:id="1">
    <w:p w:rsidR="00983F19" w:rsidRDefault="00000000" w14:paraId="593AD28F" w14:textId="77777777">
      <w:pPr>
        <w:pStyle w:val="Sprotnaopomba-besedilo"/>
      </w:pPr>
      <w:r>
        <w:rPr>
          <w:rStyle w:val="Sprotnaopomba-sklic"/>
        </w:rPr>
        <w:footnoteRef/>
      </w:r>
      <w:r>
        <w:t xml:space="preserve"> Verordnung (EU) 2016/679 (DSGVO), insbesondere Art. 5 (Grundsätze der Verarbeitung) und Art. 25 (eingebauter und standardmäßiger Datenschutz). Die Anonymisierung und Aggregation von Daten sind eine Voraussetzung für die Vereinbarkeit des Registers mit der DSGVO.</w:t>
      </w:r>
    </w:p>
  </w:footnote>
  <w:footnote w:id="2">
    <w:p w:rsidR="00983F19" w:rsidRDefault="00000000" w14:paraId="40ACB082" w14:textId="77777777">
      <w:pPr>
        <w:pStyle w:val="Sprotnaopomba-besedilo"/>
      </w:pPr>
      <w:r>
        <w:rPr>
          <w:rStyle w:val="Sprotnaopomba-sklic"/>
        </w:rPr>
        <w:footnoteRef/>
      </w:r>
      <w:r>
        <w:t xml:space="preserve"> Verordnung (EU) 2022/2065 über digitale Dienste (DSA), Art. 13: Anbieter von Vermittlungsdiensten, die ihren Sitz nicht in der EU haben, müssen einen Rechtsvertreter in der Union benennen.</w:t>
      </w:r>
    </w:p>
  </w:footnote>
  <w:footnote w:id="3">
    <w:p w:rsidR="00983F19" w:rsidRDefault="00000000" w14:paraId="3BFC4F08" w14:textId="77777777">
      <w:pPr>
        <w:pStyle w:val="Sprotnaopomba-besedilo"/>
      </w:pPr>
      <w:r>
        <w:rPr>
          <w:rStyle w:val="Sprotnaopomba-sklic"/>
        </w:rPr>
        <w:footnoteRef/>
      </w:r>
      <w:r>
        <w:t xml:space="preserve"> Verordnung (EG) Nr. 593/2008 über das auf vertragliche Schuldverhältnisse anzuwendende Recht (Rom I), Artikel 8: Eine vertragliche Bestimmung zur Wahl ausländischen Rechts darf dem Arbeitnehmer nicht den Schutz entziehen, den ihm die zwingenden Vorschriften des Rechts des Staates gewähren, in dem oder aus dem der Arbeitnehmer gewöhnlich seine Arbeit verrichtet.</w:t>
      </w:r>
    </w:p>
  </w:footnote>
  <w:footnote w:id="4">
    <w:p w:rsidR="00983F19" w:rsidRDefault="00000000" w14:paraId="5970BDA5" w14:textId="77777777">
      <w:pPr>
        <w:pStyle w:val="Sprotnaopomba-besedilo"/>
      </w:pPr>
      <w:r>
        <w:rPr>
          <w:rStyle w:val="Sprotnaopomba-sklic"/>
        </w:rPr>
        <w:footnoteRef/>
      </w:r>
      <w:r>
        <w:t xml:space="preserve"> Verordnung (EU) 2016/679 des Europäischen Parlaments und des Rates vom 27. April 2016 zum Schutz natürlicher Personen bei der Verarbeitung personenbezogener Daten und zum freien Datenverkehr (DSGVO). Die EU-Richtlinie 2024/2831 führt im Bereich der Plattformarbeit strengere Sonderbestimmungen ein.</w:t>
      </w:r>
    </w:p>
  </w:footnote>
  <w:footnote w:id="5">
    <w:p w:rsidR="00983F19" w:rsidRDefault="00000000" w14:paraId="552857AE" w14:textId="77777777">
      <w:pPr>
        <w:pStyle w:val="Sprotnaopomba-besedilo"/>
      </w:pPr>
      <w:r>
        <w:rPr>
          <w:rStyle w:val="Sprotnaopomba-sklic"/>
        </w:rPr>
        <w:footnoteRef/>
      </w:r>
      <w:r>
        <w:t xml:space="preserve"> DSGVO, Artikel 35 Absatz 1: Eine Folgenabschätzung ist obligatorisch, wenn die Verarbeitung voraussichtlich ein hohes Risiko mit sich bringt. Die Richtlinie geht bei jeder Verarbeitung über AMDMS im Bereich der Plattformarbeit von einem solchen Risiko aus.</w:t>
      </w:r>
    </w:p>
  </w:footnote>
  <w:footnote w:id="6">
    <w:p w:rsidR="00983F19" w:rsidRDefault="00000000" w14:paraId="07B887E7" w14:textId="77777777">
      <w:pPr>
        <w:pStyle w:val="Sprotnaopomba-besedilo"/>
      </w:pPr>
      <w:r>
        <w:rPr>
          <w:rStyle w:val="Sprotnaopomba-sklic"/>
        </w:rPr>
        <w:footnoteRef/>
      </w:r>
      <w:r>
        <w:t xml:space="preserve"> EU-Richtlinie 2024/2831, Artikel 26 Absatz 2: Die Richtlinie berührt nicht das Recht der Mitgliedstaaten, günstigere Rechtsvorschriften einzuführen oder günstigere Tarifverträge zu fördern.</w:t>
      </w:r>
    </w:p>
  </w:footnote>
  <w:footnote w:id="7">
    <w:p w:rsidR="00983F19" w:rsidRDefault="00000000" w14:paraId="4D426CA7" w14:textId="77777777">
      <w:pPr>
        <w:pStyle w:val="Sprotnaopomba-besedilo"/>
      </w:pPr>
      <w:r>
        <w:rPr>
          <w:rStyle w:val="Sprotnaopomba-sklic"/>
        </w:rPr>
        <w:footnoteRef/>
      </w:r>
      <w:r>
        <w:t xml:space="preserve"> Ametowobla, D. und Kirchner, S. (2025). Varieties of platform capitalism? Socio-Economic Review, 23(2). Das Flottensystem wurde bei 41 von 91 Plattformen dokumentiert.</w:t>
      </w:r>
    </w:p>
  </w:footnote>
  <w:footnote w:id="8">
    <w:p w:rsidR="00983F19" w:rsidRDefault="00000000" w14:paraId="084F244E" w14:textId="77777777">
      <w:pPr>
        <w:pStyle w:val="Sprotnaopomba-besedilo"/>
      </w:pPr>
      <w:r>
        <w:rPr>
          <w:rStyle w:val="Sprotnaopomba-sklic"/>
        </w:rPr>
        <w:footnoteRef/>
      </w:r>
      <w:r>
        <w:t xml:space="preserve"> Erneuerung des betrieblichen Zusatzvertrags, Takeaway.com Express Italy S.r.l. / FILT-CGIL, FIT-CISL, UILTRASPORTI. Unterzeichnet am 11.–12. Februar 2026.</w:t>
      </w:r>
    </w:p>
  </w:footnote>
  <w:footnote w:id="9">
    <w:p w:rsidR="00983F19" w:rsidRDefault="00000000" w14:paraId="5F306B72" w14:textId="77777777">
      <w:pPr>
        <w:pStyle w:val="Sprotnaopomba-besedilo"/>
      </w:pPr>
      <w:r>
        <w:rPr>
          <w:rStyle w:val="Sprotnaopomba-sklic"/>
        </w:rPr>
        <w:footnoteRef/>
      </w:r>
      <w:r>
        <w:t xml:space="preserve"> Tarifvertrag für Fahrradkuriere, Gewerkschaft vida. Geltungsdauer: 1. 1. 2023–30. 9. 2025. Kündigung: Juni 2025.</w:t>
      </w:r>
    </w:p>
  </w:footnote>
  <w:footnote w:id="10">
    <w:p w:rsidR="00983F19" w:rsidRDefault="00000000" w14:paraId="5F96ED92" w14:textId="77777777">
      <w:pPr>
        <w:pStyle w:val="Sprotnaopomba-besedilo"/>
      </w:pPr>
      <w:r>
        <w:rPr>
          <w:rStyle w:val="Sprotnaopomba-sklic"/>
        </w:rPr>
        <w:footnoteRef/>
      </w:r>
      <w:r>
        <w:t xml:space="preserve"> EU-Richtlinie 2024/2831, Artikel 20: Digitale Kommunikationskanäle für Arbeitnehmer und ihre Vertreter.</w:t>
      </w:r>
    </w:p>
  </w:footnote>
  <w:footnote w:id="11">
    <w:p w:rsidRPr="00016B3D" w:rsidR="00FC19E2" w:rsidRDefault="00000000" w14:paraId="3C24EF3A" w14:textId="77777777">
      <w:pPr>
        <w:rPr>
          <w:sz w:val="20"/>
          <w:szCs w:val="20"/>
        </w:rPr>
      </w:pPr>
      <w:r w:rsidRPr="00016B3D">
        <w:rPr>
          <w:sz w:val="16"/>
          <w:szCs w:val="16"/>
        </w:rPr>
        <w:footnoteRef/>
      </w:r>
      <w:r w:rsidRPr="00016B3D">
        <w:rPr>
          <w:sz w:val="20"/>
          <w:szCs w:val="20"/>
        </w:rPr>
        <w:t xml:space="preserve"> Richtlinie (EU) 2024/2831, Artikel 20: Die Mitgliedstaaten stellen sicher, dass digitale Arbeitsplattformen den Personen, die Plattformarbeit verrichten, die Möglichkeit geben, über digitale Infrastruktur oder ähnlich wirksame Mittel miteinander zu kommunizieren und Kontakt zu ihren Vertretern aufzunehmen. Die Plattformen dürfen nicht auf diese Kommunikation zugreifen oder sie überwachen.</w:t>
      </w:r>
    </w:p>
  </w:footnote>
  <w:footnote w:id="12">
    <w:p w:rsidR="00983F19" w:rsidRDefault="00000000" w14:paraId="6FFA6134" w14:textId="70429696">
      <w:pPr>
        <w:pStyle w:val="Sprotnaopomba-besedilo"/>
      </w:pPr>
      <w:r>
        <w:rPr>
          <w:rStyle w:val="Sprotnaopomba-sklic"/>
        </w:rPr>
        <w:footnoteRef/>
      </w:r>
      <w:r>
        <w:t xml:space="preserve"> Arbeitsvermittlung in der Richtlinie über Plattformarbeit. Mika, B. und Polkowska, D. (2022). Work-on-demand im Patchwork-Kapitalismus.</w:t>
      </w:r>
    </w:p>
  </w:footnote>
  <w:footnote w:id="13">
    <w:p w:rsidR="00983F19" w:rsidRDefault="00000000" w14:paraId="736FFFA0" w14:textId="77777777">
      <w:pPr>
        <w:pStyle w:val="Sprotnaopomba-besedilo"/>
      </w:pPr>
      <w:r>
        <w:rPr>
          <w:rStyle w:val="Sprotnaopomba-sklic"/>
        </w:rPr>
        <w:footnoteRef/>
      </w:r>
      <w:r>
        <w:t xml:space="preserve"> Vieira, T. und Mendonça, P. (2025). The times, are they changing? Socio-Economic Review, 23(2).</w:t>
      </w:r>
    </w:p>
  </w:footnote>
  <w:footnote w:id="14">
    <w:p w:rsidR="00983F19" w:rsidRDefault="00000000" w14:paraId="2AAE8128" w14:textId="77777777">
      <w:pPr>
        <w:pStyle w:val="Sprotnaopomba-besedilo"/>
      </w:pPr>
      <w:r>
        <w:rPr>
          <w:rStyle w:val="Sprotnaopomba-sklic"/>
        </w:rPr>
        <w:footnoteRef/>
      </w:r>
      <w:r>
        <w:t xml:space="preserve"> Richtlinie über Arbeitsvermittlung und Plattformarbeit, S. 1: Plattformen als chamäleonartige Einheiten konzipiert.</w:t>
      </w:r>
    </w:p>
  </w:footnote>
  <w:footnote w:id="15">
    <w:p w:rsidR="00983F19" w:rsidRDefault="00000000" w14:paraId="039DA1E5" w14:textId="77777777">
      <w:pPr>
        <w:pStyle w:val="Sprotnaopomba-besedilo"/>
      </w:pPr>
      <w:r>
        <w:rPr>
          <w:rStyle w:val="Sprotnaopomba-sklic"/>
        </w:rPr>
        <w:footnoteRef/>
      </w:r>
      <w:r>
        <w:t xml:space="preserve"> Starčević, J. (2023). Plattformarbeit in Kroatien und Serbien. S. 71: Scheinfirmen und Facebooks schwarze Listen.</w:t>
      </w:r>
    </w:p>
  </w:footnote>
  <w:footnote w:id="16">
    <w:p w:rsidR="00983F19" w:rsidRDefault="00000000" w14:paraId="515870CF" w14:textId="77777777">
      <w:pPr>
        <w:pStyle w:val="Sprotnaopomba-besedilo"/>
      </w:pPr>
      <w:r>
        <w:rPr>
          <w:rStyle w:val="Sprotnaopomba-sklic"/>
        </w:rPr>
        <w:footnoteRef/>
      </w:r>
      <w:r>
        <w:t xml:space="preserve"> NIdiL-CGIL Florenz: Vorschlag für Empfehlungen zur Umsetzung der Richtlinie zur Plattformarbeit (2025). Punkt 8.4: Das Risiko eines „dritten Status“.</w:t>
      </w:r>
    </w:p>
  </w:footnote>
  <w:footnote w:id="17">
    <w:p w:rsidR="00983F19" w:rsidRDefault="00000000" w14:paraId="48EC8BE4" w14:textId="77777777">
      <w:pPr>
        <w:pStyle w:val="Sprotnaopomba-besedilo"/>
      </w:pPr>
      <w:r>
        <w:rPr>
          <w:rStyle w:val="Sprotnaopomba-sklic"/>
        </w:rPr>
        <w:footnoteRef/>
      </w:r>
      <w:r>
        <w:t xml:space="preserve"> Fairwork (2025). Fairwork Germany Ratings 2025. S. 30–31: Subunternehmer, die die Löhne von Arbeitsmigranten einbehalten.</w:t>
      </w:r>
    </w:p>
  </w:footnote>
  <w:footnote w:id="18">
    <w:p w:rsidR="00983F19" w:rsidRDefault="00000000" w14:paraId="35BF89BD" w14:textId="77777777">
      <w:pPr>
        <w:pStyle w:val="Sprotnaopomba-besedilo"/>
      </w:pPr>
      <w:r>
        <w:rPr>
          <w:rStyle w:val="Sprotnaopomba-sklic"/>
        </w:rPr>
        <w:footnoteRef/>
      </w:r>
      <w:r>
        <w:t xml:space="preserve"> Expertengruppe der Europäischen Kommission: Bericht der Expertengruppe zur Umsetzung der Richtlinie (EU) 2024/2831, Januar 2026. Erwägungsgrund 30.</w:t>
      </w:r>
    </w:p>
  </w:footnote>
  <w:footnote w:id="19">
    <w:p w:rsidR="00983F19" w:rsidRDefault="00000000" w14:paraId="1013DE52" w14:textId="77777777">
      <w:pPr>
        <w:pStyle w:val="Sprotnaopomba-besedilo"/>
      </w:pPr>
      <w:r>
        <w:rPr>
          <w:rStyle w:val="Sprotnaopomba-sklic"/>
        </w:rPr>
        <w:footnoteRef/>
      </w:r>
      <w:r>
        <w:t xml:space="preserve"> EU-Richtlinie 2024/2831, Artikel 24 Absatz 4: grenzüberschreitende Zusammenarbeit zwischen den zuständigen Behörden.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354F0C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0390FD9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128A7BF6"/>
    <w:multiLevelType w:val="hybridMultilevel"/>
    <w:tmpl w:val="2160C404"/>
    <w:lvl w:ilvl="0" w:tplc="076896B4">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F7A6A2E"/>
    <w:multiLevelType w:val="hybridMultilevel"/>
    <w:tmpl w:val="8F1220A6"/>
    <w:lvl w:ilvl="0" w:tplc="096CC94E">
      <w:start w:val="1"/>
      <w:numFmt w:val="bullet"/>
      <w:lvlText w:val="●"/>
      <w:lvlJc w:val="left"/>
      <w:pPr>
        <w:ind w:left="720" w:hanging="360"/>
      </w:pPr>
    </w:lvl>
    <w:lvl w:ilvl="1" w:tplc="3760EED0">
      <w:start w:val="1"/>
      <w:numFmt w:val="bullet"/>
      <w:lvlText w:val="○"/>
      <w:lvlJc w:val="left"/>
      <w:pPr>
        <w:ind w:left="1440" w:hanging="360"/>
      </w:pPr>
    </w:lvl>
    <w:lvl w:ilvl="2" w:tplc="2F80938E">
      <w:start w:val="1"/>
      <w:numFmt w:val="bullet"/>
      <w:lvlText w:val="■"/>
      <w:lvlJc w:val="left"/>
      <w:pPr>
        <w:ind w:left="2160" w:hanging="360"/>
      </w:pPr>
    </w:lvl>
    <w:lvl w:ilvl="3" w:tplc="142C3356">
      <w:start w:val="1"/>
      <w:numFmt w:val="bullet"/>
      <w:lvlText w:val="●"/>
      <w:lvlJc w:val="left"/>
      <w:pPr>
        <w:ind w:left="2880" w:hanging="360"/>
      </w:pPr>
    </w:lvl>
    <w:lvl w:ilvl="4" w:tplc="BE486E12">
      <w:start w:val="1"/>
      <w:numFmt w:val="bullet"/>
      <w:lvlText w:val="○"/>
      <w:lvlJc w:val="left"/>
      <w:pPr>
        <w:ind w:left="3600" w:hanging="360"/>
      </w:pPr>
    </w:lvl>
    <w:lvl w:ilvl="5" w:tplc="35FA1DAC">
      <w:start w:val="1"/>
      <w:numFmt w:val="bullet"/>
      <w:lvlText w:val="■"/>
      <w:lvlJc w:val="left"/>
      <w:pPr>
        <w:ind w:left="4320" w:hanging="360"/>
      </w:pPr>
    </w:lvl>
    <w:lvl w:ilvl="6" w:tplc="99B05B28">
      <w:start w:val="1"/>
      <w:numFmt w:val="bullet"/>
      <w:lvlText w:val="●"/>
      <w:lvlJc w:val="left"/>
      <w:pPr>
        <w:ind w:left="5040" w:hanging="360"/>
      </w:pPr>
    </w:lvl>
    <w:lvl w:ilvl="7" w:tplc="8A2AF95A">
      <w:start w:val="1"/>
      <w:numFmt w:val="bullet"/>
      <w:lvlText w:val="●"/>
      <w:lvlJc w:val="left"/>
      <w:pPr>
        <w:ind w:left="5760" w:hanging="360"/>
      </w:pPr>
    </w:lvl>
    <w:lvl w:ilvl="8" w:tplc="9C38A386">
      <w:start w:val="1"/>
      <w:numFmt w:val="bullet"/>
      <w:lvlText w:val="●"/>
      <w:lvlJc w:val="left"/>
      <w:pPr>
        <w:ind w:left="6480" w:hanging="360"/>
      </w:pPr>
    </w:lvl>
  </w:abstractNum>
  <w:abstractNum w:abstractNumId="4" w15:restartNumberingAfterBreak="0">
    <w:nsid w:val="693609F4"/>
    <w:multiLevelType w:val="hybridMultilevel"/>
    <w:tmpl w:val="FFBA1DBA"/>
    <w:lvl w:ilvl="0" w:tplc="18C8FE5E">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34398708">
    <w:abstractNumId w:val="3"/>
    <w:lvlOverride w:ilvl="0">
      <w:startOverride w:val="1"/>
    </w:lvlOverride>
  </w:num>
  <w:num w:numId="2" w16cid:durableId="952592849">
    <w:abstractNumId w:val="0"/>
  </w:num>
  <w:num w:numId="3" w16cid:durableId="1977680526">
    <w:abstractNumId w:val="1"/>
  </w:num>
  <w:num w:numId="4" w16cid:durableId="1868640215">
    <w:abstractNumId w:val="1"/>
  </w:num>
  <w:num w:numId="5" w16cid:durableId="2032684937">
    <w:abstractNumId w:val="4"/>
  </w:num>
  <w:num w:numId="6" w16cid:durableId="1026100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F19"/>
    <w:rsid w:val="000052A5"/>
    <w:rsid w:val="00016B3D"/>
    <w:rsid w:val="000617C4"/>
    <w:rsid w:val="00061B6E"/>
    <w:rsid w:val="00084394"/>
    <w:rsid w:val="00096C72"/>
    <w:rsid w:val="000B201C"/>
    <w:rsid w:val="000D74B6"/>
    <w:rsid w:val="000F63BC"/>
    <w:rsid w:val="0013617B"/>
    <w:rsid w:val="001627FA"/>
    <w:rsid w:val="00191599"/>
    <w:rsid w:val="001B1A93"/>
    <w:rsid w:val="001E67F7"/>
    <w:rsid w:val="0021360E"/>
    <w:rsid w:val="00247A59"/>
    <w:rsid w:val="00297684"/>
    <w:rsid w:val="002A147E"/>
    <w:rsid w:val="0030041A"/>
    <w:rsid w:val="00304218"/>
    <w:rsid w:val="00304B8F"/>
    <w:rsid w:val="003134E5"/>
    <w:rsid w:val="00320506"/>
    <w:rsid w:val="00352350"/>
    <w:rsid w:val="0036704F"/>
    <w:rsid w:val="00370D81"/>
    <w:rsid w:val="003A5607"/>
    <w:rsid w:val="003D2CF3"/>
    <w:rsid w:val="003F2469"/>
    <w:rsid w:val="00471B0E"/>
    <w:rsid w:val="00492887"/>
    <w:rsid w:val="00494E86"/>
    <w:rsid w:val="004A4679"/>
    <w:rsid w:val="004F26A1"/>
    <w:rsid w:val="005418CA"/>
    <w:rsid w:val="00557445"/>
    <w:rsid w:val="00583744"/>
    <w:rsid w:val="005B4341"/>
    <w:rsid w:val="005C5C0F"/>
    <w:rsid w:val="005D1CAF"/>
    <w:rsid w:val="00615AD5"/>
    <w:rsid w:val="00615F18"/>
    <w:rsid w:val="00645F58"/>
    <w:rsid w:val="00677FF5"/>
    <w:rsid w:val="006928D1"/>
    <w:rsid w:val="0069475D"/>
    <w:rsid w:val="006B029C"/>
    <w:rsid w:val="006E6A4A"/>
    <w:rsid w:val="006F2B87"/>
    <w:rsid w:val="00750824"/>
    <w:rsid w:val="00775A45"/>
    <w:rsid w:val="0078378B"/>
    <w:rsid w:val="00792F1C"/>
    <w:rsid w:val="007D30D3"/>
    <w:rsid w:val="00827187"/>
    <w:rsid w:val="00844626"/>
    <w:rsid w:val="0086131C"/>
    <w:rsid w:val="00873676"/>
    <w:rsid w:val="00885168"/>
    <w:rsid w:val="008920C5"/>
    <w:rsid w:val="008A2B03"/>
    <w:rsid w:val="008A4BD4"/>
    <w:rsid w:val="008A7718"/>
    <w:rsid w:val="008C7863"/>
    <w:rsid w:val="008F0A64"/>
    <w:rsid w:val="008F1CB6"/>
    <w:rsid w:val="008F70CF"/>
    <w:rsid w:val="00902859"/>
    <w:rsid w:val="00944A43"/>
    <w:rsid w:val="00954281"/>
    <w:rsid w:val="009742D7"/>
    <w:rsid w:val="00983F19"/>
    <w:rsid w:val="009870EF"/>
    <w:rsid w:val="00987363"/>
    <w:rsid w:val="009B7FA3"/>
    <w:rsid w:val="009C0D64"/>
    <w:rsid w:val="009E2CF3"/>
    <w:rsid w:val="009F3F9C"/>
    <w:rsid w:val="00A14D12"/>
    <w:rsid w:val="00A16E80"/>
    <w:rsid w:val="00A25A76"/>
    <w:rsid w:val="00A275F6"/>
    <w:rsid w:val="00A55B3A"/>
    <w:rsid w:val="00A56C5B"/>
    <w:rsid w:val="00A60485"/>
    <w:rsid w:val="00A60CFC"/>
    <w:rsid w:val="00AA779E"/>
    <w:rsid w:val="00AC6992"/>
    <w:rsid w:val="00B11C0F"/>
    <w:rsid w:val="00B33E59"/>
    <w:rsid w:val="00B357A5"/>
    <w:rsid w:val="00B833F8"/>
    <w:rsid w:val="00BB1A2F"/>
    <w:rsid w:val="00BB574B"/>
    <w:rsid w:val="00BD3FB5"/>
    <w:rsid w:val="00BD4E18"/>
    <w:rsid w:val="00C60A82"/>
    <w:rsid w:val="00C91807"/>
    <w:rsid w:val="00CB6C6D"/>
    <w:rsid w:val="00CB75BF"/>
    <w:rsid w:val="00CE0CAD"/>
    <w:rsid w:val="00CF3B80"/>
    <w:rsid w:val="00D10C79"/>
    <w:rsid w:val="00D17094"/>
    <w:rsid w:val="00D21719"/>
    <w:rsid w:val="00D7386B"/>
    <w:rsid w:val="00D90A18"/>
    <w:rsid w:val="00DB0B6E"/>
    <w:rsid w:val="00DB7748"/>
    <w:rsid w:val="00DC4393"/>
    <w:rsid w:val="00DC6DE9"/>
    <w:rsid w:val="00DF6109"/>
    <w:rsid w:val="00E11794"/>
    <w:rsid w:val="00E11FBD"/>
    <w:rsid w:val="00E56EFA"/>
    <w:rsid w:val="00E57F82"/>
    <w:rsid w:val="00E872A3"/>
    <w:rsid w:val="00E923E8"/>
    <w:rsid w:val="00EA618C"/>
    <w:rsid w:val="00EB5A7D"/>
    <w:rsid w:val="00F067CA"/>
    <w:rsid w:val="00F16419"/>
    <w:rsid w:val="00F2296E"/>
    <w:rsid w:val="00F2754C"/>
    <w:rsid w:val="00FA3434"/>
    <w:rsid w:val="00FC19E2"/>
    <w:rsid w:val="00FD0595"/>
    <w:rsid w:val="00FF3A12"/>
    <w:rsid w:val="00FF4B8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F99BD"/>
  <w15:docId w15:val="{202E13D6-9D18-4B92-AC1C-FCB4ACE1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link w:val="Naslov1Znak"/>
    <w:uiPriority w:val="9"/>
    <w:qFormat/>
    <w:pPr>
      <w:spacing w:before="400" w:after="240"/>
      <w:outlineLvl w:val="0"/>
    </w:pPr>
    <w:rPr>
      <w:b/>
      <w:bCs/>
      <w:color w:val="1F3864"/>
      <w:sz w:val="36"/>
      <w:szCs w:val="36"/>
    </w:rPr>
  </w:style>
  <w:style w:type="paragraph" w:styleId="Naslov2">
    <w:name w:val="heading 2"/>
    <w:uiPriority w:val="9"/>
    <w:unhideWhenUsed/>
    <w:qFormat/>
    <w:pPr>
      <w:spacing w:before="300" w:after="160"/>
      <w:outlineLvl w:val="1"/>
    </w:pPr>
    <w:rPr>
      <w:b/>
      <w:bCs/>
      <w:color w:val="2E75B6"/>
      <w:sz w:val="28"/>
      <w:szCs w:val="28"/>
    </w:rPr>
  </w:style>
  <w:style w:type="paragraph" w:styleId="Naslov3">
    <w:name w:val="heading 3"/>
    <w:uiPriority w:val="9"/>
    <w:unhideWhenUsed/>
    <w:qFormat/>
    <w:pPr>
      <w:spacing w:before="200" w:after="120"/>
      <w:outlineLvl w:val="2"/>
    </w:pPr>
    <w:rPr>
      <w:b/>
      <w:bCs/>
      <w:color w:val="1F5C99"/>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link w:val="NaslovZnak"/>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Blokbesedila">
    <w:name w:val="Block Text"/>
    <w:qFormat/>
    <w:pPr>
      <w:pBdr>
        <w:left w:val="thick" w:sz="18" w:space="10" w:color="1F5C99"/>
      </w:pBdr>
      <w:spacing w:before="60" w:after="60"/>
      <w:ind w:left="360" w:right="360"/>
      <w:jc w:val="both"/>
    </w:pPr>
    <w:rPr>
      <w:color w:val="666666"/>
      <w:sz w:val="22"/>
      <w:szCs w:val="22"/>
    </w:rPr>
  </w:style>
  <w:style w:type="paragraph" w:customStyle="1" w:styleId="RedBlock">
    <w:name w:val="Red Block"/>
    <w:qFormat/>
    <w:pPr>
      <w:pBdr>
        <w:left w:val="thick" w:sz="18" w:space="10" w:color="C00000"/>
      </w:pBdr>
      <w:spacing w:before="60" w:after="60"/>
      <w:ind w:left="360" w:right="360"/>
      <w:jc w:val="both"/>
    </w:pPr>
    <w:rPr>
      <w:color w:val="C00000"/>
      <w:sz w:val="22"/>
      <w:szCs w:val="22"/>
    </w:rPr>
  </w:style>
  <w:style w:type="paragraph" w:styleId="Kazalovsebine1">
    <w:name w:val="toc 1"/>
    <w:basedOn w:val="Navaden"/>
    <w:next w:val="Navaden"/>
    <w:autoRedefine/>
    <w:uiPriority w:val="39"/>
    <w:unhideWhenUsed/>
    <w:rsid w:val="00D90A18"/>
    <w:pPr>
      <w:spacing w:after="100"/>
    </w:pPr>
  </w:style>
  <w:style w:type="paragraph" w:styleId="Kazalovsebine2">
    <w:name w:val="toc 2"/>
    <w:basedOn w:val="Navaden"/>
    <w:next w:val="Navaden"/>
    <w:autoRedefine/>
    <w:uiPriority w:val="39"/>
    <w:unhideWhenUsed/>
    <w:rsid w:val="00D90A18"/>
    <w:pPr>
      <w:spacing w:after="100"/>
      <w:ind w:left="240"/>
    </w:pPr>
  </w:style>
  <w:style w:type="character" w:customStyle="1" w:styleId="NaslovZnak">
    <w:name w:val="Naslov Znak"/>
    <w:basedOn w:val="Privzetapisavaodstavka"/>
    <w:link w:val="Naslov"/>
    <w:rsid w:val="00D90A18"/>
    <w:rPr>
      <w:sz w:val="56"/>
      <w:szCs w:val="56"/>
    </w:rPr>
  </w:style>
  <w:style w:type="paragraph" w:customStyle="1" w:styleId="Author">
    <w:name w:val="Author"/>
    <w:next w:val="Telobesedila"/>
    <w:qFormat/>
    <w:rsid w:val="00D90A18"/>
    <w:pPr>
      <w:keepNext/>
      <w:keepLines/>
      <w:spacing w:after="200"/>
      <w:jc w:val="center"/>
    </w:pPr>
    <w:rPr>
      <w:rFonts w:asciiTheme="minorHAnsi" w:eastAsiaTheme="minorHAnsi" w:hAnsiTheme="minorHAnsi" w:cstheme="minorBidi"/>
      <w:lang w:val="sl" w:eastAsia="en-US"/>
    </w:rPr>
  </w:style>
  <w:style w:type="paragraph" w:styleId="Datum">
    <w:name w:val="Date"/>
    <w:next w:val="Telobesedila"/>
    <w:link w:val="DatumZnak"/>
    <w:qFormat/>
    <w:rsid w:val="00D90A18"/>
    <w:pPr>
      <w:keepNext/>
      <w:keepLines/>
      <w:spacing w:after="200"/>
      <w:jc w:val="center"/>
    </w:pPr>
    <w:rPr>
      <w:rFonts w:asciiTheme="minorHAnsi" w:eastAsiaTheme="minorHAnsi" w:hAnsiTheme="minorHAnsi" w:cstheme="minorBidi"/>
      <w:lang w:val="sl" w:eastAsia="en-US"/>
    </w:rPr>
  </w:style>
  <w:style w:type="character" w:customStyle="1" w:styleId="DatumZnak">
    <w:name w:val="Datum Znak"/>
    <w:basedOn w:val="Privzetapisavaodstavka"/>
    <w:link w:val="Datum"/>
    <w:rsid w:val="00D90A18"/>
    <w:rPr>
      <w:rFonts w:asciiTheme="minorHAnsi" w:eastAsiaTheme="minorHAnsi" w:hAnsiTheme="minorHAnsi" w:cstheme="minorBidi"/>
      <w:lang w:val="sl" w:eastAsia="en-US"/>
    </w:rPr>
  </w:style>
  <w:style w:type="paragraph" w:styleId="Telobesedila">
    <w:name w:val="Body Text"/>
    <w:basedOn w:val="Navaden"/>
    <w:link w:val="TelobesedilaZnak"/>
    <w:uiPriority w:val="99"/>
    <w:unhideWhenUsed/>
    <w:rsid w:val="00D90A18"/>
    <w:pPr>
      <w:spacing w:after="120"/>
    </w:pPr>
  </w:style>
  <w:style w:type="character" w:customStyle="1" w:styleId="TelobesedilaZnak">
    <w:name w:val="Telo besedila Znak"/>
    <w:basedOn w:val="Privzetapisavaodstavka"/>
    <w:link w:val="Telobesedila"/>
    <w:uiPriority w:val="99"/>
    <w:rsid w:val="00D90A18"/>
  </w:style>
  <w:style w:type="character" w:styleId="Intenzivensklic">
    <w:name w:val="Intense Reference"/>
    <w:basedOn w:val="Privzetapisavaodstavka"/>
    <w:uiPriority w:val="32"/>
    <w:qFormat/>
    <w:rsid w:val="00D90A18"/>
    <w:rPr>
      <w:b/>
      <w:bCs/>
      <w:smallCaps/>
      <w:color w:val="4F81BD" w:themeColor="accent1"/>
      <w:spacing w:val="5"/>
    </w:rPr>
  </w:style>
  <w:style w:type="character" w:customStyle="1" w:styleId="Naslov1Znak">
    <w:name w:val="Naslov 1 Znak"/>
    <w:basedOn w:val="Privzetapisavaodstavka"/>
    <w:link w:val="Naslov1"/>
    <w:uiPriority w:val="9"/>
    <w:rsid w:val="00D90A18"/>
    <w:rPr>
      <w:b/>
      <w:bCs/>
      <w:color w:val="1F3864"/>
      <w:sz w:val="36"/>
      <w:szCs w:val="36"/>
    </w:rPr>
  </w:style>
  <w:style w:type="character" w:styleId="Neenpoudarek">
    <w:name w:val="Subtle Emphasis"/>
    <w:basedOn w:val="Privzetapisavaodstavka"/>
    <w:uiPriority w:val="19"/>
    <w:qFormat/>
    <w:rsid w:val="00D90A18"/>
    <w:rPr>
      <w:i/>
      <w:iCs/>
      <w:color w:val="404040" w:themeColor="text1" w:themeTint="BF"/>
    </w:rPr>
  </w:style>
  <w:style w:type="character" w:styleId="Poudarek">
    <w:name w:val="Emphasis"/>
    <w:basedOn w:val="Privzetapisavaodstavka"/>
    <w:uiPriority w:val="20"/>
    <w:qFormat/>
    <w:rsid w:val="00D90A18"/>
    <w:rPr>
      <w:i/>
      <w:iCs/>
    </w:rPr>
  </w:style>
  <w:style w:type="character" w:styleId="Krepko">
    <w:name w:val="Strong"/>
    <w:basedOn w:val="Privzetapisavaodstavka"/>
    <w:uiPriority w:val="22"/>
    <w:qFormat/>
    <w:rsid w:val="00D90A18"/>
    <w:rPr>
      <w:b/>
      <w:bCs/>
    </w:rPr>
  </w:style>
  <w:style w:type="paragraph" w:styleId="Revizija">
    <w:name w:val="Revision"/>
    <w:hidden/>
    <w:uiPriority w:val="99"/>
    <w:semiHidden/>
    <w:rsid w:val="0013617B"/>
  </w:style>
  <w:style w:type="character" w:styleId="Pripombasklic">
    <w:name w:val="annotation reference"/>
    <w:basedOn w:val="Privzetapisavaodstavka"/>
    <w:uiPriority w:val="99"/>
    <w:semiHidden/>
    <w:unhideWhenUsed/>
    <w:rsid w:val="00EA618C"/>
    <w:rPr>
      <w:sz w:val="16"/>
      <w:szCs w:val="16"/>
    </w:rPr>
  </w:style>
  <w:style w:type="paragraph" w:styleId="Pripombabesedilo">
    <w:name w:val="annotation text"/>
    <w:basedOn w:val="Navaden"/>
    <w:link w:val="PripombabesediloZnak"/>
    <w:uiPriority w:val="99"/>
    <w:semiHidden/>
    <w:unhideWhenUsed/>
    <w:rsid w:val="00EA618C"/>
    <w:rPr>
      <w:sz w:val="20"/>
      <w:szCs w:val="20"/>
    </w:rPr>
  </w:style>
  <w:style w:type="character" w:customStyle="1" w:styleId="PripombabesediloZnak">
    <w:name w:val="Pripomba – besedilo Znak"/>
    <w:basedOn w:val="Privzetapisavaodstavka"/>
    <w:link w:val="Pripombabesedilo"/>
    <w:uiPriority w:val="99"/>
    <w:semiHidden/>
    <w:rsid w:val="00EA618C"/>
    <w:rPr>
      <w:sz w:val="20"/>
      <w:szCs w:val="20"/>
    </w:rPr>
  </w:style>
  <w:style w:type="paragraph" w:styleId="Zadevapripombe">
    <w:name w:val="annotation subject"/>
    <w:basedOn w:val="Pripombabesedilo"/>
    <w:next w:val="Pripombabesedilo"/>
    <w:link w:val="ZadevapripombeZnak"/>
    <w:uiPriority w:val="99"/>
    <w:semiHidden/>
    <w:unhideWhenUsed/>
    <w:rsid w:val="00EA618C"/>
    <w:rPr>
      <w:b/>
      <w:bCs/>
    </w:rPr>
  </w:style>
  <w:style w:type="character" w:customStyle="1" w:styleId="ZadevapripombeZnak">
    <w:name w:val="Zadeva pripombe Znak"/>
    <w:basedOn w:val="PripombabesediloZnak"/>
    <w:link w:val="Zadevapripombe"/>
    <w:uiPriority w:val="99"/>
    <w:semiHidden/>
    <w:rsid w:val="00EA618C"/>
    <w:rPr>
      <w:b/>
      <w:bCs/>
      <w:sz w:val="20"/>
      <w:szCs w:val="20"/>
    </w:rPr>
  </w:style>
  <w:style w:type="paragraph" w:styleId="Glava">
    <w:name w:val="header"/>
    <w:basedOn w:val="Navaden"/>
    <w:link w:val="GlavaZnak"/>
    <w:uiPriority w:val="99"/>
    <w:unhideWhenUsed/>
    <w:rsid w:val="007D30D3"/>
    <w:pPr>
      <w:tabs>
        <w:tab w:val="center" w:pos="4536"/>
        <w:tab w:val="right" w:pos="9072"/>
      </w:tabs>
    </w:pPr>
  </w:style>
  <w:style w:type="character" w:customStyle="1" w:styleId="GlavaZnak">
    <w:name w:val="Glava Znak"/>
    <w:basedOn w:val="Privzetapisavaodstavka"/>
    <w:link w:val="Glava"/>
    <w:uiPriority w:val="99"/>
    <w:rsid w:val="007D30D3"/>
  </w:style>
  <w:style w:type="paragraph" w:styleId="Noga">
    <w:name w:val="footer"/>
    <w:basedOn w:val="Navaden"/>
    <w:link w:val="NogaZnak"/>
    <w:uiPriority w:val="99"/>
    <w:unhideWhenUsed/>
    <w:rsid w:val="007D30D3"/>
    <w:pPr>
      <w:tabs>
        <w:tab w:val="center" w:pos="4536"/>
        <w:tab w:val="right" w:pos="9072"/>
      </w:tabs>
    </w:pPr>
  </w:style>
  <w:style w:type="character" w:customStyle="1" w:styleId="NogaZnak">
    <w:name w:val="Noga Znak"/>
    <w:basedOn w:val="Privzetapisavaodstavka"/>
    <w:link w:val="Noga"/>
    <w:uiPriority w:val="99"/>
    <w:rsid w:val="007D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D50D2A4-60D7-4EFB-AFA4-727AB02B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57</Pages>
  <Words>22165</Words>
  <Characters>126344</Characters>
  <Application>Microsoft Office Word</Application>
  <DocSecurity>0</DocSecurity>
  <Lines>1052</Lines>
  <Paragraphs>296</Paragraphs>
  <ScaleCrop>false</ScaleCrop>
  <HeadingPairs>
    <vt:vector size="2" baseType="variant">
      <vt:variant>
        <vt:lpstr>Naslov</vt:lpstr>
      </vt:variant>
      <vt:variant>
        <vt:i4>1</vt:i4>
      </vt:variant>
    </vt:vector>
  </HeadingPairs>
  <TitlesOfParts>
    <vt:vector size="1" baseType="lpstr">
      <vt:lpstr>Priporočila za implementacijo Direktive (EU) 2024/2831 o izboljšanju delovnih pogojev v platformnem delu</vt:lpstr>
    </vt:vector>
  </TitlesOfParts>
  <Company/>
  <LinksUpToDate>false</LinksUpToDate>
  <CharactersWithSpaces>148213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Priporočila za implementacijo Direktive (EU) 2024/2831 o izboljšanju delovnih pogojev v platformnem delu</dc:title>
  <dc:subject>Predajni dokument projekta SDDP (D3.1)</dc:subject>
  <dc:creator>SDDP konzorcij: ZSSS, ETUC, ÖGB, CGIL, UIL</dc:creator>
  <keywords>platformno delo, direktiva, socialni dialog, algoritmično upravljanje, docId:22D8D377A75739A11E1FA9909F9FC7A2</keywords>
  <lastModifiedBy>Mladi Plus</lastModifiedBy>
  <revision>86</revision>
  <dcterms:created xsi:type="dcterms:W3CDTF">2026-02-25T00:00:00.0000000Z</dcterms:created>
  <dcterms:modified xsi:type="dcterms:W3CDTF">2026-09-09T10:14:00.0000000Z</dcterms:modified>
</coreProperties>
</file>