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0A18" w:rsidP="00750824" w:rsidRDefault="00D90A18" w14:paraId="5A9BF215" w14:textId="77777777">
      <w:pPr>
        <w:jc w:val="both"/>
      </w:pPr>
    </w:p>
    <w:p w:rsidR="00BD3FB5" w:rsidP="00750824" w:rsidRDefault="00D90A18" w14:paraId="2BA2F456" w14:textId="375C769E">
      <w:pPr>
        <w:pStyle w:val="Naslov"/>
        <w:jc w:val="center"/>
        <w:rPr>
          <w:rStyle w:val="Intenzivensklic"/>
          <w:b w:val="0"/>
          <w:bCs w:val="0"/>
          <w:i/>
          <w:iCs/>
          <w:u w:val="single"/>
        </w:rPr>
      </w:pPr>
      <w:r>
        <w:rPr>
          <w:rStyle w:val="Intenzivensklic"/>
          <w:b w:val="0"/>
          <w:bCs w:val="0"/>
          <w:i/>
          <w:iCs/>
          <w:u w:val="single"/>
        </w:rPr>
        <w:t xml:space="preserve">Recommendations for the implementation of Directive (EU) 2024/2831</w:t>
      </w:r>
    </w:p>
    <w:p w:rsidR="00D90A18" w:rsidP="00750824" w:rsidRDefault="00D90A18" w14:paraId="25843F84" w14:textId="77777777">
      <w:pPr>
        <w:pStyle w:val="Naslov"/>
        <w:jc w:val="center"/>
        <w:rPr>
          <w:rStyle w:val="Intenzivensklic"/>
          <w:b w:val="0"/>
          <w:bCs w:val="0"/>
          <w:i/>
          <w:iCs/>
          <w:u w:val="single"/>
        </w:rPr>
      </w:pPr>
      <w:r>
        <w:rPr>
          <w:rStyle w:val="Intenzivensklic"/>
          <w:b w:val="0"/>
          <w:bCs w:val="0"/>
          <w:i/>
          <w:iCs/>
          <w:u w:val="single"/>
        </w:rPr>
        <w:t xml:space="preserve">on improving working conditions in </w:t>
      </w:r>
      <w:r>
        <w:rPr>
          <w:rStyle w:val="Intenzivensklic"/>
          <w:b w:val="0"/>
          <w:bCs w:val="0"/>
          <w:i/>
          <w:iCs/>
          <w:u w:val="single"/>
        </w:rPr>
        <w:t xml:space="preserve">platform </w:t>
      </w:r>
      <w:r>
        <w:rPr>
          <w:rStyle w:val="Intenzivensklic"/>
          <w:b w:val="0"/>
          <w:bCs w:val="0"/>
          <w:i/>
          <w:iCs/>
          <w:u w:val="single"/>
        </w:rPr>
        <w:t xml:space="preserve">work</w:t>
      </w:r>
    </w:p>
    <w:p w:rsidRPr="00BD3FB5" w:rsidR="00A60CFC" w:rsidP="00750824" w:rsidRDefault="00A60CFC" w14:paraId="12B3F942" w14:textId="77777777">
      <w:pPr>
        <w:pStyle w:val="Naslov"/>
        <w:jc w:val="center"/>
        <w:rPr>
          <w:rStyle w:val="Intenzivensklic"/>
          <w:b w:val="0"/>
          <w:bCs w:val="0"/>
          <w:i/>
          <w:iCs/>
          <w:u w:val="single"/>
        </w:rPr>
      </w:pPr>
    </w:p>
    <w:p w:rsidRPr="00D90A18" w:rsidR="00D90A18" w:rsidP="00750824" w:rsidRDefault="00D90A18" w14:paraId="5D856E3D" w14:textId="77777777">
      <w:pPr>
        <w:pStyle w:val="Naslov"/>
        <w:jc w:val="center"/>
        <w:rPr>
          <w:rStyle w:val="Intenzivensklic"/>
        </w:rPr>
      </w:pPr>
    </w:p>
    <w:p w:rsidR="00D90A18" w:rsidP="00750824" w:rsidRDefault="00D90A18" w14:paraId="62E2F858" w14:textId="3725485B">
      <w:pPr>
        <w:pStyle w:val="Author"/>
      </w:pPr>
      <w:r>
        <w:t xml:space="preserve">SDDP Consortium </w:t>
      </w:r>
      <w:r w:rsidR="00D7386B">
        <w:t xml:space="preserve">– </w:t>
      </w:r>
      <w:r>
        <w:t xml:space="preserve">ZSSS, ÖGB, CGIL, OPZZ, ABVV-FTB, in cooperation with the ETUC</w:t>
      </w:r>
    </w:p>
    <w:p w:rsidR="00D90A18" w:rsidP="00750824" w:rsidRDefault="00D90A18" w14:paraId="2C3A4E1A" w14:textId="5D40D7A6">
      <w:pPr>
        <w:pStyle w:val="Datum"/>
      </w:pPr>
      <w:r>
        <w:t xml:space="preserve">February 2026</w:t>
      </w:r>
    </w:p>
    <w:p w:rsidR="00A60CFC" w:rsidP="00750824" w:rsidRDefault="00A60CFC" w14:paraId="4DEA4B84" w14:textId="77777777">
      <w:pPr>
        <w:pStyle w:val="Telobesedila"/>
        <w:jc w:val="both"/>
        <w:rPr>
          <w:lang w:val="sl" w:eastAsia="en-US"/>
        </w:rPr>
      </w:pPr>
    </w:p>
    <w:p w:rsidR="00A60CFC" w:rsidP="00750824" w:rsidRDefault="00A60CFC" w14:paraId="69341DEF" w14:textId="77777777">
      <w:pPr>
        <w:pStyle w:val="Telobesedila"/>
        <w:jc w:val="both"/>
        <w:rPr>
          <w:lang w:val="sl" w:eastAsia="en-US"/>
        </w:rPr>
      </w:pPr>
    </w:p>
    <w:p w:rsidRPr="00A60CFC" w:rsidR="00A60CFC" w:rsidP="00750824" w:rsidRDefault="00A60CFC" w14:paraId="6DCAF6C0" w14:textId="77777777">
      <w:pPr>
        <w:pStyle w:val="Telobesedila"/>
        <w:jc w:val="both"/>
        <w:rPr>
          <w:lang w:val="sl" w:eastAsia="en-US"/>
        </w:rPr>
      </w:pPr>
    </w:p>
    <w:p w:rsidR="00D90A18" w:rsidP="00750824" w:rsidRDefault="00D90A18" w14:paraId="53D301A7" w14:textId="77777777">
      <w:pPr>
        <w:pStyle w:val="Telobesedila"/>
        <w:jc w:val="both"/>
        <w:rPr>
          <w:lang w:val="sl" w:eastAsia="en-US"/>
        </w:rPr>
      </w:pPr>
    </w:p>
    <w:p w:rsidR="00D90A18" w:rsidP="00750824" w:rsidRDefault="00D90A18" w14:paraId="60F34513" w14:textId="77777777">
      <w:pPr>
        <w:pStyle w:val="Naslov1"/>
        <w:jc w:val="both"/>
      </w:pPr>
      <w:bookmarkStart w:name="_Toc233699476" w:id="0"/>
      <w:r>
        <w:t xml:space="preserve">Summary</w:t>
      </w:r>
      <w:bookmarkEnd w:id="0"/>
    </w:p>
    <w:p w:rsidR="00FC19E2" w:rsidP="00750824" w:rsidRDefault="00000000" w14:paraId="6FADC8D5" w14:textId="7889377D">
      <w:pPr>
        <w:jc w:val="both"/>
      </w:pPr>
      <w:r>
        <w:t xml:space="preserve">This document contains recommendations for the transposition of Directive (EU) 2024/2831 </w:t>
      </w:r>
      <w:r w:rsidR="0013617B">
        <w:t xml:space="preserve">(hereinafter: the Directive) </w:t>
      </w:r>
      <w:r>
        <w:t xml:space="preserve">on improving working conditions in </w:t>
      </w:r>
      <w:r>
        <w:t xml:space="preserve">platform </w:t>
      </w:r>
      <w:r>
        <w:t xml:space="preserve">work into the national legislation of EU Member States. The recommendations were drawn up by the consortium </w:t>
      </w:r>
      <w:r w:rsidR="0013617B">
        <w:t xml:space="preserve">of the </w:t>
      </w:r>
      <w:r w:rsidR="00DB0B6E">
        <w:t xml:space="preserve">‘Establishing </w:t>
      </w:r>
      <w:r w:rsidR="00DB0B6E">
        <w:t xml:space="preserve">and </w:t>
      </w:r>
      <w:r w:rsidR="00DB0B6E">
        <w:t xml:space="preserve">Strengthening </w:t>
      </w:r>
      <w:r w:rsidR="00DB0B6E">
        <w:t xml:space="preserve">Social </w:t>
      </w:r>
      <w:r w:rsidR="00DB0B6E">
        <w:t xml:space="preserve">Dialogue </w:t>
      </w:r>
      <w:r w:rsidR="00DB0B6E">
        <w:t xml:space="preserve">in </w:t>
      </w:r>
      <w:r w:rsidR="00DB0B6E">
        <w:t xml:space="preserve">Digital </w:t>
      </w:r>
      <w:r w:rsidR="00DB0B6E">
        <w:t xml:space="preserve">Platforms’ </w:t>
      </w:r>
      <w:r w:rsidR="0013617B">
        <w:t xml:space="preserve">(</w:t>
      </w:r>
      <w:r>
        <w:t xml:space="preserve">SDDP</w:t>
      </w:r>
      <w:r w:rsidR="0013617B">
        <w:t xml:space="preserve">) </w:t>
      </w:r>
      <w:r w:rsidR="0013617B">
        <w:t xml:space="preserve">project </w:t>
      </w:r>
      <w:r>
        <w:t xml:space="preserve">(ZSSS, ÖGB, CGIL, OPZZ, ABVV-FTB, in cooperation with the ETUC) on the basis of </w:t>
      </w:r>
      <w:r w:rsidR="0013617B">
        <w:t xml:space="preserve">a</w:t>
      </w:r>
      <w:r w:rsidR="0013617B">
        <w:t xml:space="preserve"> two-year </w:t>
      </w:r>
      <w:r>
        <w:t xml:space="preserve">project </w:t>
      </w:r>
      <w:r w:rsidR="0013617B">
        <w:t xml:space="preserve">carried out </w:t>
      </w:r>
      <w:r>
        <w:t xml:space="preserve">in five partner countries (Slovenia, Austria, Italy, Belgium, Poland). The document covers ten thematic chapters: scope and definitions, the </w:t>
      </w:r>
      <w:r>
        <w:t xml:space="preserve">‘legal </w:t>
      </w:r>
      <w:r>
        <w:t xml:space="preserve">presumption</w:t>
      </w:r>
      <w:r>
        <w:t xml:space="preserve"> </w:t>
      </w:r>
      <w:r>
        <w:t xml:space="preserve">of</w:t>
      </w:r>
      <w:r w:rsidR="00CF3B80">
        <w:t xml:space="preserve"> </w:t>
      </w:r>
      <w:r w:rsidR="0013617B">
        <w:t xml:space="preserve">employment</w:t>
      </w:r>
      <w:r>
        <w:t xml:space="preserve">’, </w:t>
      </w:r>
      <w:r>
        <w:t xml:space="preserve">‘algorithmic</w:t>
      </w:r>
      <w:r>
        <w:t xml:space="preserve"> </w:t>
      </w:r>
      <w:r>
        <w:t xml:space="preserve">management</w:t>
      </w:r>
      <w:r>
        <w:t xml:space="preserve"> </w:t>
      </w:r>
      <w:r w:rsidR="0013617B">
        <w:t xml:space="preserve">(AM)</w:t>
      </w:r>
      <w:r>
        <w:t xml:space="preserve">’, </w:t>
      </w:r>
      <w:r w:rsidR="0013617B">
        <w:t xml:space="preserve">personal </w:t>
      </w:r>
      <w:r>
        <w:t xml:space="preserve">data </w:t>
      </w:r>
      <w:r>
        <w:t xml:space="preserve">protection </w:t>
      </w:r>
      <w:r>
        <w:t xml:space="preserve">and privacy, collective rights and social dialogue, enforcement of the Directive, broader scope, and implementation challenges.</w:t>
      </w:r>
      <w:r w:rsidR="0013617B">
        <w:t xml:space="preserve"> The deadline for transposition into national law is 2 December 2026.</w:t>
      </w:r>
    </w:p>
    <w:p w:rsidR="00A60CFC" w:rsidP="00750824" w:rsidRDefault="00A60CFC" w14:paraId="7F54D8C2" w14:textId="77777777">
      <w:pPr>
        <w:jc w:val="both"/>
      </w:pPr>
    </w:p>
    <w:p w:rsidR="00750824" w:rsidP="00750824" w:rsidRDefault="00000000" w14:paraId="78FE98E6" w14:textId="2F072ADA">
      <w:pPr>
        <w:jc w:val="both"/>
      </w:pPr>
      <w:r>
        <w:t xml:space="preserve">The </w:t>
      </w:r>
      <w:r w:rsidR="0013617B">
        <w:t xml:space="preserve">central</w:t>
      </w:r>
      <w:r>
        <w:t xml:space="preserve"> theme of the document is social dialogue as a bridge between the adoption of the Directive and its actual implementation. The five critical elements, without which transposition will fail to achieve the Directive’s purpose</w:t>
      </w:r>
      <w:r w:rsidR="0013617B">
        <w:t xml:space="preserve">, are</w:t>
      </w:r>
      <w:r>
        <w:t xml:space="preserve">: (1) a legal presumption </w:t>
      </w:r>
      <w:r w:rsidR="00CF3B80">
        <w:t xml:space="preserve">of employment </w:t>
      </w:r>
      <w:r>
        <w:t xml:space="preserve">without additional criteria; (2) strengthened </w:t>
      </w:r>
      <w:r>
        <w:t xml:space="preserve">labour</w:t>
      </w:r>
      <w:r>
        <w:t xml:space="preserve"> inspectorates </w:t>
      </w:r>
      <w:r>
        <w:t xml:space="preserve">with </w:t>
      </w:r>
      <w:r>
        <w:t xml:space="preserve">real-time</w:t>
      </w:r>
      <w:r>
        <w:t xml:space="preserve"> access to algorithmic systems</w:t>
      </w:r>
      <w:r>
        <w:t xml:space="preserve">; (3) a mechanism for temporary collective protection whilst the procedure to determine employment status is ongoing; (4) mandatory </w:t>
      </w:r>
      <w:r>
        <w:t xml:space="preserve">joint </w:t>
      </w:r>
      <w:r>
        <w:t xml:space="preserve">liability</w:t>
      </w:r>
      <w:r>
        <w:t xml:space="preserve"> </w:t>
      </w:r>
      <w:r>
        <w:t xml:space="preserve">of platforms for the obligations of subcontractors and intermediaries; (5) collective procedures for enforcing rights without the individual consent of each worker. </w:t>
      </w:r>
    </w:p>
    <w:p w:rsidR="009B7FA3" w:rsidP="00750824" w:rsidRDefault="00000000" w14:paraId="00CC0001" w14:textId="4B261084">
      <w:pPr>
        <w:pStyle w:val="Naslov1"/>
        <w:jc w:val="both"/>
      </w:pPr>
      <w:bookmarkStart w:name="_Toc233699477" w:id="1"/>
      <w:r>
        <w:lastRenderedPageBreak/>
      </w:r>
      <w:r>
        <w:t xml:space="preserve">10 key recommendations</w:t>
      </w:r>
      <w:bookmarkEnd w:id="1"/>
    </w:p>
    <w:p w:rsidR="009B7FA3" w:rsidP="00750824" w:rsidRDefault="00000000" w14:paraId="00CC0002" w14:textId="7D23F4BB">
      <w:pPr>
        <w:pStyle w:val="Telobesedila"/>
        <w:jc w:val="both"/>
      </w:pPr>
      <w:r>
        <w:t xml:space="preserve">This document contains 44 recommendations, organised into ten thematic chapters. The list below summarises </w:t>
      </w:r>
      <w:r>
        <w:t xml:space="preserve">the ten</w:t>
      </w:r>
      <w:r w:rsidR="0013617B">
        <w:t xml:space="preserve"> key recommendations</w:t>
      </w:r>
      <w:r>
        <w:t xml:space="preserve">, without which the transposition of the Directive will fail to achieve its purpose </w:t>
      </w:r>
      <w:r w:rsidR="00D7386B">
        <w:t xml:space="preserve">– </w:t>
      </w:r>
      <w:r>
        <w:t xml:space="preserve">regardless of how </w:t>
      </w:r>
      <w:r w:rsidR="0013617B">
        <w:t xml:space="preserve">appropriate </w:t>
      </w:r>
      <w:r>
        <w:t xml:space="preserve">the wording of the legislation may be. These are recommendations that bridge the most significant structural gaps between the text of the Directive and its implementation </w:t>
      </w:r>
      <w:r w:rsidR="0013617B">
        <w:t xml:space="preserve">in practice</w:t>
      </w:r>
      <w:r>
        <w:t xml:space="preserve">. Each is explained in more detail in the relevant chapter.</w:t>
      </w:r>
    </w:p>
    <w:p w:rsidR="009B7FA3" w:rsidP="00750824" w:rsidRDefault="009B7FA3" w14:paraId="00CC0003" w14:textId="77777777">
      <w:pPr>
        <w:jc w:val="both"/>
      </w:pPr>
    </w:p>
    <w:p w:rsidR="009B7FA3" w:rsidP="00750824" w:rsidRDefault="00000000" w14:paraId="00CC0010" w14:textId="7E5E0AD7">
      <w:pPr>
        <w:pStyle w:val="Naslov3"/>
        <w:jc w:val="both"/>
      </w:pPr>
      <w:r>
        <w:t xml:space="preserve">1. Legal presumption </w:t>
      </w:r>
      <w:r w:rsidR="00CF3B80">
        <w:t xml:space="preserve">of employment </w:t>
      </w:r>
      <w:r>
        <w:t xml:space="preserve">without additional criteria (Recommendation 3.1)</w:t>
      </w:r>
    </w:p>
    <w:p w:rsidR="009B7FA3" w:rsidP="00750824" w:rsidRDefault="0013617B" w14:paraId="00CC0011" w14:textId="7B05AD2F">
      <w:pPr>
        <w:pStyle w:val="Telobesedila"/>
        <w:jc w:val="both"/>
      </w:pPr>
      <w:r>
        <w:t xml:space="preserve">The legal presumption </w:t>
      </w:r>
      <w:r w:rsidR="00CF3B80">
        <w:t xml:space="preserve">of employment </w:t>
      </w:r>
      <w:r>
        <w:t xml:space="preserve">is the foundation on which the Directive is based. </w:t>
      </w:r>
      <w:r>
        <w:t xml:space="preserve">National laws must not require the fulfilment of additional criteria; a single so-called factual indicator is sufficient, as the Directive is based on the </w:t>
      </w:r>
      <w:r>
        <w:t xml:space="preserve">‘primacy </w:t>
      </w:r>
      <w:r>
        <w:t xml:space="preserve">of </w:t>
      </w:r>
      <w:r>
        <w:t xml:space="preserve">facts</w:t>
      </w:r>
      <w:r>
        <w:t xml:space="preserve">’. </w:t>
      </w:r>
      <w:r w:rsidR="00D7386B">
        <w:t xml:space="preserve">If it is a fact that the worker is subject to supervision and receives instructions, this is sufficient to trigger the procedure for establishing </w:t>
      </w:r>
      <w:r w:rsidR="00CF3B80">
        <w:t xml:space="preserve">an employment relationship</w:t>
      </w:r>
      <w:r w:rsidR="00D7386B">
        <w:t xml:space="preserve">. Any additional criteria will enable platforms to opt for a path of ambiguity and legal proceedings rather than complying with the Directive. </w:t>
      </w:r>
    </w:p>
    <w:p w:rsidR="009B7FA3" w:rsidP="00750824" w:rsidRDefault="009B7FA3" w14:paraId="00CC0012" w14:textId="77777777">
      <w:pPr>
        <w:jc w:val="both"/>
      </w:pPr>
    </w:p>
    <w:p w:rsidR="009B7FA3" w:rsidP="00750824" w:rsidRDefault="00000000" w14:paraId="00CC0020" w14:textId="03CB63AC">
      <w:pPr>
        <w:pStyle w:val="Naslov3"/>
        <w:jc w:val="both"/>
      </w:pPr>
      <w:r>
        <w:t xml:space="preserve">2. The Labour Inspectorate as </w:t>
      </w:r>
      <w:r>
        <w:t xml:space="preserve">the</w:t>
      </w:r>
      <w:r w:rsidR="00D7386B">
        <w:t xml:space="preserve"> primary </w:t>
      </w:r>
      <w:r>
        <w:t xml:space="preserve">route </w:t>
      </w:r>
      <w:r w:rsidR="00D7386B">
        <w:t xml:space="preserve">– </w:t>
      </w:r>
      <w:r>
        <w:t xml:space="preserve">not the courts (Recommendation 3.2)</w:t>
      </w:r>
    </w:p>
    <w:p w:rsidR="009B7FA3" w:rsidP="00750824" w:rsidRDefault="00000000" w14:paraId="00CC0021" w14:textId="793F41BE">
      <w:pPr>
        <w:pStyle w:val="Telobesedila"/>
        <w:jc w:val="both"/>
      </w:pPr>
      <w:r>
        <w:t xml:space="preserve">It must be possible to determine employment status through an administrative procedure before the </w:t>
      </w:r>
      <w:r>
        <w:t xml:space="preserve">labour</w:t>
      </w:r>
      <w:r>
        <w:t xml:space="preserve"> </w:t>
      </w:r>
      <w:r w:rsidR="00D7386B">
        <w:t xml:space="preserve">inspector</w:t>
      </w:r>
      <w:r>
        <w:t xml:space="preserve">ate </w:t>
      </w:r>
      <w:r w:rsidR="00D7386B">
        <w:t xml:space="preserve">– </w:t>
      </w:r>
      <w:r>
        <w:t xml:space="preserve">quickly, accessibly and at no cost to the worker. A worker who is forced to endure lengthy legal proceedings has already lost the battle, regardless of the outcome.</w:t>
      </w:r>
    </w:p>
    <w:p w:rsidR="009B7FA3" w:rsidP="00750824" w:rsidRDefault="009B7FA3" w14:paraId="00CC0022" w14:textId="77777777">
      <w:pPr>
        <w:jc w:val="both"/>
      </w:pPr>
    </w:p>
    <w:p w:rsidR="009B7FA3" w:rsidP="00750824" w:rsidRDefault="00000000" w14:paraId="00CC0030" w14:textId="1FD00F05">
      <w:pPr>
        <w:pStyle w:val="Naslov3"/>
        <w:jc w:val="both"/>
      </w:pPr>
      <w:r>
        <w:t xml:space="preserve">3. Temporary collective protection whilst </w:t>
      </w:r>
      <w:r w:rsidR="00CF3B80">
        <w:t xml:space="preserve">employment status </w:t>
      </w:r>
      <w:r>
        <w:t xml:space="preserve">is being challenged </w:t>
      </w:r>
      <w:r>
        <w:t xml:space="preserve">(Recommendation 6.5)</w:t>
      </w:r>
    </w:p>
    <w:p w:rsidR="009B7FA3" w:rsidP="00750824" w:rsidRDefault="00000000" w14:paraId="00CC0031" w14:textId="599C4D71">
      <w:pPr>
        <w:pStyle w:val="Telobesedila"/>
        <w:jc w:val="both"/>
      </w:pPr>
      <w:r>
        <w:t xml:space="preserve">When the inspectorate determines that a platform is an employer, the platform </w:t>
      </w:r>
      <w:r w:rsidR="00D7386B">
        <w:t xml:space="preserve">may </w:t>
      </w:r>
      <w:r>
        <w:t xml:space="preserve">challenge </w:t>
      </w:r>
      <w:r>
        <w:t xml:space="preserve">this </w:t>
      </w:r>
      <w:r>
        <w:t xml:space="preserve">in court. </w:t>
      </w:r>
      <w:r w:rsidR="00D7386B">
        <w:t xml:space="preserve">Legal proceedings in most countries </w:t>
      </w:r>
      <w:r>
        <w:t xml:space="preserve">take years. During this time</w:t>
      </w:r>
      <w:r>
        <w:t xml:space="preserve">,</w:t>
      </w:r>
      <w:r>
        <w:t xml:space="preserve"> </w:t>
      </w:r>
      <w:r w:rsidR="00D7386B">
        <w:t xml:space="preserve">workers </w:t>
      </w:r>
      <w:r>
        <w:t xml:space="preserve">must not be left without protection: wages and contributions </w:t>
      </w:r>
      <w:r w:rsidR="00D7386B">
        <w:t xml:space="preserve">must be paid in accordance with the legislation governing </w:t>
      </w:r>
      <w:r w:rsidR="00CF3B80">
        <w:t xml:space="preserve">employment</w:t>
      </w:r>
      <w:r w:rsidR="00D7386B">
        <w:t xml:space="preserve"> rights </w:t>
      </w:r>
      <w:r>
        <w:t xml:space="preserve">until the court decides otherwise. The risk of an incorrect finding lies with the state </w:t>
      </w:r>
      <w:r w:rsidR="00D7386B">
        <w:t xml:space="preserve">– </w:t>
      </w:r>
      <w:r>
        <w:t xml:space="preserve">not the worker. Without this mechanism, any legal presumption is merely </w:t>
      </w:r>
      <w:r w:rsidR="00D7386B">
        <w:t xml:space="preserve">a dead letter on paper.</w:t>
      </w:r>
    </w:p>
    <w:p w:rsidR="009B7FA3" w:rsidP="00750824" w:rsidRDefault="009B7FA3" w14:paraId="00CC0032" w14:textId="77777777">
      <w:pPr>
        <w:jc w:val="both"/>
      </w:pPr>
    </w:p>
    <w:p w:rsidR="009B7FA3" w:rsidP="00750824" w:rsidRDefault="00000000" w14:paraId="00CC0040" w14:textId="3E6E5823">
      <w:pPr>
        <w:pStyle w:val="Naslov3"/>
        <w:jc w:val="both"/>
      </w:pPr>
      <w:r>
        <w:t xml:space="preserve">4. Collective enforcement without individual consent (Recommendation 3.5)</w:t>
      </w:r>
    </w:p>
    <w:p w:rsidR="009B7FA3" w:rsidP="00750824" w:rsidRDefault="00000000" w14:paraId="00CC0041" w14:textId="27EB57C4">
      <w:pPr>
        <w:pStyle w:val="Telobesedila"/>
        <w:jc w:val="both"/>
      </w:pPr>
      <w:r>
        <w:t xml:space="preserve">A trade union must </w:t>
      </w:r>
      <w:r w:rsidR="00D7386B">
        <w:t xml:space="preserve">be able </w:t>
      </w:r>
      <w:r>
        <w:t xml:space="preserve">to initiate proceedings to determine </w:t>
      </w:r>
      <w:r w:rsidR="00D7386B">
        <w:t xml:space="preserve">employment </w:t>
      </w:r>
      <w:r>
        <w:t xml:space="preserve">status or to bring a claim for a breach of the Directive on behalf of a group of workers </w:t>
      </w:r>
      <w:r w:rsidR="00D7386B">
        <w:t xml:space="preserve">– </w:t>
      </w:r>
      <w:r>
        <w:t xml:space="preserve">without being obliged to obtain the written consent of each individual. </w:t>
      </w:r>
      <w:r>
        <w:t xml:space="preserve">Platform </w:t>
      </w:r>
      <w:r>
        <w:t xml:space="preserve">workers who fear </w:t>
      </w:r>
      <w:r>
        <w:t xml:space="preserve">having </w:t>
      </w:r>
      <w:r>
        <w:t xml:space="preserve">their accounts </w:t>
      </w:r>
      <w:r>
        <w:t xml:space="preserve">deactivated </w:t>
      </w:r>
      <w:r w:rsidR="00D7386B">
        <w:t xml:space="preserve">and consequently losing their jobs </w:t>
      </w:r>
      <w:r w:rsidR="00D7386B">
        <w:t xml:space="preserve">will</w:t>
      </w:r>
      <w:r>
        <w:t xml:space="preserve"> not </w:t>
      </w:r>
      <w:r w:rsidR="00D7386B">
        <w:t xml:space="preserve">sign complaints or give their consent to initiate proceedings</w:t>
      </w:r>
      <w:r>
        <w:t xml:space="preserve">. Individual consent as a procedural requirement </w:t>
      </w:r>
      <w:r w:rsidR="00D7386B">
        <w:t xml:space="preserve">does not provide protection, but merely serves as a loophole for platforms. </w:t>
      </w:r>
    </w:p>
    <w:p w:rsidR="009B7FA3" w:rsidP="00750824" w:rsidRDefault="009B7FA3" w14:paraId="00CC0042" w14:textId="77777777">
      <w:pPr>
        <w:jc w:val="both"/>
      </w:pPr>
    </w:p>
    <w:p w:rsidR="009B7FA3" w:rsidP="00750824" w:rsidRDefault="00000000" w14:paraId="00CC0050" w14:textId="225BD1D1">
      <w:pPr>
        <w:pStyle w:val="Naslov3"/>
        <w:jc w:val="both"/>
      </w:pPr>
      <w:r>
        <w:t xml:space="preserve">5. </w:t>
      </w:r>
      <w:r w:rsidR="00A25A76">
        <w:t xml:space="preserve">Joint </w:t>
      </w:r>
      <w:r>
        <w:t xml:space="preserve">liability as an obligation, not </w:t>
      </w:r>
      <w:r w:rsidR="00061B6E">
        <w:t xml:space="preserve">an option </w:t>
      </w:r>
      <w:r>
        <w:t xml:space="preserve">(Recommendation 3.4)</w:t>
      </w:r>
    </w:p>
    <w:p w:rsidR="009B7FA3" w:rsidP="00750824" w:rsidRDefault="00000000" w14:paraId="00CC0051" w14:textId="56E3F0B5">
      <w:pPr>
        <w:pStyle w:val="Telobesedila"/>
        <w:jc w:val="both"/>
      </w:pPr>
      <w:r>
        <w:lastRenderedPageBreak/>
      </w:r>
      <w:r>
        <w:t xml:space="preserve">The </w:t>
      </w:r>
      <w:r w:rsidR="00061B6E">
        <w:t xml:space="preserve">wording</w:t>
      </w:r>
      <w:r>
        <w:t xml:space="preserve"> of the directive </w:t>
      </w:r>
      <w:r w:rsidR="00792F1C">
        <w:t xml:space="preserve">‘</w:t>
      </w:r>
      <w:r>
        <w:t xml:space="preserve">where </w:t>
      </w:r>
      <w:r w:rsidR="00792F1C">
        <w:t xml:space="preserve">appropriate’ </w:t>
      </w:r>
      <w:r w:rsidR="00061B6E">
        <w:t xml:space="preserve">must be </w:t>
      </w:r>
      <w:r>
        <w:t xml:space="preserve">a minimum standard, not a limitation </w:t>
      </w:r>
      <w:r w:rsidR="00061B6E">
        <w:t xml:space="preserve">on implementation</w:t>
      </w:r>
      <w:r>
        <w:t xml:space="preserve">. </w:t>
      </w:r>
      <w:r>
        <w:t xml:space="preserve">Joint </w:t>
      </w:r>
      <w:r>
        <w:t xml:space="preserve">liability</w:t>
      </w:r>
      <w:r>
        <w:t xml:space="preserve"> </w:t>
      </w:r>
      <w:r>
        <w:t xml:space="preserve">of the platform for </w:t>
      </w:r>
      <w:r w:rsidR="00061B6E">
        <w:t xml:space="preserve">the payment of</w:t>
      </w:r>
      <w:r>
        <w:t xml:space="preserve"> wages, </w:t>
      </w:r>
      <w:r w:rsidR="00061B6E">
        <w:t xml:space="preserve">social security contributions </w:t>
      </w:r>
      <w:r>
        <w:t xml:space="preserve">and </w:t>
      </w:r>
      <w:r w:rsidR="00061B6E">
        <w:t xml:space="preserve">the guarantee of workers’ rights </w:t>
      </w:r>
      <w:r>
        <w:t xml:space="preserve">throughout </w:t>
      </w:r>
      <w:r>
        <w:t xml:space="preserve">the </w:t>
      </w:r>
      <w:r>
        <w:t xml:space="preserve">entire </w:t>
      </w:r>
      <w:r>
        <w:t xml:space="preserve">subcontracting </w:t>
      </w:r>
      <w:r>
        <w:t xml:space="preserve">chain </w:t>
      </w:r>
      <w:r w:rsidR="00061B6E">
        <w:t xml:space="preserve">used by the platform </w:t>
      </w:r>
      <w:r>
        <w:t xml:space="preserve">must be a mandatory provision of the law </w:t>
      </w:r>
      <w:r w:rsidR="00D7386B">
        <w:t xml:space="preserve">– </w:t>
      </w:r>
      <w:r>
        <w:t xml:space="preserve">not a discretionary one. The </w:t>
      </w:r>
      <w:r>
        <w:t xml:space="preserve">‘fleet </w:t>
      </w:r>
      <w:r>
        <w:t xml:space="preserve">system’ and </w:t>
      </w:r>
      <w:r>
        <w:t xml:space="preserve">‘shell</w:t>
      </w:r>
      <w:r>
        <w:t xml:space="preserve"> </w:t>
      </w:r>
      <w:r>
        <w:t xml:space="preserve">companies’ are currently the primary tools for circumvention</w:t>
      </w:r>
      <w:r w:rsidR="00061B6E">
        <w:t xml:space="preserve">.</w:t>
      </w:r>
    </w:p>
    <w:p w:rsidR="009B7FA3" w:rsidP="00750824" w:rsidRDefault="009B7FA3" w14:paraId="00CC0052" w14:textId="77777777">
      <w:pPr>
        <w:jc w:val="both"/>
      </w:pPr>
    </w:p>
    <w:p w:rsidR="009B7FA3" w:rsidP="00750824" w:rsidRDefault="00000000" w14:paraId="00CC0060" w14:textId="1CBE7E42">
      <w:pPr>
        <w:pStyle w:val="Naslov3"/>
        <w:jc w:val="both"/>
      </w:pPr>
      <w:r>
        <w:t xml:space="preserve">6. Fines linked to turnover, not to an abstract maximum (Recommendation 7.1)</w:t>
      </w:r>
    </w:p>
    <w:p w:rsidR="009B7FA3" w:rsidP="00750824" w:rsidRDefault="00000000" w14:paraId="00CC0061" w14:textId="33764FDC">
      <w:pPr>
        <w:pStyle w:val="Telobesedila"/>
        <w:jc w:val="both"/>
      </w:pPr>
      <w:r>
        <w:t xml:space="preserve">A fixed statutory fine limit (e.g. </w:t>
      </w:r>
      <w:r>
        <w:t xml:space="preserve">EUR</w:t>
      </w:r>
      <w:r>
        <w:t xml:space="preserve"> 50</w:t>
      </w:r>
      <w:r w:rsidR="00061B6E">
        <w:t xml:space="preserve">,</w:t>
      </w:r>
      <w:r>
        <w:t xml:space="preserve">000</w:t>
      </w:r>
      <w:r w:rsidR="00061B6E">
        <w:t xml:space="preserve">.00</w:t>
      </w:r>
      <w:r>
        <w:t xml:space="preserve">) is </w:t>
      </w:r>
      <w:r>
        <w:t xml:space="preserve">an </w:t>
      </w:r>
      <w:r>
        <w:t xml:space="preserve">implausible </w:t>
      </w:r>
      <w:r>
        <w:t xml:space="preserve">threat </w:t>
      </w:r>
      <w:r>
        <w:t xml:space="preserve">to a platform with revenues running into the billions</w:t>
      </w:r>
      <w:r>
        <w:t xml:space="preserve">. Penalties must be calculated as a percentage of the platform’s annual revenue in the country concerned: 2 per cent for breaches </w:t>
      </w:r>
      <w:r w:rsidR="00061B6E">
        <w:t xml:space="preserve">relating to</w:t>
      </w:r>
      <w:r>
        <w:t xml:space="preserve"> algorithmic management, 4 per cent for breaches </w:t>
      </w:r>
      <w:r w:rsidR="00061B6E">
        <w:t xml:space="preserve">relating to employment </w:t>
      </w:r>
      <w:r w:rsidR="00061B6E">
        <w:t xml:space="preserve">status</w:t>
      </w:r>
      <w:r>
        <w:t xml:space="preserve">, and up to 6 per cent for systemic, repeated breaches. Only </w:t>
      </w:r>
      <w:r w:rsidR="00061B6E">
        <w:t xml:space="preserve">then will the fines </w:t>
      </w:r>
      <w:r w:rsidR="00061B6E">
        <w:t xml:space="preserve">serve </w:t>
      </w:r>
      <w:r>
        <w:t xml:space="preserve">their purpose </w:t>
      </w:r>
      <w:r w:rsidR="00061B6E">
        <w:t xml:space="preserve">of deterring infringements</w:t>
      </w:r>
      <w:r>
        <w:t xml:space="preserve">.</w:t>
      </w:r>
    </w:p>
    <w:p w:rsidR="009B7FA3" w:rsidP="00750824" w:rsidRDefault="009B7FA3" w14:paraId="00CC0062" w14:textId="77777777">
      <w:pPr>
        <w:jc w:val="both"/>
      </w:pPr>
    </w:p>
    <w:p w:rsidR="009B7FA3" w:rsidP="00750824" w:rsidRDefault="00000000" w14:paraId="00CC0070" w14:textId="20DE727E">
      <w:pPr>
        <w:pStyle w:val="Naslov3"/>
        <w:jc w:val="both"/>
      </w:pPr>
      <w:r>
        <w:t xml:space="preserve">7. Genuine human review </w:t>
      </w:r>
      <w:r w:rsidR="00D7386B">
        <w:t xml:space="preserve">– </w:t>
      </w:r>
      <w:r>
        <w:t xml:space="preserve">not algorithmic validation (Recommendation 5.4)</w:t>
      </w:r>
    </w:p>
    <w:p w:rsidR="009B7FA3" w:rsidP="00750824" w:rsidRDefault="00000000" w14:paraId="00CC0071" w14:textId="2CA944E4">
      <w:pPr>
        <w:pStyle w:val="Telobesedila"/>
        <w:jc w:val="both"/>
      </w:pPr>
      <w:r>
        <w:t xml:space="preserve">The Act must stipulate that the review under Article 11 </w:t>
      </w:r>
      <w:r w:rsidR="00084394">
        <w:t xml:space="preserve">of the Directive </w:t>
      </w:r>
      <w:r>
        <w:t xml:space="preserve">is not </w:t>
      </w:r>
      <w:r w:rsidR="00084394">
        <w:t xml:space="preserve">merely </w:t>
      </w:r>
      <w:r>
        <w:t xml:space="preserve">a</w:t>
      </w:r>
      <w:r w:rsidR="00084394">
        <w:t xml:space="preserve"> formal </w:t>
      </w:r>
      <w:r>
        <w:t xml:space="preserve">procedure in which </w:t>
      </w:r>
      <w:r>
        <w:t xml:space="preserve">a platform employee </w:t>
      </w:r>
      <w:r w:rsidR="00084394">
        <w:t xml:space="preserve">merely </w:t>
      </w:r>
      <w:r w:rsidR="00084394">
        <w:t xml:space="preserve">confirms </w:t>
      </w:r>
      <w:r>
        <w:t xml:space="preserve">the outcome of the algorithm. The review must be carried out by a qualified person who has the actual authority to amend the decision and cannot be penalised for doing so. At the same time, the supervision under Article 10 must be ongoing </w:t>
      </w:r>
      <w:r w:rsidR="00D7386B">
        <w:t xml:space="preserve">– </w:t>
      </w:r>
      <w:r>
        <w:t xml:space="preserve">not merely a biennial review </w:t>
      </w:r>
      <w:r w:rsidR="00084394">
        <w:t xml:space="preserve">carried out</w:t>
      </w:r>
      <w:r>
        <w:t xml:space="preserve"> by the platform </w:t>
      </w:r>
      <w:r>
        <w:t xml:space="preserve">as an administrative obligation.</w:t>
      </w:r>
    </w:p>
    <w:p w:rsidR="009B7FA3" w:rsidP="00750824" w:rsidRDefault="009B7FA3" w14:paraId="00CC0072" w14:textId="77777777">
      <w:pPr>
        <w:jc w:val="both"/>
      </w:pPr>
    </w:p>
    <w:p w:rsidR="009B7FA3" w:rsidP="00750824" w:rsidRDefault="00000000" w14:paraId="00CC0080" w14:textId="0025CB50">
      <w:pPr>
        <w:pStyle w:val="Naslov3"/>
        <w:jc w:val="both"/>
      </w:pPr>
      <w:r>
        <w:t xml:space="preserve">8. Protection against retaliatory measures with a reversed burden of proof (Recommendation 7.2)</w:t>
      </w:r>
    </w:p>
    <w:p w:rsidR="009B7FA3" w:rsidP="00750824" w:rsidRDefault="008F0A64" w14:paraId="00CC0081" w14:textId="6EEA69C0">
      <w:pPr>
        <w:pStyle w:val="Telobesedila"/>
        <w:jc w:val="both"/>
      </w:pPr>
      <w:r>
        <w:t xml:space="preserve">Retaliatory measures following the exercise of rights will most likely take the form of lower ratings for workers in apps, fewer assignments or jobs being allocated, and increased </w:t>
      </w:r>
      <w:r w:rsidR="00D7386B">
        <w:t xml:space="preserve">monitoring – </w:t>
      </w:r>
      <w:r>
        <w:t xml:space="preserve">and the law must define them as such. </w:t>
      </w:r>
      <w:r>
        <w:t xml:space="preserve">The burden </w:t>
      </w:r>
      <w:r>
        <w:t xml:space="preserve">of proof must be reversed: the worker must demonstrate a probable causal link between the exercise of their rights and the adverse measure, whilst the platform must prove that the measure is the result of objective factors and not the worker’s exercise of their rights. Without this, any formal protection will remain unenforceable in practice.</w:t>
      </w:r>
    </w:p>
    <w:p w:rsidR="009B7FA3" w:rsidP="00750824" w:rsidRDefault="009B7FA3" w14:paraId="00CC0082" w14:textId="77777777">
      <w:pPr>
        <w:jc w:val="both"/>
      </w:pPr>
    </w:p>
    <w:p w:rsidR="009B7FA3" w:rsidP="00750824" w:rsidRDefault="00000000" w14:paraId="00CC0090" w14:textId="16EA3121">
      <w:pPr>
        <w:pStyle w:val="Naslov3"/>
        <w:jc w:val="both"/>
      </w:pPr>
      <w:r>
        <w:t xml:space="preserve">9. Disclosure of algorithms in court and inspection proceedings (Recommendation 7.4)</w:t>
      </w:r>
    </w:p>
    <w:p w:rsidR="009B7FA3" w:rsidP="00750824" w:rsidRDefault="00000000" w14:paraId="00CC0091" w14:textId="3F12F3CB">
      <w:pPr>
        <w:pStyle w:val="Telobesedila"/>
        <w:jc w:val="both"/>
      </w:pPr>
      <w:r>
        <w:t xml:space="preserve">Courts and inspectorates must be legally authorised </w:t>
      </w:r>
      <w:r w:rsidR="008F0A64">
        <w:t xml:space="preserve">to </w:t>
      </w:r>
      <w:r>
        <w:t xml:space="preserve">inspect algorithmic parameters, decision histories and monitoring data </w:t>
      </w:r>
      <w:r w:rsidR="008F0A64">
        <w:t xml:space="preserve">collected by applications</w:t>
      </w:r>
      <w:r>
        <w:t xml:space="preserve">. Invoking trade secrets must not constitute an absolute defence</w:t>
      </w:r>
      <w:r w:rsidR="008F0A64">
        <w:t xml:space="preserve">. </w:t>
      </w:r>
      <w:r>
        <w:t xml:space="preserve">The law must provide for mechanisms for confidential review (‘in camera’ proceedings). Without this, platforms will have a structural information advantage over all other participants in proceedings.</w:t>
      </w:r>
    </w:p>
    <w:p w:rsidR="009B7FA3" w:rsidP="00750824" w:rsidRDefault="009B7FA3" w14:paraId="00CC0092" w14:textId="77777777">
      <w:pPr>
        <w:jc w:val="both"/>
      </w:pPr>
    </w:p>
    <w:p w:rsidR="009B7FA3" w:rsidP="00750824" w:rsidRDefault="00000000" w14:paraId="00CC00A0" w14:textId="16C92382">
      <w:pPr>
        <w:pStyle w:val="Naslov3"/>
        <w:jc w:val="both"/>
      </w:pPr>
      <w:r>
        <w:t xml:space="preserve">10. Prohibition of a third status: the binary </w:t>
      </w:r>
      <w:r w:rsidR="00CF3B80">
        <w:t xml:space="preserve">employment</w:t>
      </w:r>
      <w:r>
        <w:t xml:space="preserve"> test </w:t>
      </w:r>
      <w:r>
        <w:t xml:space="preserve">(Recommendation 9.1)</w:t>
      </w:r>
    </w:p>
    <w:p w:rsidR="009B7FA3" w:rsidP="00750824" w:rsidRDefault="00000000" w14:paraId="00CC00A1" w14:textId="57EC958A">
      <w:pPr>
        <w:pStyle w:val="Telobesedila"/>
        <w:jc w:val="both"/>
      </w:pPr>
      <w:r>
        <w:t xml:space="preserve">The law must not introduce intermediate statuses between an employee and a self-employed person </w:t>
      </w:r>
      <w:r w:rsidR="00D7386B">
        <w:t xml:space="preserve">– </w:t>
      </w:r>
      <w:r>
        <w:t xml:space="preserve">so-called </w:t>
      </w:r>
      <w:r>
        <w:t xml:space="preserve">‘economically dependent </w:t>
      </w:r>
      <w:r w:rsidR="008F0A64">
        <w:t xml:space="preserve">workers’, </w:t>
      </w:r>
      <w:r w:rsidR="008F0A64">
        <w:t xml:space="preserve">‘parasubordinate’ </w:t>
      </w:r>
      <w:r>
        <w:t xml:space="preserve">or similar categories with</w:t>
      </w:r>
      <w:r>
        <w:lastRenderedPageBreak/>
      </w:r>
      <w:r>
        <w:t xml:space="preserve"> partial rights. The Directive is based on a binary test: either </w:t>
      </w:r>
      <w:r w:rsidR="00CF3B80">
        <w:t xml:space="preserve">employment </w:t>
      </w:r>
      <w:r>
        <w:t xml:space="preserve">or self-employment. A third status, which allows platforms </w:t>
      </w:r>
      <w:r w:rsidR="008F0A64">
        <w:t xml:space="preserve">to comply with the Directive </w:t>
      </w:r>
      <w:r>
        <w:t xml:space="preserve">without </w:t>
      </w:r>
      <w:r w:rsidR="008F0A64">
        <w:t xml:space="preserve">adhering to </w:t>
      </w:r>
      <w:r>
        <w:t xml:space="preserve">its substance, is </w:t>
      </w:r>
      <w:r>
        <w:t xml:space="preserve">the regulatory route most frequently recommended </w:t>
      </w:r>
      <w:r w:rsidR="008F0A64">
        <w:t xml:space="preserve">by platforms </w:t>
      </w:r>
      <w:r>
        <w:t xml:space="preserve">as </w:t>
      </w:r>
      <w:r>
        <w:t xml:space="preserve">a </w:t>
      </w:r>
      <w:r>
        <w:t xml:space="preserve">means of circumvention </w:t>
      </w:r>
      <w:r w:rsidR="00D7386B">
        <w:t xml:space="preserve">– </w:t>
      </w:r>
      <w:r>
        <w:t xml:space="preserve">and must be </w:t>
      </w:r>
      <w:r w:rsidR="008F0A64">
        <w:t xml:space="preserve">nipped </w:t>
      </w:r>
      <w:r>
        <w:t xml:space="preserve">in</w:t>
      </w:r>
      <w:r w:rsidR="008F0A64">
        <w:t xml:space="preserve"> the bud </w:t>
      </w:r>
      <w:r>
        <w:t xml:space="preserve">in </w:t>
      </w:r>
      <w:r w:rsidR="008F0A64">
        <w:t xml:space="preserve">the</w:t>
      </w:r>
      <w:r>
        <w:t xml:space="preserve"> very legislation </w:t>
      </w:r>
      <w:r w:rsidR="008F0A64">
        <w:t xml:space="preserve">transposing the Directive</w:t>
      </w:r>
      <w:r>
        <w:t xml:space="preserve">.</w:t>
      </w:r>
    </w:p>
    <w:p w:rsidR="009B7FA3" w:rsidP="00750824" w:rsidRDefault="009B7FA3" w14:paraId="00CC00A2" w14:textId="77777777">
      <w:pPr>
        <w:jc w:val="both"/>
      </w:pPr>
    </w:p>
    <w:p w:rsidR="009B7FA3" w:rsidP="00750824" w:rsidRDefault="00000000" w14:paraId="00CC0200" w14:textId="3E8A04C9">
      <w:pPr>
        <w:pStyle w:val="Telobesedila"/>
        <w:jc w:val="both"/>
      </w:pPr>
      <w:r>
        <w:t xml:space="preserve">All further recommendations in this document are either explanations and operationalisations of the ten points above</w:t>
      </w:r>
      <w:r w:rsidR="008F0A64">
        <w:t xml:space="preserve">, </w:t>
      </w:r>
      <w:r>
        <w:t xml:space="preserve">or more ambitious proposals that go beyond the minimum requirements of the Directive. The hierarchy is deliberate: </w:t>
      </w:r>
      <w:r w:rsidR="008F0A64">
        <w:t xml:space="preserve">a country </w:t>
      </w:r>
      <w:r>
        <w:t xml:space="preserve">that implements at least these ten points will </w:t>
      </w:r>
      <w:r w:rsidR="008F0A64">
        <w:t xml:space="preserve">transpose</w:t>
      </w:r>
      <w:r>
        <w:t xml:space="preserve"> </w:t>
      </w:r>
      <w:r>
        <w:t xml:space="preserve">the directive in such a way that it effectively changes working conditions on platforms </w:t>
      </w:r>
      <w:r w:rsidR="008F0A64">
        <w:t xml:space="preserve">in favour of workers and achieves the directive’s purpose</w:t>
      </w:r>
      <w:r>
        <w:t xml:space="preserve">.</w:t>
      </w:r>
    </w:p>
    <w:p w:rsidR="009B7FA3" w:rsidP="00750824" w:rsidRDefault="009B7FA3" w14:paraId="00CC0201" w14:textId="77777777">
      <w:pPr>
        <w:jc w:val="both"/>
      </w:pPr>
    </w:p>
    <w:p w:rsidR="00750824" w:rsidRDefault="00750824" w14:paraId="7F66102A" w14:textId="77777777">
      <w:pPr>
        <w:rPr>
          <w:b/>
          <w:bCs/>
          <w:color w:val="1F3864"/>
          <w:sz w:val="36"/>
          <w:szCs w:val="36"/>
        </w:rPr>
      </w:pPr>
      <w:r>
        <w:br w:type="page"/>
      </w:r>
    </w:p>
    <w:p w:rsidR="00D90A18" w:rsidP="00750824" w:rsidRDefault="00D90A18" w14:paraId="5A3CA3C4" w14:textId="7281FA23">
      <w:pPr>
        <w:pStyle w:val="Naslov1"/>
        <w:jc w:val="both"/>
      </w:pPr>
      <w:bookmarkStart w:name="_Toc233699478" w:id="2"/>
      <w:r>
        <w:lastRenderedPageBreak/>
      </w:r>
      <w:r>
        <w:t xml:space="preserve">Foreword</w:t>
      </w:r>
      <w:bookmarkEnd w:id="2"/>
    </w:p>
    <w:p w:rsidR="00D90A18" w:rsidP="00750824" w:rsidRDefault="00D90A18" w14:paraId="63638BEA" w14:textId="77777777">
      <w:pPr>
        <w:jc w:val="both"/>
      </w:pPr>
      <w:r>
        <w:t xml:space="preserve">This document is the result of the SDDP (</w:t>
      </w:r>
      <w:r>
        <w:t xml:space="preserve">Establishing </w:t>
      </w:r>
      <w:r>
        <w:t xml:space="preserve">and </w:t>
      </w:r>
      <w:r>
        <w:t xml:space="preserve">Strengthening </w:t>
      </w:r>
      <w:r>
        <w:t xml:space="preserve">Social </w:t>
      </w:r>
      <w:r>
        <w:t xml:space="preserve">Dialogue </w:t>
      </w:r>
      <w:r>
        <w:t xml:space="preserve">in </w:t>
      </w:r>
      <w:r>
        <w:t xml:space="preserve">Digital </w:t>
      </w:r>
      <w:r>
        <w:t xml:space="preserve">Platforms</w:t>
      </w:r>
      <w:r>
        <w:t xml:space="preserve">) </w:t>
      </w:r>
      <w:r>
        <w:t xml:space="preserve">project</w:t>
      </w:r>
      <w:r>
        <w:t xml:space="preserve">, funded under the European Commission’s Social Dialogue Programme (SOCPL-2022-SOC-DIAL) and co-funded by the European Social Fund (ESF). The project ran from April 2023 to March 2026.</w:t>
      </w:r>
    </w:p>
    <w:p w:rsidR="00D90A18" w:rsidP="00750824" w:rsidRDefault="00D90A18" w14:paraId="7CFB778E" w14:textId="77777777">
      <w:pPr>
        <w:jc w:val="both"/>
      </w:pPr>
    </w:p>
    <w:p w:rsidR="00D90A18" w:rsidP="00750824" w:rsidRDefault="00D90A18" w14:paraId="562683D6" w14:textId="7CE76151">
      <w:pPr>
        <w:jc w:val="both"/>
      </w:pPr>
      <w:r>
        <w:t xml:space="preserve">The consortium comprises: ZSSS </w:t>
      </w:r>
      <w:r w:rsidR="00D7386B">
        <w:t xml:space="preserve">– </w:t>
      </w:r>
      <w:r>
        <w:t xml:space="preserve">Confederation of Free Trade Unions of Slovenia (coordinator), ÖGB </w:t>
      </w:r>
      <w:r w:rsidR="00D7386B">
        <w:t xml:space="preserve">– </w:t>
      </w:r>
      <w:r>
        <w:t xml:space="preserve">Austrian Trade Union Federation, CGIL </w:t>
      </w:r>
      <w:r w:rsidR="00D7386B">
        <w:t xml:space="preserve">– </w:t>
      </w:r>
      <w:r>
        <w:t xml:space="preserve">Italian General Confederation of Labour, OPZZ and ABVV-FTB, in collaboration with the ETUC. </w:t>
      </w:r>
    </w:p>
    <w:p w:rsidR="00DB0B6E" w:rsidP="00750824" w:rsidRDefault="00DB0B6E" w14:paraId="0E9BE49C" w14:textId="77777777">
      <w:pPr>
        <w:jc w:val="both"/>
      </w:pPr>
    </w:p>
    <w:p w:rsidR="00D90A18" w:rsidP="00750824" w:rsidRDefault="00D90A18" w14:paraId="1E9C8F52" w14:textId="0780E0D7">
      <w:pPr>
        <w:jc w:val="both"/>
      </w:pPr>
      <w:r>
        <w:t xml:space="preserve">This document is based on contributions from the </w:t>
      </w:r>
      <w:r w:rsidR="00DB0B6E">
        <w:t xml:space="preserve">project </w:t>
      </w:r>
      <w:r>
        <w:t xml:space="preserve">partners</w:t>
      </w:r>
      <w:r>
        <w:t xml:space="preserve">, three collective agreements </w:t>
      </w:r>
      <w:r w:rsidR="00DB0B6E">
        <w:t xml:space="preserve">concluded with </w:t>
      </w:r>
      <w:r w:rsidR="00DB0B6E">
        <w:t xml:space="preserve">platform </w:t>
      </w:r>
      <w:r w:rsidR="00DB0B6E">
        <w:t xml:space="preserve">companies</w:t>
      </w:r>
      <w:r>
        <w:t xml:space="preserve">, the report by the European Commission’s expert group on the transposition of the Directive (January 2026) and the discussions at the mid-term conference in Ljubljana in May 2025.</w:t>
      </w:r>
    </w:p>
    <w:p w:rsidR="00D90A18" w:rsidP="00750824" w:rsidRDefault="00D90A18" w14:paraId="773309D0" w14:textId="77777777">
      <w:pPr>
        <w:jc w:val="both"/>
      </w:pPr>
      <w:r>
        <w:t xml:space="preserve">The recommendations are addressed to the ministries of labour of EU Member States and to the social partners. They represent the views of the SDDP consortium and do not necessarily reflect the views of the European Commission or individual Member States.</w:t>
      </w:r>
    </w:p>
    <w:p w:rsidR="00D90A18" w:rsidP="00750824" w:rsidRDefault="00D90A18" w14:paraId="7C0C6646" w14:textId="77777777">
      <w:pPr>
        <w:jc w:val="both"/>
      </w:pPr>
    </w:p>
    <w:p w:rsidR="00D90A18" w:rsidP="00750824" w:rsidRDefault="00D90A18" w14:paraId="02BC730F" w14:textId="77777777">
      <w:pPr>
        <w:jc w:val="both"/>
      </w:pPr>
      <w:r>
        <w:t xml:space="preserve">Ljubljana, February 2026</w:t>
      </w:r>
    </w:p>
    <w:p w:rsidR="00750824" w:rsidRDefault="00750824" w14:paraId="43DF8F1C" w14:textId="77777777">
      <w:r>
        <w:br w:type="page"/>
      </w:r>
    </w:p>
    <w:sdt>
      <w:sdtPr>
        <w:id w:val="-1059785089"/>
        <w:docPartObj>
          <w:docPartGallery w:val="Table of Contents"/>
          <w:docPartUnique/>
        </w:docPartObj>
      </w:sdtPr>
      <w:sdtContent>
        <w:p w:rsidR="00983F19" w:rsidP="00750824" w:rsidRDefault="00D90A18" w14:paraId="032E0C10" w14:textId="33FE751C">
          <w:pPr>
            <w:jc w:val="both"/>
            <w:rPr>
              <w:b/>
              <w:bCs/>
              <w:color w:val="1F497D" w:themeColor="text2"/>
              <w:sz w:val="32"/>
              <w:szCs w:val="32"/>
            </w:rPr>
          </w:pPr>
          <w:r w:rsidRPr="00750824">
            <w:rPr>
              <w:b/>
              <w:bCs/>
              <w:color w:val="1F497D" w:themeColor="text2"/>
              <w:sz w:val="32"/>
              <w:szCs w:val="32"/>
            </w:rPr>
            <w:t xml:space="preserve">Table of Contents</w:t>
          </w:r>
        </w:p>
        <w:p w:rsidRPr="00750824" w:rsidR="00750824" w:rsidP="00750824" w:rsidRDefault="00750824" w14:paraId="2E64F756" w14:textId="77777777">
          <w:pPr>
            <w:jc w:val="both"/>
            <w:rPr>
              <w:b/>
              <w:bCs/>
              <w:color w:val="1F497D" w:themeColor="text2"/>
              <w:sz w:val="32"/>
              <w:szCs w:val="32"/>
            </w:rPr>
          </w:pPr>
        </w:p>
        <w:p w:rsidR="00615F18" w:rsidRDefault="00000000" w14:paraId="27C0A924" w14:textId="5B2FD599">
          <w:pPr>
            <w:pStyle w:val="Kazalovsebine1"/>
            <w:tabs>
              <w:tab w:val="right" w:leader="dot" w:pos="9016"/>
            </w:tabs>
            <w:rPr>
              <w:rFonts w:asciiTheme="minorHAnsi" w:hAnsiTheme="minorHAnsi" w:eastAsiaTheme="minorEastAsia" w:cstheme="minorBidi"/>
              <w:noProof/>
              <w:kern w:val="2"/>
              <w14:ligatures w14:val="standardContextual"/>
            </w:rPr>
          </w:pPr>
          <w:r>
            <w:fldChar w:fldCharType="begin"/>
          </w:r>
          <w:r>
            <w:instrText>TOC \o "1-2" \h \z \u</w:instrText>
          </w:r>
          <w:r>
            <w:fldChar w:fldCharType="separate"/>
          </w:r>
          <w:hyperlink w:history="1" w:anchor="_Toc233699476">
            <w:r w:rsidRPr="00C7164C" w:rsidR="00615F18">
              <w:rPr>
                <w:rStyle w:val="Hiperpovezava"/>
                <w:noProof/>
              </w:rPr>
              <w:t xml:space="preserve">Summary</w:t>
            </w:r>
            <w:r w:rsidR="00615F18">
              <w:rPr>
                <w:noProof/>
                <w:webHidden/>
              </w:rPr>
              <w:tab/>
            </w:r>
            <w:r w:rsidR="00615F18">
              <w:rPr>
                <w:noProof/>
                <w:webHidden/>
              </w:rPr>
              <w:fldChar w:fldCharType="begin"/>
            </w:r>
            <w:r w:rsidR="00615F18">
              <w:rPr>
                <w:noProof/>
                <w:webHidden/>
              </w:rPr>
              <w:instrText xml:space="preserve"> PAGEREF _Toc233699476 \h </w:instrText>
            </w:r>
            <w:r w:rsidR="00615F18">
              <w:rPr>
                <w:noProof/>
                <w:webHidden/>
              </w:rPr>
              <w:fldChar w:fldCharType="separate"/>
            </w:r>
            <w:r w:rsidR="00615F18">
              <w:rPr>
                <w:noProof/>
                <w:webHidden/>
              </w:rPr>
              <w:t>1</w:t>
            </w:r>
            <w:r w:rsidR="00615F18">
              <w:rPr>
                <w:noProof/>
                <w:webHidden/>
              </w:rPr>
              <w:fldChar w:fldCharType="end"/>
            </w:r>
          </w:hyperlink>
        </w:p>
        <w:p w:rsidR="00615F18" w:rsidRDefault="00615F18" w14:paraId="2525978E" w14:textId="1BCB9985">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7">
            <w:r w:rsidRPr="00C7164C">
              <w:rPr>
                <w:rStyle w:val="Hiperpovezava"/>
                <w:noProof/>
              </w:rPr>
              <w:t xml:space="preserve">10 key recommendations</w:t>
            </w:r>
            <w:r>
              <w:rPr>
                <w:noProof/>
                <w:webHidden/>
              </w:rPr>
              <w:tab/>
            </w:r>
            <w:r>
              <w:rPr>
                <w:noProof/>
                <w:webHidden/>
              </w:rPr>
              <w:fldChar w:fldCharType="begin"/>
            </w:r>
            <w:r>
              <w:rPr>
                <w:noProof/>
                <w:webHidden/>
              </w:rPr>
              <w:instrText xml:space="preserve"> PAGEREF _Toc233699477 \h </w:instrText>
            </w:r>
            <w:r>
              <w:rPr>
                <w:noProof/>
                <w:webHidden/>
              </w:rPr>
              <w:fldChar w:fldCharType="separate"/>
            </w:r>
            <w:r>
              <w:rPr>
                <w:noProof/>
                <w:webHidden/>
              </w:rPr>
              <w:t>2</w:t>
            </w:r>
            <w:r>
              <w:rPr>
                <w:noProof/>
                <w:webHidden/>
              </w:rPr>
              <w:fldChar w:fldCharType="end"/>
            </w:r>
          </w:hyperlink>
        </w:p>
        <w:p w:rsidR="00615F18" w:rsidRDefault="00615F18" w14:paraId="2E33F562" w14:textId="18E9ADD7">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8">
            <w:r w:rsidRPr="00C7164C">
              <w:rPr>
                <w:rStyle w:val="Hiperpovezava"/>
                <w:noProof/>
              </w:rPr>
              <w:t xml:space="preserve">Preface</w:t>
            </w:r>
            <w:r>
              <w:rPr>
                <w:noProof/>
                <w:webHidden/>
              </w:rPr>
              <w:tab/>
            </w:r>
            <w:r>
              <w:rPr>
                <w:noProof/>
                <w:webHidden/>
              </w:rPr>
              <w:fldChar w:fldCharType="begin"/>
            </w:r>
            <w:r>
              <w:rPr>
                <w:noProof/>
                <w:webHidden/>
              </w:rPr>
              <w:instrText xml:space="preserve"> PAGEREF _Toc233699478 \h </w:instrText>
            </w:r>
            <w:r>
              <w:rPr>
                <w:noProof/>
                <w:webHidden/>
              </w:rPr>
              <w:fldChar w:fldCharType="separate"/>
            </w:r>
            <w:r>
              <w:rPr>
                <w:noProof/>
                <w:webHidden/>
              </w:rPr>
              <w:t>5</w:t>
            </w:r>
            <w:r>
              <w:rPr>
                <w:noProof/>
                <w:webHidden/>
              </w:rPr>
              <w:fldChar w:fldCharType="end"/>
            </w:r>
          </w:hyperlink>
        </w:p>
        <w:p w:rsidR="00615F18" w:rsidRDefault="00615F18" w14:paraId="1A597F6E" w14:textId="509EAABA">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79">
            <w:r w:rsidRPr="00C7164C">
              <w:rPr>
                <w:rStyle w:val="Hiperpovezava"/>
                <w:noProof/>
              </w:rPr>
              <w:t xml:space="preserve">Chapter 1: Introduction</w:t>
            </w:r>
            <w:r>
              <w:rPr>
                <w:noProof/>
                <w:webHidden/>
              </w:rPr>
              <w:tab/>
            </w:r>
            <w:r>
              <w:rPr>
                <w:noProof/>
                <w:webHidden/>
              </w:rPr>
              <w:fldChar w:fldCharType="begin"/>
            </w:r>
            <w:r>
              <w:rPr>
                <w:noProof/>
                <w:webHidden/>
              </w:rPr>
              <w:instrText xml:space="preserve"> PAGEREF _Toc233699479 \h </w:instrText>
            </w:r>
            <w:r>
              <w:rPr>
                <w:noProof/>
                <w:webHidden/>
              </w:rPr>
              <w:fldChar w:fldCharType="separate"/>
            </w:r>
            <w:r>
              <w:rPr>
                <w:noProof/>
                <w:webHidden/>
              </w:rPr>
              <w:t>8</w:t>
            </w:r>
            <w:r>
              <w:rPr>
                <w:noProof/>
                <w:webHidden/>
              </w:rPr>
              <w:fldChar w:fldCharType="end"/>
            </w:r>
          </w:hyperlink>
        </w:p>
        <w:p w:rsidR="00615F18" w:rsidRDefault="00615F18" w14:paraId="767A55BB" w14:textId="49CC8451">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0">
            <w:r w:rsidRPr="00C7164C">
              <w:rPr>
                <w:rStyle w:val="Hiperpovezava"/>
                <w:noProof/>
              </w:rPr>
              <w:t xml:space="preserve">Chapter 2: Scope and Definitions</w:t>
            </w:r>
            <w:r>
              <w:rPr>
                <w:noProof/>
                <w:webHidden/>
              </w:rPr>
              <w:tab/>
            </w:r>
            <w:r>
              <w:rPr>
                <w:noProof/>
                <w:webHidden/>
              </w:rPr>
              <w:fldChar w:fldCharType="begin"/>
            </w:r>
            <w:r>
              <w:rPr>
                <w:noProof/>
                <w:webHidden/>
              </w:rPr>
              <w:instrText xml:space="preserve"> PAGEREF _Toc233699480 \h </w:instrText>
            </w:r>
            <w:r>
              <w:rPr>
                <w:noProof/>
                <w:webHidden/>
              </w:rPr>
              <w:fldChar w:fldCharType="separate"/>
            </w:r>
            <w:r>
              <w:rPr>
                <w:noProof/>
                <w:webHidden/>
              </w:rPr>
              <w:t>11</w:t>
            </w:r>
            <w:r>
              <w:rPr>
                <w:noProof/>
                <w:webHidden/>
              </w:rPr>
              <w:fldChar w:fldCharType="end"/>
            </w:r>
          </w:hyperlink>
        </w:p>
        <w:p w:rsidR="00615F18" w:rsidRDefault="00615F18" w14:paraId="4E37DEAB" w14:textId="150280E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1">
            <w:r w:rsidRPr="00C7164C">
              <w:rPr>
                <w:rStyle w:val="Hiperpovezava"/>
                <w:noProof/>
              </w:rPr>
              <w:t xml:space="preserve">2.1 Requirements of the Directive</w:t>
            </w:r>
            <w:r>
              <w:rPr>
                <w:noProof/>
                <w:webHidden/>
              </w:rPr>
              <w:tab/>
            </w:r>
            <w:r>
              <w:rPr>
                <w:noProof/>
                <w:webHidden/>
              </w:rPr>
              <w:fldChar w:fldCharType="begin"/>
            </w:r>
            <w:r>
              <w:rPr>
                <w:noProof/>
                <w:webHidden/>
              </w:rPr>
              <w:instrText xml:space="preserve"> PAGEREF _Toc233699481 \h </w:instrText>
            </w:r>
            <w:r>
              <w:rPr>
                <w:noProof/>
                <w:webHidden/>
              </w:rPr>
              <w:fldChar w:fldCharType="separate"/>
            </w:r>
            <w:r>
              <w:rPr>
                <w:noProof/>
                <w:webHidden/>
              </w:rPr>
              <w:t>11</w:t>
            </w:r>
            <w:r>
              <w:rPr>
                <w:noProof/>
                <w:webHidden/>
              </w:rPr>
              <w:fldChar w:fldCharType="end"/>
            </w:r>
          </w:hyperlink>
        </w:p>
        <w:p w:rsidR="00615F18" w:rsidRDefault="00615F18" w14:paraId="50662A26" w14:textId="4D0A28A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2">
            <w:r w:rsidRPr="00C7164C">
              <w:rPr>
                <w:rStyle w:val="Hiperpovezava"/>
                <w:noProof/>
              </w:rPr>
              <w:t xml:space="preserve">2.2 Findings from practice</w:t>
            </w:r>
            <w:r>
              <w:rPr>
                <w:noProof/>
                <w:webHidden/>
              </w:rPr>
              <w:tab/>
            </w:r>
            <w:r>
              <w:rPr>
                <w:noProof/>
                <w:webHidden/>
              </w:rPr>
              <w:fldChar w:fldCharType="begin"/>
            </w:r>
            <w:r>
              <w:rPr>
                <w:noProof/>
                <w:webHidden/>
              </w:rPr>
              <w:instrText xml:space="preserve"> PAGEREF _Toc233699482 \h </w:instrText>
            </w:r>
            <w:r>
              <w:rPr>
                <w:noProof/>
                <w:webHidden/>
              </w:rPr>
              <w:fldChar w:fldCharType="separate"/>
            </w:r>
            <w:r>
              <w:rPr>
                <w:noProof/>
                <w:webHidden/>
              </w:rPr>
              <w:t>12</w:t>
            </w:r>
            <w:r>
              <w:rPr>
                <w:noProof/>
                <w:webHidden/>
              </w:rPr>
              <w:fldChar w:fldCharType="end"/>
            </w:r>
          </w:hyperlink>
        </w:p>
        <w:p w:rsidR="00615F18" w:rsidRDefault="00615F18" w14:paraId="7A6BE073" w14:textId="56AA867A">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3">
            <w:r w:rsidRPr="00C7164C">
              <w:rPr>
                <w:rStyle w:val="Hiperpovezava"/>
                <w:noProof/>
              </w:rPr>
              <w:t xml:space="preserve">2.3 Recommendations</w:t>
            </w:r>
            <w:r>
              <w:rPr>
                <w:noProof/>
                <w:webHidden/>
              </w:rPr>
              <w:tab/>
            </w:r>
            <w:r>
              <w:rPr>
                <w:noProof/>
                <w:webHidden/>
              </w:rPr>
              <w:fldChar w:fldCharType="begin"/>
            </w:r>
            <w:r>
              <w:rPr>
                <w:noProof/>
                <w:webHidden/>
              </w:rPr>
              <w:instrText xml:space="preserve"> PAGEREF _Toc233699483 \h </w:instrText>
            </w:r>
            <w:r>
              <w:rPr>
                <w:noProof/>
                <w:webHidden/>
              </w:rPr>
              <w:fldChar w:fldCharType="separate"/>
            </w:r>
            <w:r>
              <w:rPr>
                <w:noProof/>
                <w:webHidden/>
              </w:rPr>
              <w:t>13</w:t>
            </w:r>
            <w:r>
              <w:rPr>
                <w:noProof/>
                <w:webHidden/>
              </w:rPr>
              <w:fldChar w:fldCharType="end"/>
            </w:r>
          </w:hyperlink>
        </w:p>
        <w:p w:rsidR="00615F18" w:rsidRDefault="00615F18" w14:paraId="178E8428" w14:textId="02FF9B60">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4">
            <w:r w:rsidRPr="00C7164C">
              <w:rPr>
                <w:rStyle w:val="Hiperpovezava"/>
                <w:noProof/>
              </w:rPr>
              <w:t xml:space="preserve">Chapter 3: Legal presumption of employment and determination of employment status</w:t>
            </w:r>
            <w:r>
              <w:rPr>
                <w:noProof/>
                <w:webHidden/>
              </w:rPr>
              <w:tab/>
            </w:r>
            <w:r>
              <w:rPr>
                <w:noProof/>
                <w:webHidden/>
              </w:rPr>
              <w:fldChar w:fldCharType="begin"/>
            </w:r>
            <w:r>
              <w:rPr>
                <w:noProof/>
                <w:webHidden/>
              </w:rPr>
              <w:instrText xml:space="preserve"> PAGEREF _Toc233699484 \h </w:instrText>
            </w:r>
            <w:r>
              <w:rPr>
                <w:noProof/>
                <w:webHidden/>
              </w:rPr>
              <w:fldChar w:fldCharType="separate"/>
            </w:r>
            <w:r>
              <w:rPr>
                <w:noProof/>
                <w:webHidden/>
              </w:rPr>
              <w:t>17</w:t>
            </w:r>
            <w:r>
              <w:rPr>
                <w:noProof/>
                <w:webHidden/>
              </w:rPr>
              <w:fldChar w:fldCharType="end"/>
            </w:r>
          </w:hyperlink>
        </w:p>
        <w:p w:rsidR="00615F18" w:rsidRDefault="00615F18" w14:paraId="5170A70E" w14:textId="2EF5F821">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5">
            <w:r w:rsidRPr="00C7164C">
              <w:rPr>
                <w:rStyle w:val="Hiperpovezava"/>
                <w:noProof/>
              </w:rPr>
              <w:t xml:space="preserve">3.1 Requirements of the Directive</w:t>
            </w:r>
            <w:r>
              <w:rPr>
                <w:noProof/>
                <w:webHidden/>
              </w:rPr>
              <w:tab/>
            </w:r>
            <w:r>
              <w:rPr>
                <w:noProof/>
                <w:webHidden/>
              </w:rPr>
              <w:fldChar w:fldCharType="begin"/>
            </w:r>
            <w:r>
              <w:rPr>
                <w:noProof/>
                <w:webHidden/>
              </w:rPr>
              <w:instrText xml:space="preserve"> PAGEREF _Toc233699485 \h </w:instrText>
            </w:r>
            <w:r>
              <w:rPr>
                <w:noProof/>
                <w:webHidden/>
              </w:rPr>
              <w:fldChar w:fldCharType="separate"/>
            </w:r>
            <w:r>
              <w:rPr>
                <w:noProof/>
                <w:webHidden/>
              </w:rPr>
              <w:t>17</w:t>
            </w:r>
            <w:r>
              <w:rPr>
                <w:noProof/>
                <w:webHidden/>
              </w:rPr>
              <w:fldChar w:fldCharType="end"/>
            </w:r>
          </w:hyperlink>
        </w:p>
        <w:p w:rsidR="00615F18" w:rsidRDefault="00615F18" w14:paraId="69C5AA96" w14:textId="11878A0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6">
            <w:r w:rsidRPr="00C7164C">
              <w:rPr>
                <w:rStyle w:val="Hiperpovezava"/>
                <w:noProof/>
              </w:rPr>
              <w:t xml:space="preserve">3.2 Findings from practice</w:t>
            </w:r>
            <w:r>
              <w:rPr>
                <w:noProof/>
                <w:webHidden/>
              </w:rPr>
              <w:tab/>
            </w:r>
            <w:r>
              <w:rPr>
                <w:noProof/>
                <w:webHidden/>
              </w:rPr>
              <w:fldChar w:fldCharType="begin"/>
            </w:r>
            <w:r>
              <w:rPr>
                <w:noProof/>
                <w:webHidden/>
              </w:rPr>
              <w:instrText xml:space="preserve"> PAGEREF _Toc233699486 \h </w:instrText>
            </w:r>
            <w:r>
              <w:rPr>
                <w:noProof/>
                <w:webHidden/>
              </w:rPr>
              <w:fldChar w:fldCharType="separate"/>
            </w:r>
            <w:r>
              <w:rPr>
                <w:noProof/>
                <w:webHidden/>
              </w:rPr>
              <w:t>18</w:t>
            </w:r>
            <w:r>
              <w:rPr>
                <w:noProof/>
                <w:webHidden/>
              </w:rPr>
              <w:fldChar w:fldCharType="end"/>
            </w:r>
          </w:hyperlink>
        </w:p>
        <w:p w:rsidR="00615F18" w:rsidRDefault="00615F18" w14:paraId="5F2E28E9" w14:textId="2FCEB256">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7">
            <w:r w:rsidRPr="00C7164C">
              <w:rPr>
                <w:rStyle w:val="Hiperpovezava"/>
                <w:noProof/>
              </w:rPr>
              <w:t xml:space="preserve">3.3 Recommendations</w:t>
            </w:r>
            <w:r>
              <w:rPr>
                <w:noProof/>
                <w:webHidden/>
              </w:rPr>
              <w:tab/>
            </w:r>
            <w:r>
              <w:rPr>
                <w:noProof/>
                <w:webHidden/>
              </w:rPr>
              <w:fldChar w:fldCharType="begin"/>
            </w:r>
            <w:r>
              <w:rPr>
                <w:noProof/>
                <w:webHidden/>
              </w:rPr>
              <w:instrText xml:space="preserve"> PAGEREF _Toc233699487 \h </w:instrText>
            </w:r>
            <w:r>
              <w:rPr>
                <w:noProof/>
                <w:webHidden/>
              </w:rPr>
              <w:fldChar w:fldCharType="separate"/>
            </w:r>
            <w:r>
              <w:rPr>
                <w:noProof/>
                <w:webHidden/>
              </w:rPr>
              <w:t>20</w:t>
            </w:r>
            <w:r>
              <w:rPr>
                <w:noProof/>
                <w:webHidden/>
              </w:rPr>
              <w:fldChar w:fldCharType="end"/>
            </w:r>
          </w:hyperlink>
        </w:p>
        <w:p w:rsidR="00615F18" w:rsidRDefault="00615F18" w14:paraId="08E46C7B" w14:textId="34A753C3">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88">
            <w:r w:rsidRPr="00C7164C">
              <w:rPr>
                <w:rStyle w:val="Hiperpovezava"/>
                <w:noProof/>
              </w:rPr>
              <w:t xml:space="preserve">Chapter 4: Algorithmic management and human oversight</w:t>
            </w:r>
            <w:r>
              <w:rPr>
                <w:noProof/>
                <w:webHidden/>
              </w:rPr>
              <w:tab/>
            </w:r>
            <w:r>
              <w:rPr>
                <w:noProof/>
                <w:webHidden/>
              </w:rPr>
              <w:fldChar w:fldCharType="begin"/>
            </w:r>
            <w:r>
              <w:rPr>
                <w:noProof/>
                <w:webHidden/>
              </w:rPr>
              <w:instrText xml:space="preserve"> PAGEREF _Toc233699488 \h </w:instrText>
            </w:r>
            <w:r>
              <w:rPr>
                <w:noProof/>
                <w:webHidden/>
              </w:rPr>
              <w:fldChar w:fldCharType="separate"/>
            </w:r>
            <w:r>
              <w:rPr>
                <w:noProof/>
                <w:webHidden/>
              </w:rPr>
              <w:t>23</w:t>
            </w:r>
            <w:r>
              <w:rPr>
                <w:noProof/>
                <w:webHidden/>
              </w:rPr>
              <w:fldChar w:fldCharType="end"/>
            </w:r>
          </w:hyperlink>
        </w:p>
        <w:p w:rsidR="00615F18" w:rsidRDefault="00615F18" w14:paraId="3E226B7F" w14:textId="01D45BA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89">
            <w:r w:rsidRPr="00C7164C">
              <w:rPr>
                <w:rStyle w:val="Hiperpovezava"/>
                <w:noProof/>
              </w:rPr>
              <w:t xml:space="preserve">4.1 Requirements of the Directive</w:t>
            </w:r>
            <w:r>
              <w:rPr>
                <w:noProof/>
                <w:webHidden/>
              </w:rPr>
              <w:tab/>
            </w:r>
            <w:r>
              <w:rPr>
                <w:noProof/>
                <w:webHidden/>
              </w:rPr>
              <w:fldChar w:fldCharType="begin"/>
            </w:r>
            <w:r>
              <w:rPr>
                <w:noProof/>
                <w:webHidden/>
              </w:rPr>
              <w:instrText xml:space="preserve"> PAGEREF _Toc233699489 \h </w:instrText>
            </w:r>
            <w:r>
              <w:rPr>
                <w:noProof/>
                <w:webHidden/>
              </w:rPr>
              <w:fldChar w:fldCharType="separate"/>
            </w:r>
            <w:r>
              <w:rPr>
                <w:noProof/>
                <w:webHidden/>
              </w:rPr>
              <w:t>23</w:t>
            </w:r>
            <w:r>
              <w:rPr>
                <w:noProof/>
                <w:webHidden/>
              </w:rPr>
              <w:fldChar w:fldCharType="end"/>
            </w:r>
          </w:hyperlink>
        </w:p>
        <w:p w:rsidR="00615F18" w:rsidRDefault="00615F18" w14:paraId="4982C58C" w14:textId="1C33871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0">
            <w:r w:rsidRPr="00C7164C">
              <w:rPr>
                <w:rStyle w:val="Hiperpovezava"/>
                <w:noProof/>
              </w:rPr>
              <w:t xml:space="preserve">4.2 Findings from practice</w:t>
            </w:r>
            <w:r>
              <w:rPr>
                <w:noProof/>
                <w:webHidden/>
              </w:rPr>
              <w:tab/>
            </w:r>
            <w:r>
              <w:rPr>
                <w:noProof/>
                <w:webHidden/>
              </w:rPr>
              <w:fldChar w:fldCharType="begin"/>
            </w:r>
            <w:r>
              <w:rPr>
                <w:noProof/>
                <w:webHidden/>
              </w:rPr>
              <w:instrText xml:space="preserve"> PAGEREF _Toc233699490 \h </w:instrText>
            </w:r>
            <w:r>
              <w:rPr>
                <w:noProof/>
                <w:webHidden/>
              </w:rPr>
              <w:fldChar w:fldCharType="separate"/>
            </w:r>
            <w:r>
              <w:rPr>
                <w:noProof/>
                <w:webHidden/>
              </w:rPr>
              <w:t>24</w:t>
            </w:r>
            <w:r>
              <w:rPr>
                <w:noProof/>
                <w:webHidden/>
              </w:rPr>
              <w:fldChar w:fldCharType="end"/>
            </w:r>
          </w:hyperlink>
        </w:p>
        <w:p w:rsidR="00615F18" w:rsidRDefault="00615F18" w14:paraId="38E1609B" w14:textId="334264CF">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1">
            <w:r w:rsidRPr="00C7164C">
              <w:rPr>
                <w:rStyle w:val="Hiperpovezava"/>
                <w:noProof/>
              </w:rPr>
              <w:t xml:space="preserve">4.3 Recommendations</w:t>
            </w:r>
            <w:r>
              <w:rPr>
                <w:noProof/>
                <w:webHidden/>
              </w:rPr>
              <w:tab/>
            </w:r>
            <w:r>
              <w:rPr>
                <w:noProof/>
                <w:webHidden/>
              </w:rPr>
              <w:fldChar w:fldCharType="begin"/>
            </w:r>
            <w:r>
              <w:rPr>
                <w:noProof/>
                <w:webHidden/>
              </w:rPr>
              <w:instrText xml:space="preserve"> PAGEREF _Toc233699491 \h </w:instrText>
            </w:r>
            <w:r>
              <w:rPr>
                <w:noProof/>
                <w:webHidden/>
              </w:rPr>
              <w:fldChar w:fldCharType="separate"/>
            </w:r>
            <w:r>
              <w:rPr>
                <w:noProof/>
                <w:webHidden/>
              </w:rPr>
              <w:t>26</w:t>
            </w:r>
            <w:r>
              <w:rPr>
                <w:noProof/>
                <w:webHidden/>
              </w:rPr>
              <w:fldChar w:fldCharType="end"/>
            </w:r>
          </w:hyperlink>
        </w:p>
        <w:p w:rsidR="00615F18" w:rsidRDefault="00615F18" w14:paraId="3943DE7E" w14:textId="58F37BFF">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92">
            <w:r w:rsidRPr="00C7164C">
              <w:rPr>
                <w:rStyle w:val="Hiperpovezava"/>
                <w:noProof/>
              </w:rPr>
              <w:t xml:space="preserve">Chapter 5: Data Protection and Privacy</w:t>
            </w:r>
            <w:r>
              <w:rPr>
                <w:noProof/>
                <w:webHidden/>
              </w:rPr>
              <w:tab/>
            </w:r>
            <w:r>
              <w:rPr>
                <w:noProof/>
                <w:webHidden/>
              </w:rPr>
              <w:fldChar w:fldCharType="begin"/>
            </w:r>
            <w:r>
              <w:rPr>
                <w:noProof/>
                <w:webHidden/>
              </w:rPr>
              <w:instrText xml:space="preserve"> PAGEREF _Toc233699492 \h </w:instrText>
            </w:r>
            <w:r>
              <w:rPr>
                <w:noProof/>
                <w:webHidden/>
              </w:rPr>
              <w:fldChar w:fldCharType="separate"/>
            </w:r>
            <w:r>
              <w:rPr>
                <w:noProof/>
                <w:webHidden/>
              </w:rPr>
              <w:t>29</w:t>
            </w:r>
            <w:r>
              <w:rPr>
                <w:noProof/>
                <w:webHidden/>
              </w:rPr>
              <w:fldChar w:fldCharType="end"/>
            </w:r>
          </w:hyperlink>
        </w:p>
        <w:p w:rsidR="00615F18" w:rsidRDefault="00615F18" w14:paraId="7BBB6CD9" w14:textId="72AF92D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3">
            <w:r w:rsidRPr="00C7164C">
              <w:rPr>
                <w:rStyle w:val="Hiperpovezava"/>
                <w:noProof/>
              </w:rPr>
              <w:t xml:space="preserve">5.1 Requirements of the Directive</w:t>
            </w:r>
            <w:r>
              <w:rPr>
                <w:noProof/>
                <w:webHidden/>
              </w:rPr>
              <w:tab/>
            </w:r>
            <w:r>
              <w:rPr>
                <w:noProof/>
                <w:webHidden/>
              </w:rPr>
              <w:fldChar w:fldCharType="begin"/>
            </w:r>
            <w:r>
              <w:rPr>
                <w:noProof/>
                <w:webHidden/>
              </w:rPr>
              <w:instrText xml:space="preserve"> PAGEREF _Toc233699493 \h </w:instrText>
            </w:r>
            <w:r>
              <w:rPr>
                <w:noProof/>
                <w:webHidden/>
              </w:rPr>
              <w:fldChar w:fldCharType="separate"/>
            </w:r>
            <w:r>
              <w:rPr>
                <w:noProof/>
                <w:webHidden/>
              </w:rPr>
              <w:t>29</w:t>
            </w:r>
            <w:r>
              <w:rPr>
                <w:noProof/>
                <w:webHidden/>
              </w:rPr>
              <w:fldChar w:fldCharType="end"/>
            </w:r>
          </w:hyperlink>
        </w:p>
        <w:p w:rsidR="00615F18" w:rsidRDefault="00615F18" w14:paraId="604BC24E" w14:textId="380C6B29">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4">
            <w:r w:rsidRPr="00C7164C">
              <w:rPr>
                <w:rStyle w:val="Hiperpovezava"/>
                <w:noProof/>
              </w:rPr>
              <w:t xml:space="preserve">5.2 Findings from practice</w:t>
            </w:r>
            <w:r>
              <w:rPr>
                <w:noProof/>
                <w:webHidden/>
              </w:rPr>
              <w:tab/>
            </w:r>
            <w:r>
              <w:rPr>
                <w:noProof/>
                <w:webHidden/>
              </w:rPr>
              <w:fldChar w:fldCharType="begin"/>
            </w:r>
            <w:r>
              <w:rPr>
                <w:noProof/>
                <w:webHidden/>
              </w:rPr>
              <w:instrText xml:space="preserve"> PAGEREF _Toc233699494 \h </w:instrText>
            </w:r>
            <w:r>
              <w:rPr>
                <w:noProof/>
                <w:webHidden/>
              </w:rPr>
              <w:fldChar w:fldCharType="separate"/>
            </w:r>
            <w:r>
              <w:rPr>
                <w:noProof/>
                <w:webHidden/>
              </w:rPr>
              <w:t>30</w:t>
            </w:r>
            <w:r>
              <w:rPr>
                <w:noProof/>
                <w:webHidden/>
              </w:rPr>
              <w:fldChar w:fldCharType="end"/>
            </w:r>
          </w:hyperlink>
        </w:p>
        <w:p w:rsidR="00615F18" w:rsidRDefault="00615F18" w14:paraId="556A25BE" w14:textId="43DE6E57">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5">
            <w:r w:rsidRPr="00C7164C">
              <w:rPr>
                <w:rStyle w:val="Hiperpovezava"/>
                <w:noProof/>
              </w:rPr>
              <w:t xml:space="preserve">5.3 Recommendations</w:t>
            </w:r>
            <w:r>
              <w:rPr>
                <w:noProof/>
                <w:webHidden/>
              </w:rPr>
              <w:tab/>
            </w:r>
            <w:r>
              <w:rPr>
                <w:noProof/>
                <w:webHidden/>
              </w:rPr>
              <w:fldChar w:fldCharType="begin"/>
            </w:r>
            <w:r>
              <w:rPr>
                <w:noProof/>
                <w:webHidden/>
              </w:rPr>
              <w:instrText xml:space="preserve"> PAGEREF _Toc233699495 \h </w:instrText>
            </w:r>
            <w:r>
              <w:rPr>
                <w:noProof/>
                <w:webHidden/>
              </w:rPr>
              <w:fldChar w:fldCharType="separate"/>
            </w:r>
            <w:r>
              <w:rPr>
                <w:noProof/>
                <w:webHidden/>
              </w:rPr>
              <w:t>31</w:t>
            </w:r>
            <w:r>
              <w:rPr>
                <w:noProof/>
                <w:webHidden/>
              </w:rPr>
              <w:fldChar w:fldCharType="end"/>
            </w:r>
          </w:hyperlink>
        </w:p>
        <w:p w:rsidR="00615F18" w:rsidRDefault="00615F18" w14:paraId="6436CA14" w14:textId="5EB594B6">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496">
            <w:r w:rsidRPr="00C7164C">
              <w:rPr>
                <w:rStyle w:val="Hiperpovezava"/>
                <w:noProof/>
              </w:rPr>
              <w:t xml:space="preserve">Chapter 6: Collective rights and social dialogue</w:t>
            </w:r>
            <w:r>
              <w:rPr>
                <w:noProof/>
                <w:webHidden/>
              </w:rPr>
              <w:tab/>
            </w:r>
            <w:r>
              <w:rPr>
                <w:noProof/>
                <w:webHidden/>
              </w:rPr>
              <w:fldChar w:fldCharType="begin"/>
            </w:r>
            <w:r>
              <w:rPr>
                <w:noProof/>
                <w:webHidden/>
              </w:rPr>
              <w:instrText xml:space="preserve"> PAGEREF _Toc233699496 \h </w:instrText>
            </w:r>
            <w:r>
              <w:rPr>
                <w:noProof/>
                <w:webHidden/>
              </w:rPr>
              <w:fldChar w:fldCharType="separate"/>
            </w:r>
            <w:r>
              <w:rPr>
                <w:noProof/>
                <w:webHidden/>
              </w:rPr>
              <w:t>34</w:t>
            </w:r>
            <w:r>
              <w:rPr>
                <w:noProof/>
                <w:webHidden/>
              </w:rPr>
              <w:fldChar w:fldCharType="end"/>
            </w:r>
          </w:hyperlink>
        </w:p>
        <w:p w:rsidR="00615F18" w:rsidRDefault="00615F18" w14:paraId="24F35C3A" w14:textId="492D6662">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7">
            <w:r w:rsidRPr="00C7164C">
              <w:rPr>
                <w:rStyle w:val="Hiperpovezava"/>
                <w:noProof/>
              </w:rPr>
              <w:t xml:space="preserve">6.1 Requirements of the Directive</w:t>
            </w:r>
            <w:r>
              <w:rPr>
                <w:noProof/>
                <w:webHidden/>
              </w:rPr>
              <w:tab/>
            </w:r>
            <w:r>
              <w:rPr>
                <w:noProof/>
                <w:webHidden/>
              </w:rPr>
              <w:fldChar w:fldCharType="begin"/>
            </w:r>
            <w:r>
              <w:rPr>
                <w:noProof/>
                <w:webHidden/>
              </w:rPr>
              <w:instrText xml:space="preserve"> PAGEREF _Toc233699497 \h </w:instrText>
            </w:r>
            <w:r>
              <w:rPr>
                <w:noProof/>
                <w:webHidden/>
              </w:rPr>
              <w:fldChar w:fldCharType="separate"/>
            </w:r>
            <w:r>
              <w:rPr>
                <w:noProof/>
                <w:webHidden/>
              </w:rPr>
              <w:t>34</w:t>
            </w:r>
            <w:r>
              <w:rPr>
                <w:noProof/>
                <w:webHidden/>
              </w:rPr>
              <w:fldChar w:fldCharType="end"/>
            </w:r>
          </w:hyperlink>
        </w:p>
        <w:p w:rsidR="00615F18" w:rsidRDefault="00615F18" w14:paraId="2725D352" w14:textId="1FB7C115">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8">
            <w:r w:rsidRPr="00C7164C">
              <w:rPr>
                <w:rStyle w:val="Hiperpovezava"/>
                <w:noProof/>
              </w:rPr>
              <w:t xml:space="preserve">6.2 Findings from practice</w:t>
            </w:r>
            <w:r>
              <w:rPr>
                <w:noProof/>
                <w:webHidden/>
              </w:rPr>
              <w:tab/>
            </w:r>
            <w:r>
              <w:rPr>
                <w:noProof/>
                <w:webHidden/>
              </w:rPr>
              <w:fldChar w:fldCharType="begin"/>
            </w:r>
            <w:r>
              <w:rPr>
                <w:noProof/>
                <w:webHidden/>
              </w:rPr>
              <w:instrText xml:space="preserve"> PAGEREF _Toc233699498 \h </w:instrText>
            </w:r>
            <w:r>
              <w:rPr>
                <w:noProof/>
                <w:webHidden/>
              </w:rPr>
              <w:fldChar w:fldCharType="separate"/>
            </w:r>
            <w:r>
              <w:rPr>
                <w:noProof/>
                <w:webHidden/>
              </w:rPr>
              <w:t>35</w:t>
            </w:r>
            <w:r>
              <w:rPr>
                <w:noProof/>
                <w:webHidden/>
              </w:rPr>
              <w:fldChar w:fldCharType="end"/>
            </w:r>
          </w:hyperlink>
        </w:p>
        <w:p w:rsidR="00615F18" w:rsidRDefault="00615F18" w14:paraId="7128B7BE" w14:textId="5EBD029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499">
            <w:r w:rsidRPr="00C7164C">
              <w:rPr>
                <w:rStyle w:val="Hiperpovezava"/>
                <w:noProof/>
              </w:rPr>
              <w:t xml:space="preserve">6.3 Recommendations</w:t>
            </w:r>
            <w:r>
              <w:rPr>
                <w:noProof/>
                <w:webHidden/>
              </w:rPr>
              <w:tab/>
            </w:r>
            <w:r>
              <w:rPr>
                <w:noProof/>
                <w:webHidden/>
              </w:rPr>
              <w:fldChar w:fldCharType="begin"/>
            </w:r>
            <w:r>
              <w:rPr>
                <w:noProof/>
                <w:webHidden/>
              </w:rPr>
              <w:instrText xml:space="preserve"> PAGEREF _Toc233699499 \h </w:instrText>
            </w:r>
            <w:r>
              <w:rPr>
                <w:noProof/>
                <w:webHidden/>
              </w:rPr>
              <w:fldChar w:fldCharType="separate"/>
            </w:r>
            <w:r>
              <w:rPr>
                <w:noProof/>
                <w:webHidden/>
              </w:rPr>
              <w:t>37</w:t>
            </w:r>
            <w:r>
              <w:rPr>
                <w:noProof/>
                <w:webHidden/>
              </w:rPr>
              <w:fldChar w:fldCharType="end"/>
            </w:r>
          </w:hyperlink>
        </w:p>
        <w:p w:rsidR="00615F18" w:rsidRDefault="00615F18" w14:paraId="421DF4C0" w14:textId="132FFB59">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0">
            <w:r w:rsidRPr="00C7164C">
              <w:rPr>
                <w:rStyle w:val="Hiperpovezava"/>
                <w:noProof/>
              </w:rPr>
              <w:t xml:space="preserve">Chapter 7: Enforcement and legal remedies</w:t>
            </w:r>
            <w:r>
              <w:rPr>
                <w:noProof/>
                <w:webHidden/>
              </w:rPr>
              <w:tab/>
            </w:r>
            <w:r>
              <w:rPr>
                <w:noProof/>
                <w:webHidden/>
              </w:rPr>
              <w:fldChar w:fldCharType="begin"/>
            </w:r>
            <w:r>
              <w:rPr>
                <w:noProof/>
                <w:webHidden/>
              </w:rPr>
              <w:instrText xml:space="preserve"> PAGEREF _Toc233699500 \h </w:instrText>
            </w:r>
            <w:r>
              <w:rPr>
                <w:noProof/>
                <w:webHidden/>
              </w:rPr>
              <w:fldChar w:fldCharType="separate"/>
            </w:r>
            <w:r>
              <w:rPr>
                <w:noProof/>
                <w:webHidden/>
              </w:rPr>
              <w:t>40</w:t>
            </w:r>
            <w:r>
              <w:rPr>
                <w:noProof/>
                <w:webHidden/>
              </w:rPr>
              <w:fldChar w:fldCharType="end"/>
            </w:r>
          </w:hyperlink>
        </w:p>
        <w:p w:rsidR="00615F18" w:rsidRDefault="00615F18" w14:paraId="124345FD" w14:textId="14569ED6">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1">
            <w:r w:rsidRPr="00C7164C">
              <w:rPr>
                <w:rStyle w:val="Hiperpovezava"/>
                <w:noProof/>
              </w:rPr>
              <w:t xml:space="preserve">7.1 Requirements of the Directive</w:t>
            </w:r>
            <w:r>
              <w:rPr>
                <w:noProof/>
                <w:webHidden/>
              </w:rPr>
              <w:tab/>
            </w:r>
            <w:r>
              <w:rPr>
                <w:noProof/>
                <w:webHidden/>
              </w:rPr>
              <w:fldChar w:fldCharType="begin"/>
            </w:r>
            <w:r>
              <w:rPr>
                <w:noProof/>
                <w:webHidden/>
              </w:rPr>
              <w:instrText xml:space="preserve"> PAGEREF _Toc233699501 \h </w:instrText>
            </w:r>
            <w:r>
              <w:rPr>
                <w:noProof/>
                <w:webHidden/>
              </w:rPr>
              <w:fldChar w:fldCharType="separate"/>
            </w:r>
            <w:r>
              <w:rPr>
                <w:noProof/>
                <w:webHidden/>
              </w:rPr>
              <w:t>40</w:t>
            </w:r>
            <w:r>
              <w:rPr>
                <w:noProof/>
                <w:webHidden/>
              </w:rPr>
              <w:fldChar w:fldCharType="end"/>
            </w:r>
          </w:hyperlink>
        </w:p>
        <w:p w:rsidR="00615F18" w:rsidRDefault="00615F18" w14:paraId="39E0C564" w14:textId="7015E8C9">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2">
            <w:r w:rsidRPr="00C7164C">
              <w:rPr>
                <w:rStyle w:val="Hiperpovezava"/>
                <w:noProof/>
              </w:rPr>
              <w:t xml:space="preserve">7.2 Findings from practice</w:t>
            </w:r>
            <w:r>
              <w:rPr>
                <w:noProof/>
                <w:webHidden/>
              </w:rPr>
              <w:tab/>
            </w:r>
            <w:r>
              <w:rPr>
                <w:noProof/>
                <w:webHidden/>
              </w:rPr>
              <w:fldChar w:fldCharType="begin"/>
            </w:r>
            <w:r>
              <w:rPr>
                <w:noProof/>
                <w:webHidden/>
              </w:rPr>
              <w:instrText xml:space="preserve"> PAGEREF _Toc233699502 \h </w:instrText>
            </w:r>
            <w:r>
              <w:rPr>
                <w:noProof/>
                <w:webHidden/>
              </w:rPr>
              <w:fldChar w:fldCharType="separate"/>
            </w:r>
            <w:r>
              <w:rPr>
                <w:noProof/>
                <w:webHidden/>
              </w:rPr>
              <w:t>41</w:t>
            </w:r>
            <w:r>
              <w:rPr>
                <w:noProof/>
                <w:webHidden/>
              </w:rPr>
              <w:fldChar w:fldCharType="end"/>
            </w:r>
          </w:hyperlink>
        </w:p>
        <w:p w:rsidR="00615F18" w:rsidRDefault="00615F18" w14:paraId="7F0155EE" w14:textId="2184F91E">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3">
            <w:r w:rsidRPr="00C7164C">
              <w:rPr>
                <w:rStyle w:val="Hiperpovezava"/>
                <w:noProof/>
              </w:rPr>
              <w:t xml:space="preserve">7.3 Recommendations</w:t>
            </w:r>
            <w:r>
              <w:rPr>
                <w:noProof/>
                <w:webHidden/>
              </w:rPr>
              <w:tab/>
            </w:r>
            <w:r>
              <w:rPr>
                <w:noProof/>
                <w:webHidden/>
              </w:rPr>
              <w:fldChar w:fldCharType="begin"/>
            </w:r>
            <w:r>
              <w:rPr>
                <w:noProof/>
                <w:webHidden/>
              </w:rPr>
              <w:instrText xml:space="preserve"> PAGEREF _Toc233699503 \h </w:instrText>
            </w:r>
            <w:r>
              <w:rPr>
                <w:noProof/>
                <w:webHidden/>
              </w:rPr>
              <w:fldChar w:fldCharType="separate"/>
            </w:r>
            <w:r>
              <w:rPr>
                <w:noProof/>
                <w:webHidden/>
              </w:rPr>
              <w:t>42</w:t>
            </w:r>
            <w:r>
              <w:rPr>
                <w:noProof/>
                <w:webHidden/>
              </w:rPr>
              <w:fldChar w:fldCharType="end"/>
            </w:r>
          </w:hyperlink>
        </w:p>
        <w:p w:rsidR="00615F18" w:rsidRDefault="00615F18" w14:paraId="714A8C09" w14:textId="446CE3BE">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4">
            <w:r w:rsidRPr="00C7164C">
              <w:rPr>
                <w:rStyle w:val="Hiperpovezava"/>
                <w:noProof/>
              </w:rPr>
              <w:t xml:space="preserve">Chapter 8: Broader application of the Directive beyond platform work</w:t>
            </w:r>
            <w:r>
              <w:rPr>
                <w:noProof/>
                <w:webHidden/>
              </w:rPr>
              <w:tab/>
            </w:r>
            <w:r>
              <w:rPr>
                <w:noProof/>
                <w:webHidden/>
              </w:rPr>
              <w:fldChar w:fldCharType="begin"/>
            </w:r>
            <w:r>
              <w:rPr>
                <w:noProof/>
                <w:webHidden/>
              </w:rPr>
              <w:instrText xml:space="preserve"> PAGEREF _Toc233699504 \h </w:instrText>
            </w:r>
            <w:r>
              <w:rPr>
                <w:noProof/>
                <w:webHidden/>
              </w:rPr>
              <w:fldChar w:fldCharType="separate"/>
            </w:r>
            <w:r>
              <w:rPr>
                <w:noProof/>
                <w:webHidden/>
              </w:rPr>
              <w:t>46</w:t>
            </w:r>
            <w:r>
              <w:rPr>
                <w:noProof/>
                <w:webHidden/>
              </w:rPr>
              <w:fldChar w:fldCharType="end"/>
            </w:r>
          </w:hyperlink>
        </w:p>
        <w:p w:rsidR="00615F18" w:rsidRDefault="00615F18" w14:paraId="53EB29C8" w14:textId="14D3DC13">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5">
            <w:r w:rsidRPr="00C7164C">
              <w:rPr>
                <w:rStyle w:val="Hiperpovezava"/>
                <w:noProof/>
              </w:rPr>
              <w:t xml:space="preserve">8.1 What the Directive permits beyond platform work</w:t>
            </w:r>
            <w:r>
              <w:rPr>
                <w:noProof/>
                <w:webHidden/>
              </w:rPr>
              <w:tab/>
            </w:r>
            <w:r>
              <w:rPr>
                <w:noProof/>
                <w:webHidden/>
              </w:rPr>
              <w:fldChar w:fldCharType="begin"/>
            </w:r>
            <w:r>
              <w:rPr>
                <w:noProof/>
                <w:webHidden/>
              </w:rPr>
              <w:instrText xml:space="preserve"> PAGEREF _Toc233699505 \h </w:instrText>
            </w:r>
            <w:r>
              <w:rPr>
                <w:noProof/>
                <w:webHidden/>
              </w:rPr>
              <w:fldChar w:fldCharType="separate"/>
            </w:r>
            <w:r>
              <w:rPr>
                <w:noProof/>
                <w:webHidden/>
              </w:rPr>
              <w:t>46</w:t>
            </w:r>
            <w:r>
              <w:rPr>
                <w:noProof/>
                <w:webHidden/>
              </w:rPr>
              <w:fldChar w:fldCharType="end"/>
            </w:r>
          </w:hyperlink>
        </w:p>
        <w:p w:rsidR="00615F18" w:rsidRDefault="00615F18" w14:paraId="7FAEC8E0" w14:textId="25B499C4">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6">
            <w:r w:rsidRPr="00C7164C">
              <w:rPr>
                <w:rStyle w:val="Hiperpovezava"/>
                <w:noProof/>
              </w:rPr>
              <w:t xml:space="preserve">8.2 Findings from practice</w:t>
            </w:r>
            <w:r>
              <w:rPr>
                <w:noProof/>
                <w:webHidden/>
              </w:rPr>
              <w:tab/>
            </w:r>
            <w:r>
              <w:rPr>
                <w:noProof/>
                <w:webHidden/>
              </w:rPr>
              <w:fldChar w:fldCharType="begin"/>
            </w:r>
            <w:r>
              <w:rPr>
                <w:noProof/>
                <w:webHidden/>
              </w:rPr>
              <w:instrText xml:space="preserve"> PAGEREF _Toc233699506 \h </w:instrText>
            </w:r>
            <w:r>
              <w:rPr>
                <w:noProof/>
                <w:webHidden/>
              </w:rPr>
              <w:fldChar w:fldCharType="separate"/>
            </w:r>
            <w:r>
              <w:rPr>
                <w:noProof/>
                <w:webHidden/>
              </w:rPr>
              <w:t>46</w:t>
            </w:r>
            <w:r>
              <w:rPr>
                <w:noProof/>
                <w:webHidden/>
              </w:rPr>
              <w:fldChar w:fldCharType="end"/>
            </w:r>
          </w:hyperlink>
        </w:p>
        <w:p w:rsidR="00615F18" w:rsidRDefault="00615F18" w14:paraId="6F5D36CD" w14:textId="52C7C2BF">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7">
            <w:r w:rsidRPr="00C7164C">
              <w:rPr>
                <w:rStyle w:val="Hiperpovezava"/>
                <w:noProof/>
              </w:rPr>
              <w:t xml:space="preserve">8.3 Recommendations</w:t>
            </w:r>
            <w:r>
              <w:rPr>
                <w:noProof/>
                <w:webHidden/>
              </w:rPr>
              <w:tab/>
            </w:r>
            <w:r>
              <w:rPr>
                <w:noProof/>
                <w:webHidden/>
              </w:rPr>
              <w:fldChar w:fldCharType="begin"/>
            </w:r>
            <w:r>
              <w:rPr>
                <w:noProof/>
                <w:webHidden/>
              </w:rPr>
              <w:instrText xml:space="preserve"> PAGEREF _Toc233699507 \h </w:instrText>
            </w:r>
            <w:r>
              <w:rPr>
                <w:noProof/>
                <w:webHidden/>
              </w:rPr>
              <w:fldChar w:fldCharType="separate"/>
            </w:r>
            <w:r>
              <w:rPr>
                <w:noProof/>
                <w:webHidden/>
              </w:rPr>
              <w:t>48</w:t>
            </w:r>
            <w:r>
              <w:rPr>
                <w:noProof/>
                <w:webHidden/>
              </w:rPr>
              <w:fldChar w:fldCharType="end"/>
            </w:r>
          </w:hyperlink>
        </w:p>
        <w:p w:rsidR="00615F18" w:rsidRDefault="00615F18" w14:paraId="660C595F" w14:textId="5B0AC8C3">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08">
            <w:r w:rsidRPr="00C7164C">
              <w:rPr>
                <w:rStyle w:val="Hiperpovezava"/>
                <w:noProof/>
              </w:rPr>
              <w:t xml:space="preserve">Chapter 9: Implementation challenges and avoidance strategies</w:t>
            </w:r>
            <w:r>
              <w:rPr>
                <w:noProof/>
                <w:webHidden/>
              </w:rPr>
              <w:tab/>
            </w:r>
            <w:r>
              <w:rPr>
                <w:noProof/>
                <w:webHidden/>
              </w:rPr>
              <w:fldChar w:fldCharType="begin"/>
            </w:r>
            <w:r>
              <w:rPr>
                <w:noProof/>
                <w:webHidden/>
              </w:rPr>
              <w:instrText xml:space="preserve"> PAGEREF _Toc233699508 \h </w:instrText>
            </w:r>
            <w:r>
              <w:rPr>
                <w:noProof/>
                <w:webHidden/>
              </w:rPr>
              <w:fldChar w:fldCharType="separate"/>
            </w:r>
            <w:r>
              <w:rPr>
                <w:noProof/>
                <w:webHidden/>
              </w:rPr>
              <w:t>50</w:t>
            </w:r>
            <w:r>
              <w:rPr>
                <w:noProof/>
                <w:webHidden/>
              </w:rPr>
              <w:fldChar w:fldCharType="end"/>
            </w:r>
          </w:hyperlink>
        </w:p>
        <w:p w:rsidR="00615F18" w:rsidRDefault="00615F18" w14:paraId="02CD77F1" w14:textId="64A72F70">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09">
            <w:r w:rsidRPr="00C7164C">
              <w:rPr>
                <w:rStyle w:val="Hiperpovezava"/>
                <w:noProof/>
              </w:rPr>
              <w:t xml:space="preserve">9.1 Structural challenges of implementation</w:t>
            </w:r>
            <w:r>
              <w:rPr>
                <w:noProof/>
                <w:webHidden/>
              </w:rPr>
              <w:tab/>
            </w:r>
            <w:r>
              <w:rPr>
                <w:noProof/>
                <w:webHidden/>
              </w:rPr>
              <w:fldChar w:fldCharType="begin"/>
            </w:r>
            <w:r>
              <w:rPr>
                <w:noProof/>
                <w:webHidden/>
              </w:rPr>
              <w:instrText xml:space="preserve"> PAGEREF _Toc233699509 \h </w:instrText>
            </w:r>
            <w:r>
              <w:rPr>
                <w:noProof/>
                <w:webHidden/>
              </w:rPr>
              <w:fldChar w:fldCharType="separate"/>
            </w:r>
            <w:r>
              <w:rPr>
                <w:noProof/>
                <w:webHidden/>
              </w:rPr>
              <w:t>50</w:t>
            </w:r>
            <w:r>
              <w:rPr>
                <w:noProof/>
                <w:webHidden/>
              </w:rPr>
              <w:fldChar w:fldCharType="end"/>
            </w:r>
          </w:hyperlink>
        </w:p>
        <w:p w:rsidR="00615F18" w:rsidRDefault="00615F18" w14:paraId="1F7F17A5" w14:textId="62325ED7">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10">
            <w:r w:rsidRPr="00C7164C">
              <w:rPr>
                <w:rStyle w:val="Hiperpovezava"/>
                <w:noProof/>
              </w:rPr>
              <w:t xml:space="preserve">9.2 Strategies for circumventing platforms</w:t>
            </w:r>
            <w:r>
              <w:rPr>
                <w:noProof/>
                <w:webHidden/>
              </w:rPr>
              <w:tab/>
            </w:r>
            <w:r>
              <w:rPr>
                <w:noProof/>
                <w:webHidden/>
              </w:rPr>
              <w:fldChar w:fldCharType="begin"/>
            </w:r>
            <w:r>
              <w:rPr>
                <w:noProof/>
                <w:webHidden/>
              </w:rPr>
              <w:instrText xml:space="preserve"> PAGEREF _Toc233699510 \h </w:instrText>
            </w:r>
            <w:r>
              <w:rPr>
                <w:noProof/>
                <w:webHidden/>
              </w:rPr>
              <w:fldChar w:fldCharType="separate"/>
            </w:r>
            <w:r>
              <w:rPr>
                <w:noProof/>
                <w:webHidden/>
              </w:rPr>
              <w:t>50</w:t>
            </w:r>
            <w:r>
              <w:rPr>
                <w:noProof/>
                <w:webHidden/>
              </w:rPr>
              <w:fldChar w:fldCharType="end"/>
            </w:r>
          </w:hyperlink>
        </w:p>
        <w:p w:rsidR="00615F18" w:rsidRDefault="00615F18" w14:paraId="69BAC62B" w14:textId="19B1266E">
          <w:pPr>
            <w:pStyle w:val="Kazalovsebine2"/>
            <w:tabs>
              <w:tab w:val="right" w:leader="dot" w:pos="9016"/>
            </w:tabs>
            <w:rPr>
              <w:rFonts w:asciiTheme="minorHAnsi" w:hAnsiTheme="minorHAnsi" w:eastAsiaTheme="minorEastAsia" w:cstheme="minorBidi"/>
              <w:noProof/>
              <w:kern w:val="2"/>
              <w14:ligatures w14:val="standardContextual"/>
            </w:rPr>
          </w:pPr>
          <w:hyperlink w:history="1" w:anchor="_Toc233699511">
            <w:r w:rsidRPr="00C7164C">
              <w:rPr>
                <w:rStyle w:val="Hiperpovezava"/>
                <w:noProof/>
              </w:rPr>
              <w:t xml:space="preserve">9.3 Recommendations</w:t>
            </w:r>
            <w:r>
              <w:rPr>
                <w:noProof/>
                <w:webHidden/>
              </w:rPr>
              <w:tab/>
            </w:r>
            <w:r>
              <w:rPr>
                <w:noProof/>
                <w:webHidden/>
              </w:rPr>
              <w:fldChar w:fldCharType="begin"/>
            </w:r>
            <w:r>
              <w:rPr>
                <w:noProof/>
                <w:webHidden/>
              </w:rPr>
              <w:instrText xml:space="preserve"> PAGEREF _Toc233699511 \h </w:instrText>
            </w:r>
            <w:r>
              <w:rPr>
                <w:noProof/>
                <w:webHidden/>
              </w:rPr>
              <w:fldChar w:fldCharType="separate"/>
            </w:r>
            <w:r>
              <w:rPr>
                <w:noProof/>
                <w:webHidden/>
              </w:rPr>
              <w:t>53</w:t>
            </w:r>
            <w:r>
              <w:rPr>
                <w:noProof/>
                <w:webHidden/>
              </w:rPr>
              <w:fldChar w:fldCharType="end"/>
            </w:r>
          </w:hyperlink>
        </w:p>
        <w:p w:rsidR="00615F18" w:rsidRDefault="00615F18" w14:paraId="3D515D6D" w14:textId="18A8856E">
          <w:pPr>
            <w:pStyle w:val="Kazalovsebine1"/>
            <w:tabs>
              <w:tab w:val="right" w:leader="dot" w:pos="9016"/>
            </w:tabs>
            <w:rPr>
              <w:rFonts w:asciiTheme="minorHAnsi" w:hAnsiTheme="minorHAnsi" w:eastAsiaTheme="minorEastAsia" w:cstheme="minorBidi"/>
              <w:noProof/>
              <w:kern w:val="2"/>
              <w14:ligatures w14:val="standardContextual"/>
            </w:rPr>
          </w:pPr>
          <w:hyperlink w:history="1" w:anchor="_Toc233699512">
            <w:r w:rsidRPr="00C7164C">
              <w:rPr>
                <w:rStyle w:val="Hiperpovezava"/>
                <w:noProof/>
              </w:rPr>
              <w:t xml:space="preserve">Chapter 10: Conclusion</w:t>
            </w:r>
            <w:r>
              <w:rPr>
                <w:noProof/>
                <w:webHidden/>
              </w:rPr>
              <w:tab/>
            </w:r>
            <w:r>
              <w:rPr>
                <w:noProof/>
                <w:webHidden/>
              </w:rPr>
              <w:fldChar w:fldCharType="begin"/>
            </w:r>
            <w:r>
              <w:rPr>
                <w:noProof/>
                <w:webHidden/>
              </w:rPr>
              <w:instrText xml:space="preserve"> PAGEREF _Toc233699512 \h </w:instrText>
            </w:r>
            <w:r>
              <w:rPr>
                <w:noProof/>
                <w:webHidden/>
              </w:rPr>
              <w:fldChar w:fldCharType="separate"/>
            </w:r>
            <w:r>
              <w:rPr>
                <w:noProof/>
                <w:webHidden/>
              </w:rPr>
              <w:t>55</w:t>
            </w:r>
            <w:r>
              <w:rPr>
                <w:noProof/>
                <w:webHidden/>
              </w:rPr>
              <w:fldChar w:fldCharType="end"/>
            </w:r>
          </w:hyperlink>
        </w:p>
        <w:p w:rsidR="00983F19" w:rsidP="00750824" w:rsidRDefault="00000000" w14:paraId="50005A1E" w14:textId="7579F776">
          <w:pPr>
            <w:jc w:val="both"/>
          </w:pPr>
          <w:r>
            <w:fldChar w:fldCharType="end"/>
          </w:r>
        </w:p>
      </w:sdtContent>
    </w:sdt>
    <w:p w:rsidR="00983F19" w:rsidP="00750824" w:rsidRDefault="00983F19" w14:paraId="388E2317" w14:textId="77777777">
      <w:pPr>
        <w:jc w:val="both"/>
      </w:pPr>
      <w:bookmarkStart w:name="predgovor" w:id="3"/>
    </w:p>
    <w:p w:rsidR="00D90A18" w:rsidP="00750824" w:rsidRDefault="00D90A18" w14:paraId="3FE4FC4D" w14:textId="77777777">
      <w:pPr>
        <w:pStyle w:val="Naslov1"/>
        <w:jc w:val="both"/>
      </w:pPr>
      <w:bookmarkStart w:name="poglavje-2-izvršni-povzetek" w:id="4"/>
      <w:bookmarkEnd w:id="3"/>
    </w:p>
    <w:p w:rsidR="00750824" w:rsidRDefault="00750824" w14:paraId="03C58A13" w14:textId="77777777">
      <w:pPr>
        <w:rPr>
          <w:b/>
          <w:bCs/>
          <w:color w:val="1F3864"/>
          <w:sz w:val="36"/>
          <w:szCs w:val="36"/>
        </w:rPr>
      </w:pPr>
      <w:r>
        <w:br w:type="page"/>
      </w:r>
    </w:p>
    <w:p w:rsidR="00983F19" w:rsidP="00750824" w:rsidRDefault="00000000" w14:paraId="4EAFF2BC" w14:textId="72716891">
      <w:pPr>
        <w:pStyle w:val="Naslov1"/>
        <w:jc w:val="both"/>
      </w:pPr>
      <w:bookmarkStart w:name="_Toc233699479" w:id="5"/>
      <w:r>
        <w:lastRenderedPageBreak/>
      </w:r>
      <w:r>
        <w:t xml:space="preserve">Chapter 1: Introduction</w:t>
      </w:r>
      <w:bookmarkEnd w:id="5"/>
    </w:p>
    <w:p w:rsidR="00983F19" w:rsidP="00750824" w:rsidRDefault="00000000" w14:paraId="4EFFEB31" w14:textId="677BFD55">
      <w:pPr>
        <w:jc w:val="both"/>
      </w:pPr>
      <w:r>
        <w:t xml:space="preserve">Directive (EU) 2024/2831 on improving working conditions in </w:t>
      </w:r>
      <w:r>
        <w:t xml:space="preserve">platform </w:t>
      </w:r>
      <w:r>
        <w:t xml:space="preserve">work was adopted on 23 October 2024, and Member States must transpose it into national law by 2 December 2026. It is the European Union’s first legislative response to a business model that has created a new form </w:t>
      </w:r>
      <w:r>
        <w:t xml:space="preserve">of </w:t>
      </w:r>
      <w:r>
        <w:t xml:space="preserve">precarious </w:t>
      </w:r>
      <w:r>
        <w:t xml:space="preserve">work </w:t>
      </w:r>
      <w:r>
        <w:t xml:space="preserve">over the past fifteen years</w:t>
      </w:r>
      <w:r>
        <w:t xml:space="preserve">.</w:t>
      </w:r>
      <w:r w:rsidR="00DC6DE9">
        <w:t xml:space="preserve"> For more than 28 million people in the EU</w:t>
      </w:r>
      <w:r>
        <w:t xml:space="preserve">, </w:t>
      </w:r>
      <w:r w:rsidR="00DC6DE9">
        <w:t xml:space="preserve">work is organised </w:t>
      </w:r>
      <w:r>
        <w:t xml:space="preserve">through </w:t>
      </w:r>
      <w:r>
        <w:t xml:space="preserve">‘algorithmic</w:t>
      </w:r>
      <w:r>
        <w:t xml:space="preserve"> </w:t>
      </w:r>
      <w:r>
        <w:t xml:space="preserve">management </w:t>
      </w:r>
      <w:r w:rsidR="008920C5">
        <w:t xml:space="preserve">(</w:t>
      </w:r>
      <w:r>
        <w:t xml:space="preserve">AM</w:t>
      </w:r>
      <w:r>
        <w:t xml:space="preserve">)’ via digital platforms, but without basic safeguards: no minimum wage, no social security contributions, and no right to an explanation </w:t>
      </w:r>
      <w:r w:rsidR="00DC6DE9">
        <w:t xml:space="preserve">of the decisions made by algorithmic models</w:t>
      </w:r>
      <w:r>
        <w:t xml:space="preserve">. </w:t>
      </w:r>
      <w:r>
        <w:t xml:space="preserve">Over a two-year period, </w:t>
      </w:r>
      <w:r>
        <w:t xml:space="preserve">the SDDP project (</w:t>
      </w:r>
      <w:r>
        <w:t xml:space="preserve">Establishing </w:t>
      </w:r>
      <w:r>
        <w:t xml:space="preserve">and </w:t>
      </w:r>
      <w:r>
        <w:t xml:space="preserve">Strengthening </w:t>
      </w:r>
      <w:r>
        <w:t xml:space="preserve">Social </w:t>
      </w:r>
      <w:r>
        <w:t xml:space="preserve">Dialogue </w:t>
      </w:r>
      <w:r>
        <w:t xml:space="preserve">in </w:t>
      </w:r>
      <w:r>
        <w:t xml:space="preserve">Digital </w:t>
      </w:r>
      <w:r>
        <w:t xml:space="preserve">Platforms</w:t>
      </w:r>
      <w:r>
        <w:t xml:space="preserve">), carried out in five partner countries (Austria, Italy, Belgium, Slovenia and Poland) and in collaboration with the ETUC</w:t>
      </w:r>
      <w:r>
        <w:t xml:space="preserve">,</w:t>
      </w:r>
      <w:r>
        <w:t xml:space="preserve"> investigated how </w:t>
      </w:r>
      <w:r>
        <w:t xml:space="preserve">to transpose </w:t>
      </w:r>
      <w:r>
        <w:t xml:space="preserve">the directive </w:t>
      </w:r>
      <w:r w:rsidR="00DC6DE9">
        <w:t xml:space="preserve">into national legislation </w:t>
      </w:r>
      <w:r>
        <w:t xml:space="preserve">in a way that effectively changes and improves the working conditions </w:t>
      </w:r>
      <w:r w:rsidR="00DC6DE9">
        <w:t xml:space="preserve">of workers in </w:t>
      </w:r>
      <w:r w:rsidR="00DC6DE9">
        <w:t xml:space="preserve">platform </w:t>
      </w:r>
      <w:r w:rsidR="00DC6DE9">
        <w:t xml:space="preserve">companies</w:t>
      </w:r>
      <w:r>
        <w:t xml:space="preserve">. This document is the result of that work: recommendations for ministries of labour and social partners, based on experiences from the five partner countries and in dialogue with comparative partners from Spain (</w:t>
      </w:r>
      <w:r>
        <w:t xml:space="preserve">Observatorio </w:t>
      </w:r>
      <w:r>
        <w:t xml:space="preserve">de </w:t>
      </w:r>
      <w:r>
        <w:t xml:space="preserve">trabajo </w:t>
      </w:r>
      <w:r>
        <w:t xml:space="preserve">algorítmico </w:t>
      </w:r>
      <w:r>
        <w:t xml:space="preserve">y </w:t>
      </w:r>
      <w:r>
        <w:t xml:space="preserve">sociedad </w:t>
      </w:r>
      <w:r w:rsidR="00D7386B">
        <w:t xml:space="preserve">– </w:t>
      </w:r>
      <w:r>
        <w:t xml:space="preserve">Observatorio </w:t>
      </w:r>
      <w:r>
        <w:t xml:space="preserve">TAS) and Germany (</w:t>
      </w:r>
      <w:r>
        <w:t xml:space="preserve">Lieferando </w:t>
      </w:r>
      <w:r>
        <w:t xml:space="preserve">Workers </w:t>
      </w:r>
      <w:r>
        <w:t xml:space="preserve">Collective</w:t>
      </w:r>
      <w:r>
        <w:t xml:space="preserve">).</w:t>
      </w:r>
    </w:p>
    <w:p w:rsidR="00D90A18" w:rsidP="00750824" w:rsidRDefault="00D90A18" w14:paraId="4AEE88EC" w14:textId="77777777">
      <w:pPr>
        <w:jc w:val="both"/>
      </w:pPr>
    </w:p>
    <w:p w:rsidR="00983F19" w:rsidP="00750824" w:rsidRDefault="00000000" w14:paraId="3C07A292" w14:textId="23D1CD6D">
      <w:pPr>
        <w:jc w:val="both"/>
      </w:pPr>
      <w:r>
        <w:t xml:space="preserve">The Directive requires Member States to do three things. Firstly, to establish a legal presumption </w:t>
      </w:r>
      <w:r>
        <w:t xml:space="preserve">of</w:t>
      </w:r>
      <w:r w:rsidR="00CF3B80">
        <w:t xml:space="preserve"> employment </w:t>
      </w:r>
      <w:r>
        <w:t xml:space="preserve">for </w:t>
      </w:r>
      <w:r>
        <w:t xml:space="preserve">platform </w:t>
      </w:r>
      <w:r>
        <w:t xml:space="preserve">workers</w:t>
      </w:r>
      <w:r w:rsidR="00DC6DE9">
        <w:t xml:space="preserve">: </w:t>
      </w:r>
      <w:r>
        <w:t xml:space="preserve">if the facts indicate </w:t>
      </w:r>
      <w:r w:rsidR="00DC6DE9">
        <w:t xml:space="preserve">that a worker receives </w:t>
      </w:r>
      <w:r>
        <w:t xml:space="preserve">instructions </w:t>
      </w:r>
      <w:r w:rsidR="00DC6DE9">
        <w:t xml:space="preserve">for their work </w:t>
      </w:r>
      <w:r>
        <w:t xml:space="preserve">and </w:t>
      </w:r>
      <w:r w:rsidR="00DC6DE9">
        <w:t xml:space="preserve">is subject </w:t>
      </w:r>
      <w:r w:rsidR="00DC6DE9">
        <w:t xml:space="preserve">to supervision</w:t>
      </w:r>
      <w:r>
        <w:t xml:space="preserve">, the relationship is treated as </w:t>
      </w:r>
      <w:r w:rsidR="00CF3B80">
        <w:t xml:space="preserve">employment</w:t>
      </w:r>
      <w:r>
        <w:t xml:space="preserve">, and </w:t>
      </w:r>
      <w:r w:rsidR="00DC6DE9">
        <w:t xml:space="preserve">it is the</w:t>
      </w:r>
      <w:r>
        <w:t xml:space="preserve"> platform </w:t>
      </w:r>
      <w:r w:rsidR="00DC6DE9">
        <w:t xml:space="preserve">that </w:t>
      </w:r>
      <w:r>
        <w:t xml:space="preserve">must </w:t>
      </w:r>
      <w:r>
        <w:t xml:space="preserve">prove otherwise </w:t>
      </w:r>
      <w:r>
        <w:t xml:space="preserve">in the event </w:t>
      </w:r>
      <w:r w:rsidR="00DC6DE9">
        <w:t xml:space="preserve">of a dispute</w:t>
      </w:r>
      <w:r>
        <w:t xml:space="preserve">.</w:t>
      </w:r>
    </w:p>
    <w:p w:rsidR="00D90A18" w:rsidP="00750824" w:rsidRDefault="00D90A18" w14:paraId="0BF496E8" w14:textId="77777777">
      <w:pPr>
        <w:jc w:val="both"/>
      </w:pPr>
    </w:p>
    <w:p w:rsidR="00983F19" w:rsidP="00750824" w:rsidRDefault="00000000" w14:paraId="414DE9EB" w14:textId="2F8E2726">
      <w:pPr>
        <w:jc w:val="both"/>
      </w:pPr>
      <w:r>
        <w:t xml:space="preserve">Secondly, the regulation of algorithmic management (</w:t>
      </w:r>
      <w:r>
        <w:t xml:space="preserve">‘algorithmic </w:t>
      </w:r>
      <w:r>
        <w:t xml:space="preserve">management </w:t>
      </w:r>
      <w:r w:rsidR="00DC6DE9">
        <w:t xml:space="preserve">(</w:t>
      </w:r>
      <w:r>
        <w:t xml:space="preserve">AM</w:t>
      </w:r>
      <w:r w:rsidR="00DC6DE9">
        <w:t xml:space="preserve">)’</w:t>
      </w:r>
      <w:r>
        <w:t xml:space="preserve">): platforms must disclose how the algorithm works </w:t>
      </w:r>
      <w:r w:rsidR="00DC6DE9">
        <w:t xml:space="preserve">in the parts </w:t>
      </w:r>
      <w:r>
        <w:t xml:space="preserve">that allocate tasks, determine pay and </w:t>
      </w:r>
      <w:r w:rsidR="00DC6DE9">
        <w:t xml:space="preserve">impose sanctions on </w:t>
      </w:r>
      <w:r>
        <w:t xml:space="preserve">workers</w:t>
      </w:r>
      <w:r w:rsidR="00DC6DE9">
        <w:t xml:space="preserve">. </w:t>
      </w:r>
      <w:r>
        <w:t xml:space="preserve">It is strictly prohibited to collect data on workers’ emotional state, trade union membership or private conversations.</w:t>
      </w:r>
    </w:p>
    <w:p w:rsidR="00D90A18" w:rsidP="00750824" w:rsidRDefault="00D90A18" w14:paraId="6513B994" w14:textId="77777777">
      <w:pPr>
        <w:jc w:val="both"/>
      </w:pPr>
    </w:p>
    <w:p w:rsidR="00983F19" w:rsidP="00750824" w:rsidRDefault="00000000" w14:paraId="40C36178" w14:textId="77777777">
      <w:pPr>
        <w:jc w:val="both"/>
      </w:pPr>
      <w:r>
        <w:t xml:space="preserve">Thirdly, ensuring legal remedies and collective rights: trade unions must be able to initiate proceedings without the consent of each individual worker, and workers must have access to communication channels that are independent of the platform. This is the minimum requirement. If a Member State merely transposes this into national law without providing for enforcement mechanisms, it will repeat the Belgian experience, where the law on </w:t>
      </w:r>
      <w:r>
        <w:t xml:space="preserve">platform </w:t>
      </w:r>
      <w:r>
        <w:t xml:space="preserve">work </w:t>
      </w:r>
      <w:r>
        <w:t xml:space="preserve">has </w:t>
      </w:r>
      <w:r>
        <w:t xml:space="preserve">remained ineffective since 2023 because the Ministry of Labour lacked the procedures to enforce it.</w:t>
      </w:r>
    </w:p>
    <w:p w:rsidR="00D90A18" w:rsidP="00750824" w:rsidRDefault="00D90A18" w14:paraId="227F185B" w14:textId="77777777">
      <w:pPr>
        <w:jc w:val="both"/>
      </w:pPr>
    </w:p>
    <w:p w:rsidR="00983F19" w:rsidP="00750824" w:rsidRDefault="00000000" w14:paraId="00D613C9" w14:textId="77777777">
      <w:pPr>
        <w:jc w:val="both"/>
      </w:pPr>
      <w:r>
        <w:t xml:space="preserve">This document recommends that Member States go beyond the minimum in five key areas:</w:t>
      </w:r>
    </w:p>
    <w:p w:rsidR="00D90A18" w:rsidP="00750824" w:rsidRDefault="00D90A18" w14:paraId="2FC1A664" w14:textId="77777777">
      <w:pPr>
        <w:jc w:val="both"/>
      </w:pPr>
    </w:p>
    <w:p w:rsidR="00983F19" w:rsidP="00750824" w:rsidRDefault="00000000" w14:paraId="33190FCA" w14:textId="532FEADF">
      <w:pPr>
        <w:jc w:val="both"/>
      </w:pPr>
      <w:r>
        <w:t xml:space="preserve">Firstly, when transposing the legal presumption, they must not add their own criteria that would allow platforms to formally circumvent it</w:t>
      </w:r>
      <w:r w:rsidR="00DC6DE9">
        <w:t xml:space="preserve">: </w:t>
      </w:r>
      <w:r>
        <w:t xml:space="preserve">the standard must be based on </w:t>
      </w:r>
      <w:r>
        <w:rPr>
          <w:b/>
          <w:bCs/>
        </w:rPr>
        <w:t xml:space="preserve">facts indicating direction and supervision </w:t>
      </w:r>
      <w:r w:rsidR="00DC6DE9">
        <w:rPr>
          <w:b/>
          <w:bCs/>
        </w:rPr>
        <w:t xml:space="preserve">in the performance of work </w:t>
      </w:r>
      <w:r>
        <w:t xml:space="preserve">(prima </w:t>
      </w:r>
      <w:r>
        <w:t xml:space="preserve">facie</w:t>
      </w:r>
      <w:r>
        <w:t xml:space="preserve">), without any additional conditions</w:t>
      </w:r>
      <w:r w:rsidR="00DC6DE9">
        <w:t xml:space="preserve">.</w:t>
      </w:r>
    </w:p>
    <w:p w:rsidR="00D90A18" w:rsidP="00750824" w:rsidRDefault="00D90A18" w14:paraId="637F85F8" w14:textId="77777777">
      <w:pPr>
        <w:jc w:val="both"/>
      </w:pPr>
    </w:p>
    <w:p w:rsidR="00983F19" w:rsidP="00750824" w:rsidRDefault="00000000" w14:paraId="2E436B86" w14:textId="77C901B7">
      <w:pPr>
        <w:jc w:val="both"/>
      </w:pPr>
      <w:r>
        <w:t xml:space="preserve">Secondly, the procedures for determining the correct employment status must be effective and primarily administrative, not judicial: legal battles will drag on for years, whereas workers</w:t>
      </w:r>
      <w:r>
        <w:lastRenderedPageBreak/>
      </w:r>
      <w:r>
        <w:t xml:space="preserve"> need their status determined now </w:t>
      </w:r>
      <w:r w:rsidR="00D7386B">
        <w:t xml:space="preserve">– </w:t>
      </w:r>
      <w:r>
        <w:t xml:space="preserve">strengthened labour inspectorates must have the authority and obligation to determine status by means of a decision, without waiting for the courts.</w:t>
      </w:r>
    </w:p>
    <w:p w:rsidR="00DC6DE9" w:rsidP="00750824" w:rsidRDefault="00DC6DE9" w14:paraId="7FE5F913" w14:textId="77777777">
      <w:pPr>
        <w:jc w:val="both"/>
      </w:pPr>
    </w:p>
    <w:p w:rsidR="00983F19" w:rsidP="00750824" w:rsidRDefault="00000000" w14:paraId="6B80CF8A" w14:textId="60893ECA">
      <w:pPr>
        <w:jc w:val="both"/>
      </w:pPr>
      <w:r>
        <w:t xml:space="preserve">Thirdly, a mechanism for temporary collective protection must be established: once the labour inspectorate has determined that the platform is an employer, within fifteen days at the latest </w:t>
      </w:r>
      <w:r w:rsidR="00D7386B">
        <w:t xml:space="preserve">– </w:t>
      </w:r>
      <w:r>
        <w:t xml:space="preserve">or within a shorter timeframe permitted by national law </w:t>
      </w:r>
      <w:r w:rsidR="00D7386B">
        <w:t xml:space="preserve">– </w:t>
      </w:r>
      <w:r>
        <w:t xml:space="preserve">a mandatory tripartite dialogue must be established to guarantee a minimum wage and social security for the duration of the legal proceedings </w:t>
      </w:r>
      <w:r w:rsidR="00D7386B">
        <w:t xml:space="preserve">– </w:t>
      </w:r>
      <w:r>
        <w:t xml:space="preserve">otherwise, workers will be left waiting for years for a final judgement without any protection whatsoever.</w:t>
      </w:r>
    </w:p>
    <w:p w:rsidR="00D90A18" w:rsidP="00750824" w:rsidRDefault="00D90A18" w14:paraId="47A6D57F" w14:textId="77777777">
      <w:pPr>
        <w:jc w:val="both"/>
      </w:pPr>
    </w:p>
    <w:p w:rsidR="00983F19" w:rsidP="00750824" w:rsidRDefault="00000000" w14:paraId="6659466C" w14:textId="3AC3790E">
      <w:pPr>
        <w:jc w:val="both"/>
      </w:pPr>
      <w:r>
        <w:t xml:space="preserve">Fourthly, </w:t>
      </w:r>
      <w:r w:rsidR="00A25A76">
        <w:t xml:space="preserve">joint and several </w:t>
      </w:r>
      <w:r>
        <w:t xml:space="preserve">liability throughout the entire chain of intermediaries must be mandatory, not merely permitted: </w:t>
      </w:r>
      <w:r>
        <w:t xml:space="preserve">the</w:t>
      </w:r>
      <w:r>
        <w:t xml:space="preserve"> </w:t>
      </w:r>
      <w:r>
        <w:t xml:space="preserve">‘fleet</w:t>
      </w:r>
      <w:r>
        <w:t xml:space="preserve"> </w:t>
      </w:r>
      <w:r w:rsidR="00DC6DE9">
        <w:t xml:space="preserve">system’</w:t>
      </w:r>
      <w:r>
        <w:t xml:space="preserve">, in which platforms pass the risk on to </w:t>
      </w:r>
      <w:r w:rsidR="00DC6DE9">
        <w:t xml:space="preserve">subcontractors and </w:t>
      </w:r>
      <w:r>
        <w:t xml:space="preserve">‘shell </w:t>
      </w:r>
      <w:r>
        <w:t xml:space="preserve">companies’, is present in almost half of the platforms analysed and is designed precisely to prevent </w:t>
      </w:r>
      <w:r w:rsidR="00DC6DE9">
        <w:t xml:space="preserve">workers </w:t>
      </w:r>
      <w:r>
        <w:t xml:space="preserve">from asserting their rights </w:t>
      </w:r>
      <w:r w:rsidR="00DC6DE9">
        <w:t xml:space="preserve">directly against the platform, whilst exempting the platform from sanctions in the event of legal breaches</w:t>
      </w:r>
      <w:r>
        <w:t xml:space="preserve">.</w:t>
      </w:r>
    </w:p>
    <w:p w:rsidR="00D90A18" w:rsidP="00750824" w:rsidRDefault="00D90A18" w14:paraId="09EF7C8C" w14:textId="77777777">
      <w:pPr>
        <w:jc w:val="both"/>
      </w:pPr>
    </w:p>
    <w:p w:rsidR="00983F19" w:rsidP="00750824" w:rsidRDefault="00000000" w14:paraId="4389BC22" w14:textId="76814AC7">
      <w:pPr>
        <w:jc w:val="both"/>
      </w:pPr>
      <w:r>
        <w:t xml:space="preserve">Fifthly, the transparency of algorithms and all other rights enshrined in the directive must be underpinned by enforcement mechanisms</w:t>
      </w:r>
      <w:r w:rsidR="00DC6DE9">
        <w:t xml:space="preserve">: </w:t>
      </w:r>
      <w:r>
        <w:t xml:space="preserve">strengthened labour inspectorates trained in algorithmic systems, clear sanctions and the possibility of collective proceedings, which are currently not permitted by legislation in several Member States.</w:t>
      </w:r>
    </w:p>
    <w:p w:rsidR="00D90A18" w:rsidP="00750824" w:rsidRDefault="00D90A18" w14:paraId="160343D0" w14:textId="77777777">
      <w:pPr>
        <w:jc w:val="both"/>
      </w:pPr>
    </w:p>
    <w:p w:rsidR="00D90A18" w:rsidP="00750824" w:rsidRDefault="00000000" w14:paraId="164D45C7" w14:textId="476C2080">
      <w:pPr>
        <w:jc w:val="both"/>
      </w:pPr>
      <w:r>
        <w:t xml:space="preserve">The central theme of the document is not any individual recommendation, but rather the role of social dialogue, with the state and institutions playing a proactive role as a bridge between the adoption of the directive and its actual implementation. Experience from all partner countries shows that legislation alone does not change practice: the Spanish law on delivery workers (</w:t>
      </w:r>
      <w:r>
        <w:rPr>
          <w:i/>
          <w:iCs/>
        </w:rPr>
        <w:t xml:space="preserve">‘Ley </w:t>
      </w:r>
      <w:r w:rsidR="00DC6DE9">
        <w:rPr>
          <w:i/>
          <w:iCs/>
        </w:rPr>
        <w:t xml:space="preserve">Rider’</w:t>
      </w:r>
      <w:r>
        <w:t xml:space="preserve">) did not prevent </w:t>
      </w:r>
      <w:r>
        <w:t xml:space="preserve">Glovo</w:t>
      </w:r>
      <w:r>
        <w:t xml:space="preserve"> from </w:t>
      </w:r>
      <w:r>
        <w:t xml:space="preserve">restructuring its entire business model into a system based exclusively on subcontractors; the Austrian collective agreement for delivery workers did not prevent </w:t>
      </w:r>
      <w:r>
        <w:t xml:space="preserve">Lieferando</w:t>
      </w:r>
      <w:r>
        <w:t xml:space="preserve"> from </w:t>
      </w:r>
      <w:r>
        <w:t xml:space="preserve">making almost a thousand employees redundant in March 2025 and converting them into independent contractors without protection; the Belgian legal presumption </w:t>
      </w:r>
      <w:r w:rsidR="00CF3B80">
        <w:t xml:space="preserve">of employment </w:t>
      </w:r>
      <w:r>
        <w:t xml:space="preserve">did not alter the employment status of a single worker, as the law lacked the procedures necessary to enforce it. </w:t>
      </w:r>
    </w:p>
    <w:p w:rsidR="00D90A18" w:rsidP="00750824" w:rsidRDefault="00D90A18" w14:paraId="2D7A9426" w14:textId="77777777">
      <w:pPr>
        <w:jc w:val="both"/>
      </w:pPr>
    </w:p>
    <w:p w:rsidR="00983F19" w:rsidP="00750824" w:rsidRDefault="00000000" w14:paraId="529239C4" w14:textId="4FFC3CF6">
      <w:pPr>
        <w:jc w:val="both"/>
      </w:pPr>
      <w:r>
        <w:t xml:space="preserve">In all these cases, social dialogue as a structural part of implementation </w:t>
      </w:r>
      <w:r w:rsidR="00D7386B">
        <w:t xml:space="preserve">– </w:t>
      </w:r>
      <w:r>
        <w:t xml:space="preserve">with the state acting as an active mediator and guarantor, rather than a passive observer </w:t>
      </w:r>
      <w:r w:rsidR="00D7386B">
        <w:t xml:space="preserve">– </w:t>
      </w:r>
      <w:r>
        <w:t xml:space="preserve">would </w:t>
      </w:r>
      <w:r>
        <w:t xml:space="preserve">certainly </w:t>
      </w:r>
      <w:r w:rsidR="0086131C">
        <w:t xml:space="preserve">have contributed to more effectively drafted legislative proposals, which would have been implemented in practice in such a way as to provide the greatest possible actual protection for workers.</w:t>
      </w:r>
      <w:r>
        <w:t xml:space="preserve"> </w:t>
      </w:r>
      <w:r w:rsidR="0086131C">
        <w:t xml:space="preserve">Social dialogue must not merely be </w:t>
      </w:r>
      <w:r>
        <w:t xml:space="preserve">an invitation to negotiate, but a binding obligation on the platform to engage in dialogue, with sanctions for refusal and temporary protection for workers until the dialogue bears fruit. This document therefore proposes the SDDP Protocol </w:t>
      </w:r>
      <w:r w:rsidR="00D7386B">
        <w:t xml:space="preserve">– </w:t>
      </w:r>
      <w:r>
        <w:t xml:space="preserve">a framework for social dialogue that can serve as a bridge between the adoption of the Directive and its actual implementation. The Directive encourages this in Article 25, whilst Article 29 explicitly allows Member States to entrust implementation to the social partners through collective agreements. This document </w:t>
      </w:r>
      <w:r w:rsidR="0086131C">
        <w:t xml:space="preserve">sets out the arguments as to why </w:t>
      </w:r>
      <w:r>
        <w:t xml:space="preserve">this should be the preferred approach.</w:t>
      </w:r>
    </w:p>
    <w:p w:rsidR="00D90A18" w:rsidP="00750824" w:rsidRDefault="00D90A18" w14:paraId="4EBEE460" w14:textId="77777777">
      <w:pPr>
        <w:jc w:val="both"/>
      </w:pPr>
    </w:p>
    <w:p w:rsidR="00983F19" w:rsidP="00750824" w:rsidRDefault="00000000" w14:paraId="0C4C1E5B" w14:textId="5E79699E">
      <w:pPr>
        <w:jc w:val="both"/>
      </w:pPr>
      <w:r>
        <w:t xml:space="preserve">The deadline for transposition is 2 December 2026. Every month of delay means another month in which workers are working without a minimum wage, without social security contributions and without the right to an explanation as to why an algorithm has deactivated their account. The delay does not harm the platforms </w:t>
      </w:r>
      <w:r w:rsidR="00D7386B">
        <w:t xml:space="preserve">– </w:t>
      </w:r>
      <w:r>
        <w:t xml:space="preserve">the platforms actively seek it, because every month without regulation means a month without costs. Above all, it harms the workers themselves, who during this time bear the responsibility, risks and costs that should be borne by the employer: fuel,</w:t>
      </w:r>
      <w:r>
        <w:lastRenderedPageBreak/>
      </w:r>
      <w:r>
        <w:t xml:space="preserve"> vehicle maintenance, insurance and sick leave. It also harms honest businesses that employ staff and pay social security contributions </w:t>
      </w:r>
      <w:r w:rsidR="0086131C">
        <w:t xml:space="preserve">for their workers, as the platforms represent unfair competition for them</w:t>
      </w:r>
      <w:r>
        <w:t xml:space="preserve">. With this document, the SDDP project offers concrete </w:t>
      </w:r>
      <w:r>
        <w:t xml:space="preserve">recommendations</w:t>
      </w:r>
      <w:r>
        <w:t xml:space="preserve">,</w:t>
      </w:r>
      <w:r>
        <w:t xml:space="preserve"> proven</w:t>
      </w:r>
      <w:r w:rsidR="0086131C">
        <w:t xml:space="preserve"> by past practice</w:t>
      </w:r>
      <w:r>
        <w:t xml:space="preserve">, and remains at the disposal of any Member State wishing to transpose the directive in a way that effectively protects those covered by the law.</w:t>
      </w:r>
    </w:p>
    <w:p w:rsidR="00D90A18" w:rsidP="00750824" w:rsidRDefault="00D90A18" w14:paraId="177D0FA9" w14:textId="77777777">
      <w:pPr>
        <w:jc w:val="both"/>
      </w:pPr>
    </w:p>
    <w:p w:rsidR="00D90A18" w:rsidP="00750824" w:rsidRDefault="00D90A18" w14:paraId="33CE8C14" w14:textId="77777777">
      <w:pPr>
        <w:jc w:val="both"/>
      </w:pPr>
    </w:p>
    <w:p w:rsidR="00D90A18" w:rsidP="00750824" w:rsidRDefault="00D90A18" w14:paraId="15E0B243" w14:textId="77777777">
      <w:pPr>
        <w:jc w:val="both"/>
      </w:pPr>
    </w:p>
    <w:p w:rsidR="00750824" w:rsidRDefault="00750824" w14:paraId="02D201EA" w14:textId="77777777">
      <w:pPr>
        <w:rPr>
          <w:b/>
          <w:bCs/>
          <w:color w:val="1F3864"/>
          <w:sz w:val="36"/>
          <w:szCs w:val="36"/>
        </w:rPr>
      </w:pPr>
      <w:r>
        <w:br w:type="page"/>
      </w:r>
    </w:p>
    <w:p w:rsidR="00983F19" w:rsidP="00750824" w:rsidRDefault="00000000" w14:paraId="68236365" w14:textId="4C4EB712">
      <w:pPr>
        <w:pStyle w:val="Naslov1"/>
        <w:jc w:val="both"/>
      </w:pPr>
      <w:bookmarkStart w:name="_Toc233699480" w:id="6"/>
      <w:r>
        <w:lastRenderedPageBreak/>
      </w:r>
      <w:r>
        <w:t xml:space="preserve">Chapter 2: Scope and Definitions</w:t>
      </w:r>
      <w:bookmarkEnd w:id="6"/>
    </w:p>
    <w:p w:rsidR="00D90A18" w:rsidP="00750824" w:rsidRDefault="00000000" w14:paraId="30A8F63B" w14:textId="1F9821E7">
      <w:pPr>
        <w:jc w:val="both"/>
      </w:pPr>
      <w:r>
        <w:t xml:space="preserve">EU Directive 2024/2831 on </w:t>
      </w:r>
      <w:r>
        <w:t xml:space="preserve">platform </w:t>
      </w:r>
      <w:r>
        <w:t xml:space="preserve">work </w:t>
      </w:r>
      <w:r w:rsidR="00EA618C">
        <w:t xml:space="preserve">does </w:t>
      </w:r>
      <w:r>
        <w:t xml:space="preserve">not begin by defining rights – it begins by asking who is actually covered by its protection. Articles 1, 2 and 3 lay the foundations for the entire regulatory framework: they set out the purpose and scope of application, define key terms and regulate the status of intermediaries. As these provisions are </w:t>
      </w:r>
      <w:r w:rsidR="00EA618C">
        <w:t xml:space="preserve">more open-ended </w:t>
      </w:r>
      <w:r>
        <w:t xml:space="preserve">than some other parts of the Directive, they are also </w:t>
      </w:r>
      <w:r w:rsidR="00EA618C">
        <w:t xml:space="preserve">the areas </w:t>
      </w:r>
      <w:r>
        <w:t xml:space="preserve">where platforms are looking for – and will continue to look for – loopholes. Robust implementation requires Member States to transpose the definitions in a narrow and specific manner.</w:t>
      </w:r>
    </w:p>
    <w:p w:rsidR="00983F19" w:rsidP="00750824" w:rsidRDefault="00000000" w14:paraId="5CFAF56C" w14:textId="77777777">
      <w:pPr>
        <w:pStyle w:val="Naslov2"/>
        <w:jc w:val="both"/>
      </w:pPr>
      <w:bookmarkStart w:name="_Toc233699481" w:id="7"/>
      <w:r>
        <w:t xml:space="preserve">2.1 Requirements of the Directive</w:t>
      </w:r>
      <w:bookmarkEnd w:id="7"/>
    </w:p>
    <w:p w:rsidR="00983F19" w:rsidP="00750824" w:rsidRDefault="00000000" w14:paraId="22A60EB9" w14:textId="5FDEE535">
      <w:pPr>
        <w:jc w:val="both"/>
      </w:pPr>
      <w:r>
        <w:t xml:space="preserve">Article 1 sets out the dual purpose of the Directive: to improve the working conditions </w:t>
      </w:r>
      <w:r>
        <w:t xml:space="preserve">of </w:t>
      </w:r>
      <w:r>
        <w:t xml:space="preserve">platform </w:t>
      </w:r>
      <w:r>
        <w:t xml:space="preserve">workers and to protect the personal data of all persons carrying out </w:t>
      </w:r>
      <w:r>
        <w:t xml:space="preserve">platform </w:t>
      </w:r>
      <w:r>
        <w:t xml:space="preserve">work. These two dimensions are inextricably linked – algorithmic management is both a labour law issue and a data protection issue – and it is not permissible to give them different weightings. Pursuant to Articles 1(2) and 1(3), the Directive applies to any person carrying out </w:t>
      </w:r>
      <w:r>
        <w:t xml:space="preserve">platform </w:t>
      </w:r>
      <w:r>
        <w:t xml:space="preserve">work in </w:t>
      </w:r>
      <w:r w:rsidR="00EA618C">
        <w:t xml:space="preserve">the European Union</w:t>
      </w:r>
      <w:r>
        <w:t xml:space="preserve">, regardless of whether they have a formal employment contract and regardless of where the platform has </w:t>
      </w:r>
      <w:r w:rsidR="00EA618C">
        <w:t xml:space="preserve">its registered</w:t>
      </w:r>
      <w:r>
        <w:t xml:space="preserve"> office</w:t>
      </w:r>
      <w:r>
        <w:t xml:space="preserve">.</w:t>
      </w:r>
    </w:p>
    <w:p w:rsidR="00D90A18" w:rsidP="00750824" w:rsidRDefault="00D90A18" w14:paraId="578F848E" w14:textId="77777777">
      <w:pPr>
        <w:jc w:val="both"/>
      </w:pPr>
    </w:p>
    <w:p w:rsidR="00983F19" w:rsidP="00750824" w:rsidRDefault="00000000" w14:paraId="37DD2204" w14:textId="21A98098">
      <w:pPr>
        <w:jc w:val="both"/>
      </w:pPr>
      <w:r>
        <w:t xml:space="preserve">The territorial scope of the Directive is clear: Article 1(3) stipulates that the Directive applies to all digital labour platforms that organise work within the Union – regardless of where the platform is established or which law </w:t>
      </w:r>
      <w:r>
        <w:t xml:space="preserve">applies</w:t>
      </w:r>
      <w:r>
        <w:t xml:space="preserve"> under the contract </w:t>
      </w:r>
      <w:r w:rsidR="00EA618C">
        <w:t xml:space="preserve">concluded between the worker and the platform</w:t>
      </w:r>
      <w:r>
        <w:t xml:space="preserve">. An expert group of the European Commission </w:t>
      </w:r>
      <w:r w:rsidR="00EA618C">
        <w:t xml:space="preserve">(EC) </w:t>
      </w:r>
      <w:r>
        <w:t xml:space="preserve">has confirmed this: a foreign platform organising deliveries in Ljubljana or Warsaw is fully subject to the Directive. A contractual provision choosing foreign law does not deprive workers of this protection, as these are </w:t>
      </w:r>
      <w:r>
        <w:t xml:space="preserve">mandatory </w:t>
      </w:r>
      <w:r>
        <w:t xml:space="preserve">rules of private international law.</w:t>
      </w:r>
    </w:p>
    <w:p w:rsidR="00EA618C" w:rsidP="00750824" w:rsidRDefault="00EA618C" w14:paraId="4E8E8883" w14:textId="77777777">
      <w:pPr>
        <w:jc w:val="both"/>
      </w:pPr>
    </w:p>
    <w:p w:rsidR="00983F19" w:rsidP="00750824" w:rsidRDefault="00000000" w14:paraId="396EB28B" w14:textId="12D3BE02">
      <w:pPr>
        <w:jc w:val="both"/>
      </w:pPr>
      <w:r>
        <w:t xml:space="preserve">Platforms based outside the EU that do not organise work within the Union are not covered. A less frequently discussed but equally serious issue is what happens when a European platform operates in countries outside the EU and exploits workers there in conditions that would be prohibited in Europe. Articles 1 and 26 of the Directive do not address this issue – this is a gap that we address in Recommendation 2.6.</w:t>
      </w:r>
    </w:p>
    <w:p w:rsidR="00D90A18" w:rsidP="00750824" w:rsidRDefault="00D90A18" w14:paraId="66C45616" w14:textId="77777777">
      <w:pPr>
        <w:jc w:val="both"/>
      </w:pPr>
    </w:p>
    <w:p w:rsidR="00D90A18" w:rsidP="00750824" w:rsidRDefault="00000000" w14:paraId="152770CC" w14:textId="44B432F6">
      <w:pPr>
        <w:jc w:val="both"/>
      </w:pPr>
      <w:r>
        <w:t xml:space="preserve">Article 2 sets out the definitions </w:t>
      </w:r>
      <w:r>
        <w:t xml:space="preserve">of the</w:t>
      </w:r>
      <w:r w:rsidR="00EA618C">
        <w:t xml:space="preserve"> terms </w:t>
      </w:r>
      <w:r w:rsidR="00EA618C">
        <w:t xml:space="preserve">used in </w:t>
      </w:r>
      <w:r>
        <w:t xml:space="preserve">the Directive. Central to this is the definition of </w:t>
      </w:r>
      <w:r>
        <w:t xml:space="preserve">a</w:t>
      </w:r>
      <w:r>
        <w:t xml:space="preserve"> </w:t>
      </w:r>
      <w:r>
        <w:t xml:space="preserve">‘digital</w:t>
      </w:r>
      <w:r>
        <w:t xml:space="preserve"> </w:t>
      </w:r>
      <w:r>
        <w:t xml:space="preserve">labour</w:t>
      </w:r>
      <w:r>
        <w:t xml:space="preserve"> </w:t>
      </w:r>
      <w:r>
        <w:t xml:space="preserve">platform </w:t>
      </w:r>
      <w:r w:rsidR="00EA618C">
        <w:t xml:space="preserve">(DLP)</w:t>
      </w:r>
      <w:r>
        <w:t xml:space="preserve">’, which must cumulatively meet four conditions:</w:t>
      </w:r>
    </w:p>
    <w:p w:rsidR="00D90A18" w:rsidP="00750824" w:rsidRDefault="00000000" w14:paraId="251EFDAE" w14:textId="77777777">
      <w:pPr>
        <w:jc w:val="both"/>
      </w:pPr>
      <w:r>
        <w:t xml:space="preserve"> • the service is provided, at least in part, remotely via electronic means (the internet or an app); </w:t>
      </w:r>
    </w:p>
    <w:p w:rsidR="00D90A18" w:rsidP="00750824" w:rsidRDefault="00000000" w14:paraId="30F6BF33" w14:textId="77777777">
      <w:pPr>
        <w:jc w:val="both"/>
      </w:pPr>
      <w:r>
        <w:t xml:space="preserve">• the service is provided at the request of the recipient of the service – either on a one-off or recurring basis; </w:t>
      </w:r>
    </w:p>
    <w:p w:rsidR="00D90A18" w:rsidP="00750824" w:rsidRDefault="00000000" w14:paraId="0511C9D8" w14:textId="77777777">
      <w:pPr>
        <w:jc w:val="both"/>
      </w:pPr>
      <w:r>
        <w:t xml:space="preserve">• the organisation of individuals’ work for remuneration is a necessary and essential component of the service – not merely an ancillary task; </w:t>
      </w:r>
    </w:p>
    <w:p w:rsidR="00983F19" w:rsidP="00750824" w:rsidRDefault="00000000" w14:paraId="16790D6E" w14:textId="77777777">
      <w:pPr>
        <w:jc w:val="both"/>
      </w:pPr>
      <w:r>
        <w:t xml:space="preserve">• the service involves the use of automated systems for monitoring or decision-making (or both).</w:t>
      </w:r>
    </w:p>
    <w:p w:rsidR="00D90A18" w:rsidP="00750824" w:rsidRDefault="00D90A18" w14:paraId="3D050403" w14:textId="77777777">
      <w:pPr>
        <w:jc w:val="both"/>
      </w:pPr>
    </w:p>
    <w:p w:rsidR="00983F19" w:rsidP="00750824" w:rsidRDefault="00000000" w14:paraId="0477B2C5" w14:textId="76B31296">
      <w:pPr>
        <w:jc w:val="both"/>
      </w:pPr>
      <w:r>
        <w:t xml:space="preserve">All four conditions must be met simultaneously. It is the specific service that is assessed, not the entire company – the same company may be a DLP for one of its services but not for another. The EC’s expert group has explicitly confirmed that no sector is excluded</w:t>
      </w:r>
      <w:r w:rsidR="00EA618C">
        <w:t xml:space="preserve">; </w:t>
      </w:r>
      <w:r>
        <w:t xml:space="preserve">the assessment is always specific, on a case-by-case basis. Temporary employment agencies are DLP if they meet </w:t>
      </w:r>
      <w:r>
        <w:t xml:space="preserve">all four conditions</w:t>
      </w:r>
      <w:r>
        <w:lastRenderedPageBreak/>
      </w:r>
      <w:r>
        <w:t xml:space="preserve"> . Platforms that merely publish contractors’ offers without playing an active role in organising the work are not DLP.</w:t>
      </w:r>
    </w:p>
    <w:p w:rsidR="00EA618C" w:rsidP="00750824" w:rsidRDefault="00EA618C" w14:paraId="39409103" w14:textId="77777777">
      <w:pPr>
        <w:jc w:val="both"/>
      </w:pPr>
    </w:p>
    <w:p w:rsidR="00983F19" w:rsidP="00750824" w:rsidRDefault="00000000" w14:paraId="7F11F492" w14:textId="102CBD0B">
      <w:pPr>
        <w:jc w:val="both"/>
      </w:pPr>
      <w:r>
        <w:t xml:space="preserve">A </w:t>
      </w:r>
      <w:r w:rsidR="00EA618C">
        <w:t xml:space="preserve">‘</w:t>
      </w:r>
      <w:r>
        <w:t xml:space="preserve">person </w:t>
      </w:r>
      <w:r>
        <w:t xml:space="preserve">performing</w:t>
      </w:r>
      <w:r>
        <w:t xml:space="preserve"> </w:t>
      </w:r>
      <w:r>
        <w:t xml:space="preserve">platform </w:t>
      </w:r>
      <w:r>
        <w:t xml:space="preserve">work </w:t>
      </w:r>
      <w:r w:rsidR="00EA618C">
        <w:t xml:space="preserve">(</w:t>
      </w:r>
      <w:r>
        <w:t xml:space="preserve">PPPW</w:t>
      </w:r>
      <w:r w:rsidR="00EA618C">
        <w:t xml:space="preserve">)</w:t>
      </w:r>
      <w:r>
        <w:t xml:space="preserve">’ is any individual who carries out </w:t>
      </w:r>
      <w:r>
        <w:t xml:space="preserve">platform </w:t>
      </w:r>
      <w:r>
        <w:t xml:space="preserve">work – regardless of how their contractual relationship is named </w:t>
      </w:r>
      <w:r w:rsidR="00EA618C">
        <w:t xml:space="preserve">or legally defined</w:t>
      </w:r>
      <w:r>
        <w:t xml:space="preserve">. The sub-category </w:t>
      </w:r>
      <w:r>
        <w:t xml:space="preserve">‘platform </w:t>
      </w:r>
      <w:r>
        <w:t xml:space="preserve">worker’ refers to a PPPW who meets, or is deemed on the basis of the facts to </w:t>
      </w:r>
      <w:r w:rsidR="00EA618C">
        <w:t xml:space="preserve">meet</w:t>
      </w:r>
      <w:r>
        <w:t xml:space="preserve">,</w:t>
      </w:r>
      <w:r w:rsidR="00EA618C">
        <w:t xml:space="preserve"> the conditions for </w:t>
      </w:r>
      <w:r w:rsidR="00CF3B80">
        <w:t xml:space="preserve">employment</w:t>
      </w:r>
      <w:r>
        <w:t xml:space="preserve">. This distinction is crucial: the rights set out in Chapter II of the Directive (legal presumption) and certain rights in Chapter III (algorithmic management by the employer) apply exclusively to </w:t>
      </w:r>
      <w:r>
        <w:t xml:space="preserve">platform </w:t>
      </w:r>
      <w:r>
        <w:t xml:space="preserve">workers, whilst the prohibitions on data processing and the transparency of algorithms apply to all PPPWs.</w:t>
      </w:r>
    </w:p>
    <w:p w:rsidR="00D90A18" w:rsidP="00750824" w:rsidRDefault="00D90A18" w14:paraId="6EE09067" w14:textId="77777777">
      <w:pPr>
        <w:jc w:val="both"/>
      </w:pPr>
    </w:p>
    <w:p w:rsidR="00983F19" w:rsidP="00750824" w:rsidRDefault="00000000" w14:paraId="3810B9ED" w14:textId="1E98A7C2">
      <w:pPr>
        <w:jc w:val="both"/>
      </w:pPr>
      <w:r>
        <w:t xml:space="preserve">An intermediary is defined in Article 2(1)(e) as a natural or legal person whose purpose is to enable </w:t>
      </w:r>
      <w:r>
        <w:t xml:space="preserve">platform </w:t>
      </w:r>
      <w:r>
        <w:t xml:space="preserve">work </w:t>
      </w:r>
      <w:r>
        <w:t xml:space="preserve">to be carried out on or via a platform</w:t>
      </w:r>
      <w:r w:rsidR="00A16E80">
        <w:t xml:space="preserve">, </w:t>
      </w:r>
      <w:r>
        <w:t xml:space="preserve">either by establishing a contractual relationship with both parties </w:t>
      </w:r>
      <w:r>
        <w:t xml:space="preserve">or by acting as part of </w:t>
      </w:r>
      <w:r>
        <w:t xml:space="preserve">a </w:t>
      </w:r>
      <w:r>
        <w:t xml:space="preserve">subcontracting </w:t>
      </w:r>
      <w:r>
        <w:t xml:space="preserve">chain. The definition is deliberately broad. The EC’s expert group clarified that intermediaries may be natural persons</w:t>
      </w:r>
      <w:r w:rsidR="00A16E80">
        <w:t xml:space="preserve">: </w:t>
      </w:r>
      <w:r>
        <w:t xml:space="preserve">‘account</w:t>
      </w:r>
      <w:r w:rsidR="00A16E80">
        <w:t xml:space="preserve"> </w:t>
      </w:r>
      <w:r>
        <w:t xml:space="preserve">subletting’ constitutes intermediation where the purpose of such subletting is to carry out </w:t>
      </w:r>
      <w:r>
        <w:t xml:space="preserve">platform </w:t>
      </w:r>
      <w:r>
        <w:t xml:space="preserve">work</w:t>
      </w:r>
      <w:r w:rsidR="00A16E80">
        <w:t xml:space="preserve">. The aim of such </w:t>
      </w:r>
      <w:r>
        <w:t xml:space="preserve">a definition is to prevent circumvention </w:t>
      </w:r>
      <w:r w:rsidR="00A16E80">
        <w:t xml:space="preserve">of the Directive’s provisions </w:t>
      </w:r>
      <w:r>
        <w:t xml:space="preserve">through third parties. </w:t>
      </w:r>
      <w:r>
        <w:t xml:space="preserve">‘Fleet</w:t>
      </w:r>
      <w:r>
        <w:t xml:space="preserve"> </w:t>
      </w:r>
      <w:r w:rsidR="00A16E80">
        <w:t xml:space="preserve">systems</w:t>
      </w:r>
      <w:r>
        <w:t xml:space="preserve">’ – in which the platform enters into a contract with a fleet operator, who in turn contracts with delivery drivers – are a paradigmatic example of intermediation explicitly regulated by the Directive.</w:t>
      </w:r>
    </w:p>
    <w:p w:rsidR="00D90A18" w:rsidP="00750824" w:rsidRDefault="00D90A18" w14:paraId="74B99256" w14:textId="77777777">
      <w:pPr>
        <w:jc w:val="both"/>
      </w:pPr>
    </w:p>
    <w:p w:rsidR="00983F19" w:rsidP="00750824" w:rsidRDefault="00000000" w14:paraId="0E2FD3E6" w14:textId="6CE0F423">
      <w:pPr>
        <w:jc w:val="both"/>
      </w:pPr>
      <w:r w:rsidR="00A16E80">
        <w:t xml:space="preserve">Article</w:t>
      </w:r>
      <w:r>
        <w:t xml:space="preserve"> 3 requires that persons carrying out </w:t>
      </w:r>
      <w:r>
        <w:t xml:space="preserve">platform </w:t>
      </w:r>
      <w:r>
        <w:t xml:space="preserve">work through an intermediary enjoy </w:t>
      </w:r>
      <w:r w:rsidR="00A16E80">
        <w:t xml:space="preserve">exactly </w:t>
      </w:r>
      <w:r>
        <w:t xml:space="preserve">the same level of protection as those in a direct contractual relationship with the platform. Member States must establish appropriate mechanisms, including</w:t>
      </w:r>
      <w:r w:rsidR="00A16E80">
        <w:t xml:space="preserve">, </w:t>
      </w:r>
      <w:r>
        <w:t xml:space="preserve">where appropriate</w:t>
      </w:r>
      <w:r w:rsidR="00A16E80">
        <w:t xml:space="preserve">, </w:t>
      </w:r>
      <w:r>
        <w:t xml:space="preserve">joint </w:t>
      </w:r>
      <w:r>
        <w:t xml:space="preserve">and </w:t>
      </w:r>
      <w:r>
        <w:t xml:space="preserve">several </w:t>
      </w:r>
      <w:r>
        <w:t xml:space="preserve">liability</w:t>
      </w:r>
      <w:r>
        <w:t xml:space="preserve">. </w:t>
      </w:r>
      <w:r>
        <w:t xml:space="preserve">The</w:t>
      </w:r>
      <w:r>
        <w:t xml:space="preserve"> phrase </w:t>
      </w:r>
      <w:r w:rsidR="00A16E80">
        <w:t xml:space="preserve">‘</w:t>
      </w:r>
      <w:r>
        <w:t xml:space="preserve">where </w:t>
      </w:r>
      <w:r w:rsidR="00A16E80">
        <w:t xml:space="preserve">appropriate’ </w:t>
      </w:r>
      <w:r w:rsidR="00792F1C">
        <w:t xml:space="preserve">is </w:t>
      </w:r>
      <w:r>
        <w:t xml:space="preserve">an open-ended clause: the directive </w:t>
      </w:r>
      <w:r>
        <w:t xml:space="preserve">does not impose </w:t>
      </w:r>
      <w:r w:rsidR="00A25A76">
        <w:t xml:space="preserve">joint and several </w:t>
      </w:r>
      <w:r>
        <w:t xml:space="preserve">liability unconditionally, but leaves it to the discretion of the Member States. This is one of the key shortcomings that must be addressed during transposition.</w:t>
      </w:r>
    </w:p>
    <w:p w:rsidR="00D90A18" w:rsidP="00750824" w:rsidRDefault="00D90A18" w14:paraId="5BE0CC56" w14:textId="77777777">
      <w:pPr>
        <w:jc w:val="both"/>
      </w:pPr>
    </w:p>
    <w:p w:rsidR="00983F19" w:rsidP="00750824" w:rsidRDefault="00000000" w14:paraId="5A0BD868" w14:textId="77777777">
      <w:pPr>
        <w:pStyle w:val="Naslov2"/>
        <w:jc w:val="both"/>
      </w:pPr>
      <w:bookmarkStart w:name="_Toc233699482" w:id="8"/>
      <w:r>
        <w:t xml:space="preserve">2.2 Findings from practice</w:t>
      </w:r>
      <w:bookmarkEnd w:id="8"/>
    </w:p>
    <w:p w:rsidR="00983F19" w:rsidP="00750824" w:rsidRDefault="00000000" w14:paraId="1379ED78" w14:textId="0D5B2637">
      <w:pPr>
        <w:jc w:val="both"/>
      </w:pPr>
      <w:r>
        <w:t xml:space="preserve">Experience from the partner countries of the SDDP project reveals three structural patterns of circumvention </w:t>
      </w:r>
      <w:r w:rsidR="000052A5">
        <w:t xml:space="preserve">of the provisions, which are also defined in </w:t>
      </w:r>
      <w:r>
        <w:t xml:space="preserve">the Directive </w:t>
      </w:r>
      <w:r w:rsidR="000052A5">
        <w:t xml:space="preserve">and </w:t>
      </w:r>
      <w:r>
        <w:t xml:space="preserve">are directly relevant to the interpretation and transposition of Articles 1 to 3.</w:t>
      </w:r>
    </w:p>
    <w:p w:rsidR="00D90A18" w:rsidP="00750824" w:rsidRDefault="00D90A18" w14:paraId="4797C659" w14:textId="77777777">
      <w:pPr>
        <w:jc w:val="both"/>
      </w:pPr>
    </w:p>
    <w:p w:rsidR="00983F19" w:rsidP="00750824" w:rsidRDefault="00000000" w14:paraId="24A10F30" w14:textId="49A6EB71">
      <w:pPr>
        <w:jc w:val="both"/>
      </w:pPr>
      <w:r>
        <w:rPr>
          <w:b/>
          <w:bCs/>
        </w:rPr>
        <w:t xml:space="preserve">Sectoral classification as a means of circumvention.</w:t>
      </w:r>
      <w:r>
        <w:t xml:space="preserve"> </w:t>
      </w:r>
      <w:r w:rsidR="000052A5">
        <w:t xml:space="preserve">The Belgian case is particularly illustrative in this regard</w:t>
      </w:r>
      <w:r>
        <w:t xml:space="preserve">. Takeaway.com registered for a limited period as an advertising company rather than as a food delivery platform</w:t>
      </w:r>
      <w:r w:rsidR="000052A5">
        <w:t xml:space="preserve">, </w:t>
      </w:r>
      <w:r>
        <w:t xml:space="preserve">thereby seeking to prevent the labour law obligations arising from sectoral classification from applying to it. The Directive precludes this strategy: as it assesses the specific service rather than the sector in </w:t>
      </w:r>
      <w:r w:rsidR="006F2B87">
        <w:t xml:space="preserve">which </w:t>
      </w:r>
      <w:r>
        <w:t xml:space="preserve">the company is officially registered, the legal form or classification in the commercial register cannot be decisive. Laws that would permit circumvention via registration classification do not comply with the Directive.</w:t>
      </w:r>
    </w:p>
    <w:p w:rsidR="00D90A18" w:rsidP="00750824" w:rsidRDefault="00D90A18" w14:paraId="51D06985" w14:textId="77777777">
      <w:pPr>
        <w:jc w:val="both"/>
      </w:pPr>
    </w:p>
    <w:p w:rsidR="00983F19" w:rsidP="00750824" w:rsidRDefault="00000000" w14:paraId="436CFF4A" w14:textId="116E3461">
      <w:pPr>
        <w:jc w:val="both"/>
      </w:pPr>
      <w:r>
        <w:rPr>
          <w:b/>
          <w:bCs/>
        </w:rPr>
        <w:t xml:space="preserve">The fleet system as a structural mechanism of intermediation. </w:t>
      </w:r>
      <w:r>
        <w:t xml:space="preserve">An analysis of 91 platforms in partner countries shows that the fleet system is present in at least 41 of them – this is not an exception, but part of the business model. </w:t>
      </w:r>
      <w:r>
        <w:t xml:space="preserve">Uber </w:t>
      </w:r>
      <w:r>
        <w:t xml:space="preserve">Eats </w:t>
      </w:r>
      <w:r>
        <w:t xml:space="preserve">in Germany is a telling example: delivery drivers work through subcontractors who take up to 35 per cent of their earnings, in addition to a </w:t>
      </w:r>
      <w:r>
        <w:t xml:space="preserve">‘</w:t>
      </w:r>
      <w:r>
        <w:lastRenderedPageBreak/>
      </w:r>
      <w:r>
        <w:t xml:space="preserve"> ’</w:t>
      </w:r>
      <w:r>
        <w:t xml:space="preserve"> fee </w:t>
      </w:r>
      <w:r>
        <w:t xml:space="preserve">of up to 500 euros. The experiences in Croatia and Serbia with </w:t>
      </w:r>
      <w:r>
        <w:t xml:space="preserve">‘shell </w:t>
      </w:r>
      <w:r>
        <w:t xml:space="preserve">companies’ are an extreme example of this pattern</w:t>
      </w:r>
      <w:r w:rsidR="00A60485">
        <w:t xml:space="preserve">: </w:t>
      </w:r>
      <w:r>
        <w:t xml:space="preserve">when a subcontractor closes down the company, workers are left without legal protection and with </w:t>
      </w:r>
      <w:r w:rsidR="00A60485">
        <w:t xml:space="preserve">no </w:t>
      </w:r>
      <w:r w:rsidR="00A60485">
        <w:t xml:space="preserve">means by which </w:t>
      </w:r>
      <w:r>
        <w:t xml:space="preserve">they can assert their rights. The Spanish experience following the introduction </w:t>
      </w:r>
      <w:r>
        <w:t xml:space="preserve">of </w:t>
      </w:r>
      <w:r>
        <w:t xml:space="preserve">the ‘Ley </w:t>
      </w:r>
      <w:r w:rsidR="00A60485">
        <w:t xml:space="preserve">Rider’ </w:t>
      </w:r>
      <w:r>
        <w:t xml:space="preserve">(Delivery Drivers Act</w:t>
      </w:r>
      <w:r>
        <w:t xml:space="preserve">) in 2021 has shown that, immediately after the regulation came into force, platforms switched en masse to a fleet-based system. The Directive is </w:t>
      </w:r>
      <w:r>
        <w:t xml:space="preserve">likely to trigger </w:t>
      </w:r>
      <w:r w:rsidR="00A60485">
        <w:t xml:space="preserve">a similar response </w:t>
      </w:r>
      <w:r>
        <w:t xml:space="preserve">in places where intermediary systems are not adequately regulated.</w:t>
      </w:r>
    </w:p>
    <w:p w:rsidR="00D90A18" w:rsidP="00750824" w:rsidRDefault="00D90A18" w14:paraId="478A89E8" w14:textId="77777777">
      <w:pPr>
        <w:jc w:val="both"/>
      </w:pPr>
    </w:p>
    <w:p w:rsidR="00983F19" w:rsidP="00750824" w:rsidRDefault="00000000" w14:paraId="28D962D3" w14:textId="0E4A0B63">
      <w:pPr>
        <w:jc w:val="both"/>
      </w:pPr>
      <w:r>
        <w:rPr>
          <w:b/>
          <w:bCs/>
        </w:rPr>
        <w:t xml:space="preserve">Account leasing in the grey area.</w:t>
      </w:r>
      <w:r>
        <w:t xml:space="preserve"> In practice, it happens that the holder of an account with a platform transfers that account to another person</w:t>
      </w:r>
      <w:r w:rsidR="00A60485">
        <w:t xml:space="preserve">, </w:t>
      </w:r>
      <w:r>
        <w:t xml:space="preserve">often </w:t>
      </w:r>
      <w:r w:rsidR="00A60485">
        <w:t xml:space="preserve">a </w:t>
      </w:r>
      <w:r w:rsidR="00A60485">
        <w:t xml:space="preserve">migrant </w:t>
      </w:r>
      <w:r w:rsidR="00A60485">
        <w:t xml:space="preserve">worker </w:t>
      </w:r>
      <w:r>
        <w:t xml:space="preserve">without </w:t>
      </w:r>
      <w:r w:rsidR="00A60485">
        <w:t xml:space="preserve">proper </w:t>
      </w:r>
      <w:r>
        <w:t xml:space="preserve">documentation. The EC’s expert group has clarified </w:t>
      </w:r>
      <w:r w:rsidR="00A60485">
        <w:t xml:space="preserve">that </w:t>
      </w:r>
      <w:r>
        <w:t xml:space="preserve">where the purpose of this transfer is specifically to carry out </w:t>
      </w:r>
      <w:r>
        <w:t xml:space="preserve">platform </w:t>
      </w:r>
      <w:r>
        <w:t xml:space="preserve">work and the platform is aware of this or permits it, this constitutes intermediation </w:t>
      </w:r>
      <w:r w:rsidR="00A60485">
        <w:t xml:space="preserve">as defined by the Directive</w:t>
      </w:r>
      <w:r>
        <w:t xml:space="preserve">. However, where the platform is unaware of the subletting and does not authorise it, the subtenant is not formally considered a PPPW</w:t>
      </w:r>
      <w:r w:rsidR="00A60485">
        <w:t xml:space="preserve">; </w:t>
      </w:r>
      <w:r>
        <w:t xml:space="preserve">the Directive encourages Member States to protect these individuals through their own measures.</w:t>
      </w:r>
    </w:p>
    <w:p w:rsidR="00D90A18" w:rsidP="00750824" w:rsidRDefault="00D90A18" w14:paraId="36B0EE74" w14:textId="77777777">
      <w:pPr>
        <w:jc w:val="both"/>
      </w:pPr>
    </w:p>
    <w:p w:rsidR="00983F19" w:rsidP="00750824" w:rsidRDefault="00000000" w14:paraId="3CB89BA7" w14:textId="673BFC82">
      <w:pPr>
        <w:jc w:val="both"/>
      </w:pPr>
      <w:r>
        <w:t xml:space="preserve">At the SDDP project’s interim conference in Ljubljana in May 2025</w:t>
      </w:r>
      <w:r w:rsidR="00A60485">
        <w:t xml:space="preserve">,</w:t>
      </w:r>
      <w:r>
        <w:t xml:space="preserve"> the joint conclusion of all partners was </w:t>
      </w:r>
      <w:r w:rsidR="00A60485">
        <w:t xml:space="preserve">that </w:t>
      </w:r>
      <w:r>
        <w:t xml:space="preserve">the definitions in the Directive </w:t>
      </w:r>
      <w:r w:rsidR="00A60485">
        <w:t xml:space="preserve">are </w:t>
      </w:r>
      <w:r>
        <w:t xml:space="preserve">broad enough to cover all relevant cases, but it is precisely this breadth that requires national legislation to </w:t>
      </w:r>
      <w:r>
        <w:t xml:space="preserve">operationalise </w:t>
      </w:r>
      <w:r>
        <w:t xml:space="preserve">them </w:t>
      </w:r>
      <w:r w:rsidR="00A60485">
        <w:t xml:space="preserve">precisely</w:t>
      </w:r>
      <w:r w:rsidR="00A60485">
        <w:t xml:space="preserve">; </w:t>
      </w:r>
      <w:r>
        <w:t xml:space="preserve">otherwise</w:t>
      </w:r>
      <w:r w:rsidR="00A60485">
        <w:t xml:space="preserve">,</w:t>
      </w:r>
      <w:r>
        <w:t xml:space="preserve"> the platforms will </w:t>
      </w:r>
      <w:r>
        <w:t xml:space="preserve">fill </w:t>
      </w:r>
      <w:r w:rsidR="00A60485">
        <w:t xml:space="preserve">the gap </w:t>
      </w:r>
      <w:r>
        <w:t xml:space="preserve">with their own interpretations</w:t>
      </w:r>
      <w:r w:rsidR="00A60485">
        <w:t xml:space="preserve">, through which they will attempt to evade responsibility</w:t>
      </w:r>
      <w:r>
        <w:t xml:space="preserve">.</w:t>
      </w:r>
    </w:p>
    <w:p w:rsidR="00D90A18" w:rsidP="00750824" w:rsidRDefault="00D90A18" w14:paraId="11382266" w14:textId="77777777">
      <w:pPr>
        <w:jc w:val="both"/>
      </w:pPr>
    </w:p>
    <w:p w:rsidR="00983F19" w:rsidP="00750824" w:rsidRDefault="00000000" w14:paraId="318C5688" w14:textId="15F944CC">
      <w:pPr>
        <w:jc w:val="both"/>
      </w:pPr>
      <w:r>
        <w:t xml:space="preserve">Particular attention should </w:t>
      </w:r>
      <w:r w:rsidR="00A60485">
        <w:t xml:space="preserve">also </w:t>
      </w:r>
      <w:r>
        <w:t xml:space="preserve">be paid to </w:t>
      </w:r>
      <w:r>
        <w:t xml:space="preserve">the claims put forward by the platforms themselves in negotiations </w:t>
      </w:r>
      <w:r w:rsidR="00A60485">
        <w:t xml:space="preserve">with social partners </w:t>
      </w:r>
      <w:r>
        <w:t xml:space="preserve">and </w:t>
      </w:r>
      <w:r w:rsidR="00A60485">
        <w:t xml:space="preserve">in </w:t>
      </w:r>
      <w:r>
        <w:t xml:space="preserve">proceedings before national authorities. The management of some platforms – including</w:t>
      </w:r>
      <w:r w:rsidR="00A60485">
        <w:t xml:space="preserve">, for example</w:t>
      </w:r>
      <w:r>
        <w:t xml:space="preserve">,</w:t>
      </w:r>
      <w:r w:rsidR="00A60485">
        <w:t xml:space="preserve"> </w:t>
      </w:r>
      <w:r>
        <w:t xml:space="preserve">Wolt </w:t>
      </w:r>
      <w:r>
        <w:t xml:space="preserve">in its negotiations with Slovenian trade unions – regularly assert that certain obligations under the Directive do not apply to them or that certain authorities are not competent to assess their business model. The Directive does not allow for such arguments: jurisdiction is determined by the place where the work is carried out, not by the location of the platform’s registered office.</w:t>
      </w:r>
    </w:p>
    <w:p w:rsidR="00D90A18" w:rsidP="00750824" w:rsidRDefault="00D90A18" w14:paraId="6FE07113" w14:textId="77777777">
      <w:pPr>
        <w:jc w:val="both"/>
      </w:pPr>
    </w:p>
    <w:p w:rsidR="00983F19" w:rsidP="00750824" w:rsidRDefault="00000000" w14:paraId="105EE5A9" w14:textId="007C3416">
      <w:pPr>
        <w:jc w:val="both"/>
      </w:pPr>
      <w:r>
        <w:t xml:space="preserve">However, there remains a loophole that the Directive does not address: what happens when a European platform applies double standards </w:t>
      </w:r>
      <w:r w:rsidR="00A60485">
        <w:t xml:space="preserve">– </w:t>
      </w:r>
      <w:r>
        <w:t xml:space="preserve">complying with the rules within the EU but not outside it? </w:t>
      </w:r>
      <w:r>
        <w:t xml:space="preserve">Glovo</w:t>
      </w:r>
      <w:r>
        <w:t xml:space="preserve">, whose majority owner is </w:t>
      </w:r>
      <w:r>
        <w:t xml:space="preserve">Delivery </w:t>
      </w:r>
      <w:r>
        <w:t xml:space="preserve">Hero</w:t>
      </w:r>
      <w:r>
        <w:t xml:space="preserve">, based in Germany, operates in several developing countries: Morocco, Ghana, Kazakhstan, Peru and elsewhere. The working conditions of delivery drivers in these countries often fall significantly short of the standards that the directive would require within the EU. As the platform is European-owned and financed by European capital, this raises a question not addressed by the current directive: should the EU enforce at least minimum standards for workers employed by European platforms outside its territory? This is </w:t>
      </w:r>
      <w:r w:rsidR="00A60485">
        <w:t xml:space="preserve">a matter of competence </w:t>
      </w:r>
      <w:r w:rsidR="00A60485">
        <w:t xml:space="preserve">not defined </w:t>
      </w:r>
      <w:r w:rsidR="00A60485">
        <w:t xml:space="preserve">by </w:t>
      </w:r>
      <w:r>
        <w:t xml:space="preserve">the current directive</w:t>
      </w:r>
      <w:r>
        <w:t xml:space="preserve">.</w:t>
      </w:r>
    </w:p>
    <w:p w:rsidR="00D90A18" w:rsidP="00750824" w:rsidRDefault="00D90A18" w14:paraId="239D2C55" w14:textId="77777777">
      <w:pPr>
        <w:jc w:val="both"/>
      </w:pPr>
    </w:p>
    <w:p w:rsidR="00983F19" w:rsidP="00750824" w:rsidRDefault="00000000" w14:paraId="5FBA8B99" w14:textId="77777777">
      <w:pPr>
        <w:pStyle w:val="Naslov2"/>
        <w:jc w:val="both"/>
      </w:pPr>
      <w:bookmarkStart w:name="_Toc233699483" w:id="9"/>
      <w:r>
        <w:t xml:space="preserve">2.3 Recommendations</w:t>
      </w:r>
      <w:bookmarkEnd w:id="9"/>
    </w:p>
    <w:p w:rsidR="00983F19" w:rsidP="00750824" w:rsidRDefault="00000000" w14:paraId="128A5ACE" w14:textId="1BF77777">
      <w:pPr>
        <w:jc w:val="both"/>
      </w:pPr>
      <w:r>
        <w:t xml:space="preserve">The following recommendations are addressed to the ministries </w:t>
      </w:r>
      <w:r w:rsidR="00A60485">
        <w:t xml:space="preserve">responsible for implementing </w:t>
      </w:r>
      <w:r w:rsidR="00A60485">
        <w:t xml:space="preserve">the Directive in </w:t>
      </w:r>
      <w:r>
        <w:t xml:space="preserve">EU Member </w:t>
      </w:r>
      <w:r>
        <w:t xml:space="preserve">States </w:t>
      </w:r>
      <w:r>
        <w:t xml:space="preserve">and to the social partners in the context of the Directive’s transposition. They are based on the normative requirements of the Directive and the experiences of the partner countries in the SDDP project. Each recommendation is marked with a level of ambition: [DIRECTIVE] means that this is a requirement imposed by the Directive and must be transposed into law; [EXCEEDS THE MINIMUM] means that the recommendation goes beyond the minimum requirements of the Directive but is legally permissible under Article 26(2);</w:t>
      </w:r>
      <w:r>
        <w:lastRenderedPageBreak/>
      </w:r>
      <w:r>
        <w:t xml:space="preserve"> [</w:t>
      </w:r>
      <w:r>
        <w:t xml:space="preserve">AMBITIOUS] means that the recommendation goes beyond the framework of the directive </w:t>
      </w:r>
      <w:r w:rsidR="00A60485">
        <w:t xml:space="preserve">to provide an even higher level of protection for workers, </w:t>
      </w:r>
      <w:r w:rsidR="00A60485">
        <w:t xml:space="preserve">or that </w:t>
      </w:r>
      <w:r>
        <w:t xml:space="preserve">it is intended to be reviewed in 2029.</w:t>
      </w:r>
    </w:p>
    <w:p w:rsidR="00D90A18" w:rsidP="00750824" w:rsidRDefault="00D90A18" w14:paraId="60CA4BBA" w14:textId="77777777">
      <w:pPr>
        <w:jc w:val="both"/>
      </w:pPr>
    </w:p>
    <w:p w:rsidR="00983F19" w:rsidP="00750824" w:rsidRDefault="00000000" w14:paraId="4BC815EE" w14:textId="77777777">
      <w:pPr>
        <w:pStyle w:val="Naslov3"/>
        <w:jc w:val="both"/>
      </w:pPr>
      <w:r>
        <w:t xml:space="preserve">Recommendation 2.1 [DIRECTIVE]: Sector-neutral definition of a digital labour platform</w:t>
      </w:r>
    </w:p>
    <w:p w:rsidR="00983F19" w:rsidP="00750824" w:rsidRDefault="00000000" w14:paraId="55FE32DC" w14:textId="3182B3FD">
      <w:pPr>
        <w:jc w:val="both"/>
      </w:pPr>
      <w:r>
        <w:t xml:space="preserve">National laws must transpose the definition of a digital labour platform without sector-specific exceptions or restrictions. No sector – transport, delivery, cleaning, IT, healthcare or </w:t>
      </w:r>
      <w:r>
        <w:t xml:space="preserve">micro-tasks </w:t>
      </w:r>
      <w:r>
        <w:t xml:space="preserve">– is or should be excluded in advance. The assessment of whether an entity meets the definition of a digital labour platform must be based on the specific service and its role in the organisation of work, rather than on sectoral classification in the business register or tax categorisation. We recommend that the ministries include an explicit provision in the legislation prohibiting the use of registration classification as a ground for exclusion from the scope of the directive. </w:t>
      </w:r>
    </w:p>
    <w:p w:rsidR="00792F1C" w:rsidP="00750824" w:rsidRDefault="00792F1C" w14:paraId="1D09979B" w14:textId="77777777">
      <w:pPr>
        <w:jc w:val="both"/>
      </w:pPr>
    </w:p>
    <w:p w:rsidR="00983F19" w:rsidP="00750824" w:rsidRDefault="00000000" w14:paraId="13F2153D" w14:textId="697CE53C">
      <w:pPr>
        <w:pStyle w:val="Blokbesedila"/>
      </w:pPr>
      <w:r>
        <w:t xml:space="preserve">Background: The Belgian case of Takeaway.com illustrates how an advertising company’s registration category becomes a pretext for circumventing labour law obligations. The EC’s expert group has confirmed that the assessment must always be based on </w:t>
      </w:r>
      <w:r w:rsidR="00A60485">
        <w:t xml:space="preserve">the</w:t>
      </w:r>
      <w:r>
        <w:t xml:space="preserve"> service </w:t>
      </w:r>
      <w:r w:rsidR="00A60485">
        <w:t xml:space="preserve">the company provides, </w:t>
      </w:r>
      <w:r>
        <w:t xml:space="preserve">not on the sector </w:t>
      </w:r>
      <w:r w:rsidR="00A60485">
        <w:t xml:space="preserve">in which it officially operates</w:t>
      </w:r>
      <w:r>
        <w:t xml:space="preserve">.</w:t>
      </w:r>
    </w:p>
    <w:p w:rsidR="00D90A18" w:rsidP="00750824" w:rsidRDefault="00D90A18" w14:paraId="49258D8A" w14:textId="77777777">
      <w:pPr>
        <w:jc w:val="both"/>
      </w:pPr>
    </w:p>
    <w:p w:rsidR="00983F19" w:rsidP="00750824" w:rsidRDefault="00000000" w14:paraId="40B3D2CE" w14:textId="77777777">
      <w:pPr>
        <w:pStyle w:val="Naslov3"/>
        <w:jc w:val="both"/>
      </w:pPr>
      <w:r>
        <w:t xml:space="preserve">Recommendation 2.2 [DIRECTIVE]: Explicit regulation of the fleet system and intermediary chains</w:t>
      </w:r>
    </w:p>
    <w:p w:rsidR="00983F19" w:rsidP="00750824" w:rsidRDefault="00000000" w14:paraId="4DAB0359" w14:textId="1C4B87AA">
      <w:pPr>
        <w:jc w:val="both"/>
      </w:pPr>
      <w:r>
        <w:t xml:space="preserve">National laws must clarify the definition of an intermediary so that it explicitly covers all forms of the fleet system, including multi-tier </w:t>
      </w:r>
      <w:r>
        <w:t xml:space="preserve">subcontracting </w:t>
      </w:r>
      <w:r>
        <w:t xml:space="preserve">chains. The law must stipulate that any entity</w:t>
      </w:r>
      <w:r w:rsidR="00A60485">
        <w:t xml:space="preserve">, </w:t>
      </w:r>
      <w:r>
        <w:t xml:space="preserve">whether a natural or legal person</w:t>
      </w:r>
      <w:r w:rsidR="00A60485">
        <w:t xml:space="preserve">, </w:t>
      </w:r>
      <w:r w:rsidR="00A60485">
        <w:t xml:space="preserve">whose </w:t>
      </w:r>
      <w:r>
        <w:t xml:space="preserve">purpose </w:t>
      </w:r>
      <w:r w:rsidR="00A60485">
        <w:t xml:space="preserve">is </w:t>
      </w:r>
      <w:r>
        <w:t xml:space="preserve">to organise or act as an intermediary for </w:t>
      </w:r>
      <w:r>
        <w:t xml:space="preserve">platform </w:t>
      </w:r>
      <w:r>
        <w:t xml:space="preserve">work, </w:t>
      </w:r>
      <w:r>
        <w:t xml:space="preserve">is </w:t>
      </w:r>
      <w:r>
        <w:t xml:space="preserve">an intermediary. The provision of an account authorised or permitted by the platform is considered to constitute intermediation. We recommend that ministries establish a publicly accessible register of intermediaries operating on behalf of platforms.</w:t>
      </w:r>
    </w:p>
    <w:p w:rsidR="00D90A18" w:rsidP="00750824" w:rsidRDefault="00D90A18" w14:paraId="34AC575B" w14:textId="77777777">
      <w:pPr>
        <w:jc w:val="both"/>
      </w:pPr>
    </w:p>
    <w:p w:rsidR="00D90A18" w:rsidP="00750824" w:rsidRDefault="00000000" w14:paraId="52A018B9" w14:textId="5D50A1D9">
      <w:pPr>
        <w:pStyle w:val="Blokbesedila"/>
      </w:pPr>
      <w:r>
        <w:t xml:space="preserve">Background: A fleet system is present in at least 41 of the 91 platforms analysed. </w:t>
      </w:r>
      <w:r>
        <w:t xml:space="preserve">Uber </w:t>
      </w:r>
      <w:r>
        <w:t xml:space="preserve">Eats </w:t>
      </w:r>
      <w:r>
        <w:t xml:space="preserve">Germany, experiences with ‘shell companies’ in Croatia and Serbia, and the Spanish experience under the Delivery Riders Act (</w:t>
      </w:r>
      <w:r>
        <w:t xml:space="preserve">Ley </w:t>
      </w:r>
      <w:r>
        <w:t xml:space="preserve">Rider</w:t>
      </w:r>
      <w:r>
        <w:t xml:space="preserve">) are documented examples of how platforms use intermediaries to transfer legal risk to workers </w:t>
      </w:r>
      <w:r w:rsidR="00A60485">
        <w:t xml:space="preserve">and/or to intermediary companies</w:t>
      </w:r>
      <w:r>
        <w:t xml:space="preserve">.</w:t>
      </w:r>
    </w:p>
    <w:p w:rsidR="00D90A18" w:rsidP="00750824" w:rsidRDefault="00D90A18" w14:paraId="62E142CD" w14:textId="77777777">
      <w:pPr>
        <w:jc w:val="both"/>
      </w:pPr>
    </w:p>
    <w:p w:rsidR="00983F19" w:rsidP="00750824" w:rsidRDefault="00000000" w14:paraId="76CCAB41" w14:textId="09B6CB43">
      <w:pPr>
        <w:pStyle w:val="Naslov3"/>
        <w:jc w:val="both"/>
      </w:pPr>
      <w:r>
        <w:t xml:space="preserve">Recommendation 2.3 [EXCEEDS THE MINIMUM]: </w:t>
      </w:r>
      <w:r w:rsidR="00A25A76">
        <w:t xml:space="preserve">Joint and several </w:t>
      </w:r>
      <w:r>
        <w:t xml:space="preserve">liability as </w:t>
      </w:r>
      <w:r w:rsidR="00A60485">
        <w:t xml:space="preserve">a</w:t>
      </w:r>
      <w:r>
        <w:t xml:space="preserve"> legal </w:t>
      </w:r>
      <w:r w:rsidR="00A60485">
        <w:t xml:space="preserve">requirement</w:t>
      </w:r>
      <w:r>
        <w:t xml:space="preserve">, not merely an option</w:t>
      </w:r>
    </w:p>
    <w:p w:rsidR="00983F19" w:rsidP="00750824" w:rsidRDefault="00000000" w14:paraId="24D2D553" w14:textId="13267CCE">
      <w:pPr>
        <w:jc w:val="both"/>
      </w:pPr>
      <w:r>
        <w:t xml:space="preserve">Article 3 of the Directive requires that workers </w:t>
      </w:r>
      <w:r w:rsidR="00A60485">
        <w:t xml:space="preserve">who </w:t>
      </w:r>
      <w:r w:rsidR="00A60485">
        <w:t xml:space="preserve">carry out</w:t>
      </w:r>
      <w:r w:rsidR="00A60485">
        <w:t xml:space="preserve"> work </w:t>
      </w:r>
      <w:r>
        <w:t xml:space="preserve">through intermediaries </w:t>
      </w:r>
      <w:r>
        <w:t xml:space="preserve">enjoy the same level of protection. </w:t>
      </w:r>
      <w:r w:rsidR="00A25A76">
        <w:t xml:space="preserve">Joint and several </w:t>
      </w:r>
      <w:r>
        <w:t xml:space="preserve">liability of the platform and the intermediary </w:t>
      </w:r>
      <w:r>
        <w:t xml:space="preserve">is </w:t>
      </w:r>
      <w:r w:rsidR="00A60485">
        <w:t xml:space="preserve">an essential tool </w:t>
      </w:r>
      <w:r>
        <w:t xml:space="preserve">for achieving this objective</w:t>
      </w:r>
      <w:r>
        <w:t xml:space="preserve">. The wording </w:t>
      </w:r>
      <w:r>
        <w:t xml:space="preserve">‘where </w:t>
      </w:r>
      <w:r w:rsidR="00320506">
        <w:t xml:space="preserve">appropriate’ </w:t>
      </w:r>
      <w:r>
        <w:t xml:space="preserve">constitutes a minimum standard </w:t>
      </w:r>
      <w:r w:rsidR="00320506">
        <w:t xml:space="preserve">and </w:t>
      </w:r>
      <w:r>
        <w:t xml:space="preserve">does</w:t>
      </w:r>
      <w:r w:rsidR="00320506">
        <w:t xml:space="preserve"> not </w:t>
      </w:r>
      <w:r>
        <w:t xml:space="preserve">preclude stricter regulation. We recommend that the ministries </w:t>
      </w:r>
      <w:r>
        <w:t xml:space="preserve">establish </w:t>
      </w:r>
      <w:r w:rsidR="00A25A76">
        <w:t xml:space="preserve">joint and several </w:t>
      </w:r>
      <w:r>
        <w:t xml:space="preserve">liability as a legal presumption: the platform and the intermediary are </w:t>
      </w:r>
      <w:r w:rsidR="00A25A76">
        <w:t xml:space="preserve">jointly and severally </w:t>
      </w:r>
      <w:r>
        <w:t xml:space="preserve">liable for all obligations under the Directive, unless the platform proves that the existence of an employment relationship lies beyond its control. </w:t>
      </w:r>
      <w:r w:rsidR="00320506">
        <w:t xml:space="preserve">Joint and several </w:t>
      </w:r>
      <w:r>
        <w:t xml:space="preserve">liability must cover at least pay, </w:t>
      </w:r>
      <w:r w:rsidR="00320506">
        <w:t xml:space="preserve">work-related </w:t>
      </w:r>
      <w:r>
        <w:t xml:space="preserve">contributions </w:t>
      </w:r>
      <w:r>
        <w:t xml:space="preserve">and the right to organise.</w:t>
      </w:r>
    </w:p>
    <w:p w:rsidR="00D90A18" w:rsidP="00750824" w:rsidRDefault="00D90A18" w14:paraId="474E9C9B" w14:textId="77777777">
      <w:pPr>
        <w:jc w:val="both"/>
      </w:pPr>
    </w:p>
    <w:p w:rsidR="00983F19" w:rsidP="00750824" w:rsidRDefault="00000000" w14:paraId="2DDABCC7" w14:textId="44C2EF04">
      <w:pPr>
        <w:pStyle w:val="Blokbesedila"/>
      </w:pPr>
      <w:r>
        <w:lastRenderedPageBreak/>
      </w:r>
      <w:r>
        <w:t xml:space="preserve">Background: The EC’s expert group has clarified that </w:t>
      </w:r>
      <w:r w:rsidR="00A25A76">
        <w:t xml:space="preserve">joint and several </w:t>
      </w:r>
      <w:r>
        <w:t xml:space="preserve">liability is not mandatory in all cases, but is appropriate whenever, without it, a worker would be forced to assert their rights against an entity with which they have no direct contract. Experience with ‘letterbox companies’ shows that, when a subcontractor closes down, workers are left without any protection whatsoever. The draft collective agreement between ZSSS and the Mladi plus trade union for </w:t>
      </w:r>
      <w:r>
        <w:t xml:space="preserve">Wolt </w:t>
      </w:r>
      <w:r>
        <w:t xml:space="preserve">Slovenia contains </w:t>
      </w:r>
      <w:r>
        <w:t xml:space="preserve">a contractual and legal ban on the fleet system, with a penalty clause of EUR 5,000 per worker – this is a model that should be supported through legislation.</w:t>
      </w:r>
    </w:p>
    <w:p w:rsidR="00983F19" w:rsidP="00750824" w:rsidRDefault="00000000" w14:paraId="3B88E94C" w14:textId="0AAD5ED6">
      <w:pPr>
        <w:pStyle w:val="Naslov3"/>
        <w:jc w:val="both"/>
      </w:pPr>
      <w:r>
        <w:t xml:space="preserve">Recommendation 2.4 [EXCEEDS THE MINIMUM]: </w:t>
      </w:r>
      <w:r>
        <w:t xml:space="preserve">Real-time monitoring of intermediary chains via ELA</w:t>
      </w:r>
    </w:p>
    <w:p w:rsidR="00983F19" w:rsidP="00750824" w:rsidRDefault="00000000" w14:paraId="0E6ADBA2" w14:textId="496AC0C6">
      <w:pPr>
        <w:jc w:val="both"/>
      </w:pPr>
      <w:r>
        <w:t xml:space="preserve">In accordance with the SDDP Social Partners’ Protocol, we recommend that Member States require platforms to establish digital access for supervisory authorities and </w:t>
      </w:r>
      <w:r>
        <w:t xml:space="preserve">the</w:t>
      </w:r>
      <w:r>
        <w:t xml:space="preserve"> </w:t>
      </w:r>
      <w:r>
        <w:t xml:space="preserve">European</w:t>
      </w:r>
      <w:r>
        <w:t xml:space="preserve"> </w:t>
      </w:r>
      <w:r>
        <w:t xml:space="preserve">Labour</w:t>
      </w:r>
      <w:r>
        <w:t xml:space="preserve"> </w:t>
      </w:r>
      <w:r>
        <w:t xml:space="preserve">Authority</w:t>
      </w:r>
      <w:r>
        <w:t xml:space="preserve"> </w:t>
      </w:r>
      <w:r w:rsidR="00FD0595">
        <w:t xml:space="preserve">(ELA</w:t>
      </w:r>
      <w:r>
        <w:t xml:space="preserve">), which </w:t>
      </w:r>
      <w:r>
        <w:t xml:space="preserve">displays, </w:t>
      </w:r>
      <w:r>
        <w:t xml:space="preserve">in real time and </w:t>
      </w:r>
      <w:r>
        <w:t xml:space="preserve">in anonymised form</w:t>
      </w:r>
      <w:r>
        <w:t xml:space="preserve">, the number of active workers, the subcontractors involved and aggregated data on payments. The platform </w:t>
      </w:r>
      <w:r w:rsidR="00FD0595">
        <w:t xml:space="preserve">should </w:t>
      </w:r>
      <w:r>
        <w:t xml:space="preserve">submit an initial register within</w:t>
      </w:r>
      <w:r w:rsidR="00FD0595">
        <w:t xml:space="preserve"> 60 </w:t>
      </w:r>
      <w:r>
        <w:t xml:space="preserve">days of the implementing legislation coming into force and update it monthly. The Inspectorate </w:t>
      </w:r>
      <w:r w:rsidR="00FD0595">
        <w:t xml:space="preserve">must </w:t>
      </w:r>
      <w:r>
        <w:t xml:space="preserve">confirm that access is operational within 15 days; without such confirmation, the social certificate will be withheld. The data must be anonymised and comply with the General Data Protection Regulation (GDPR). The aim is not to monitor individual workers, but to uncover hidden </w:t>
      </w:r>
      <w:r>
        <w:t xml:space="preserve">subcontracting </w:t>
      </w:r>
      <w:r>
        <w:t xml:space="preserve">relationships and </w:t>
      </w:r>
      <w:r>
        <w:t xml:space="preserve">the systematic transfer of risks. </w:t>
      </w:r>
      <w:r>
        <w:t xml:space="preserve">Trade unions </w:t>
      </w:r>
      <w:r w:rsidR="00FD0595">
        <w:t xml:space="preserve">should </w:t>
      </w:r>
      <w:r>
        <w:t xml:space="preserve">also have </w:t>
      </w:r>
      <w:r>
        <w:t xml:space="preserve">access to aggregated data </w:t>
      </w:r>
      <w:r>
        <w:t xml:space="preserve">in the context of collective bargaining. The ELA </w:t>
      </w:r>
      <w:r w:rsidR="00FD0595">
        <w:t xml:space="preserve">should </w:t>
      </w:r>
      <w:r>
        <w:t xml:space="preserve">act as a mediator in cross-border cases and coordinate joint inspections.</w:t>
      </w:r>
      <w:r>
        <w:rPr>
          <w:rStyle w:val="Sprotnaopomba-sklic"/>
        </w:rPr>
        <w:footnoteReference w:id="1"/>
      </w:r>
    </w:p>
    <w:p w:rsidR="00D90A18" w:rsidP="00750824" w:rsidRDefault="00D90A18" w14:paraId="34789338" w14:textId="77777777">
      <w:pPr>
        <w:jc w:val="both"/>
      </w:pPr>
    </w:p>
    <w:p w:rsidR="00983F19" w:rsidP="00750824" w:rsidRDefault="00000000" w14:paraId="10B49C1F" w14:textId="77777777">
      <w:pPr>
        <w:pStyle w:val="Blokbesedila"/>
      </w:pPr>
      <w:r>
        <w:t xml:space="preserve">Background: The SDDP social partners’ protocol (Pillar III) provides for </w:t>
      </w:r>
      <w:r>
        <w:t xml:space="preserve">a </w:t>
      </w:r>
      <w:r>
        <w:t xml:space="preserve">real-time </w:t>
      </w:r>
      <w:r>
        <w:t xml:space="preserve">register as a tool to prevent </w:t>
      </w:r>
      <w:r>
        <w:t xml:space="preserve">abuses </w:t>
      </w:r>
      <w:r>
        <w:t xml:space="preserve">in subcontracting</w:t>
      </w:r>
      <w:r>
        <w:t xml:space="preserve">. Without an independent source of data, trade unions and inspectorates are structurally at a disadvantage in negotiations. The ELA already has the powers for cross-border information exchange – this mechanism would directly involve it in preventive supervision.</w:t>
      </w:r>
    </w:p>
    <w:p w:rsidR="00D90A18" w:rsidP="00750824" w:rsidRDefault="00D90A18" w14:paraId="7BD5FD64" w14:textId="77777777">
      <w:pPr>
        <w:jc w:val="both"/>
      </w:pPr>
    </w:p>
    <w:p w:rsidR="00983F19" w:rsidP="00750824" w:rsidRDefault="00000000" w14:paraId="5B66E501" w14:textId="77777777">
      <w:pPr>
        <w:pStyle w:val="Naslov3"/>
        <w:jc w:val="both"/>
      </w:pPr>
      <w:r>
        <w:t xml:space="preserve">Recommendation 2.5 [DIRECTIVE]: Clear regulation of territorial jurisdiction</w:t>
      </w:r>
    </w:p>
    <w:p w:rsidR="00983F19" w:rsidP="00750824" w:rsidRDefault="00000000" w14:paraId="156C44FC" w14:textId="14D819C7">
      <w:pPr>
        <w:jc w:val="both"/>
      </w:pPr>
      <w:r>
        <w:t xml:space="preserve">Ministries must include an explicit provision in the transposition legislation authorising and obliging the labour inspectorate to take action against any platform organising work within the country’s territory</w:t>
      </w:r>
      <w:r w:rsidR="00FD0595">
        <w:t xml:space="preserve">, </w:t>
      </w:r>
      <w:r>
        <w:t xml:space="preserve">regardless of the platform’s registered office or </w:t>
      </w:r>
      <w:r w:rsidR="00FD0595">
        <w:t xml:space="preserve">the application of the legal system specified </w:t>
      </w:r>
      <w:r>
        <w:t xml:space="preserve">in the contracts. It is not permissible to cite a foreign registered office or the choice of foreign law as grounds for lack of jurisdiction. Platforms not registered in the EU must have a representative within the Union. We recommend that the ministries include in the legislation an explicit prohibition on a platform invoking a foreign registered office as a ground for limiting its liability in negotiations or proceedings before the authorities.</w:t>
      </w:r>
      <w:r>
        <w:rPr>
          <w:rStyle w:val="Sprotnaopomba-sklic"/>
        </w:rPr>
        <w:footnoteReference w:id="2"/>
      </w:r>
    </w:p>
    <w:p w:rsidR="00D90A18" w:rsidP="00750824" w:rsidRDefault="00D90A18" w14:paraId="759F476B" w14:textId="77777777">
      <w:pPr>
        <w:jc w:val="both"/>
      </w:pPr>
    </w:p>
    <w:p w:rsidR="00D90A18" w:rsidP="00750824" w:rsidRDefault="00000000" w14:paraId="7A83C5D5" w14:textId="011814CF">
      <w:pPr>
        <w:pStyle w:val="Blokbesedila"/>
      </w:pPr>
      <w:r>
        <w:t xml:space="preserve">Background: Article 1(3) of the Directive</w:t>
      </w:r>
      <w:r w:rsidR="00FD0595">
        <w:t xml:space="preserve">,</w:t>
      </w:r>
      <w:r>
        <w:t xml:space="preserve"> in conjunction with the Rome I Regulation</w:t>
      </w:r>
      <w:r w:rsidR="00FD0595">
        <w:t xml:space="preserve">,</w:t>
      </w:r>
      <w:r>
        <w:t xml:space="preserve"> creates a robust legal framework for territorial jurisdiction. Claims by certain platforms </w:t>
      </w:r>
      <w:r>
        <w:t xml:space="preserve">that specific obligations do not apply to them</w:t>
      </w:r>
      <w:r>
        <w:lastRenderedPageBreak/>
      </w:r>
      <w:r>
        <w:t xml:space="preserve"> or that certain authorities lack </w:t>
      </w:r>
      <w:r w:rsidR="00792F1C">
        <w:t xml:space="preserve">jurisdiction </w:t>
      </w:r>
      <w:r>
        <w:t xml:space="preserve">are contrary to the Directive and must be ruled out in the text of the legislation itself.</w:t>
      </w:r>
      <w:r>
        <w:rPr>
          <w:rStyle w:val="Sprotnaopomba-sklic"/>
        </w:rPr>
        <w:footnoteReference w:id="3"/>
      </w:r>
    </w:p>
    <w:p w:rsidR="00D90A18" w:rsidP="00750824" w:rsidRDefault="00D90A18" w14:paraId="2C498739" w14:textId="77777777">
      <w:pPr>
        <w:jc w:val="both"/>
      </w:pPr>
    </w:p>
    <w:p w:rsidR="00983F19" w:rsidP="00750824" w:rsidRDefault="00000000" w14:paraId="25DDBE1E" w14:textId="77777777">
      <w:pPr>
        <w:pStyle w:val="Naslov3"/>
        <w:jc w:val="both"/>
      </w:pPr>
      <w:r>
        <w:t xml:space="preserve">Recommendation 2.6 [GOES BEYOND THE MINIMUM]: Social dialogue as a tool for determining the scope of application</w:t>
      </w:r>
    </w:p>
    <w:p w:rsidR="00983F19" w:rsidP="00750824" w:rsidRDefault="00000000" w14:paraId="46D33B99" w14:textId="77777777">
      <w:pPr>
        <w:jc w:val="both"/>
      </w:pPr>
      <w:r>
        <w:t xml:space="preserve">The ministries should include in the transposition act a mechanism enabling the social partners to launch a formal initiative to determine whether a particular business model meets the criteria of the DLP. Under this mechanism, the competent authority should, within a specified timeframe (e.g. 60 days), issue a binding opinion which forms the basis for further proceedings. Such determinations are based on social dialogue between the Ministry, trade unions and employers, and are faster, cheaper and fairer than individual legal actions, which individual workers are often unable to afford.</w:t>
      </w:r>
    </w:p>
    <w:p w:rsidR="00FD0595" w:rsidP="00750824" w:rsidRDefault="00FD0595" w14:paraId="1BEA3115" w14:textId="77777777">
      <w:pPr>
        <w:jc w:val="both"/>
      </w:pPr>
    </w:p>
    <w:p w:rsidR="00983F19" w:rsidP="00750824" w:rsidRDefault="00000000" w14:paraId="30A226FD" w14:textId="77777777">
      <w:pPr>
        <w:pStyle w:val="Blokbesedila"/>
      </w:pPr>
      <w:r>
        <w:t xml:space="preserve">Background: The central theme of this document is that social dialogue will serve as the bridge that bridges the gap between the adoption of the directive and its actual implementation. A collective mechanism for resolving issues of this scope is more effective than individual legal proceedings.</w:t>
      </w:r>
    </w:p>
    <w:p w:rsidR="00D90A18" w:rsidP="00750824" w:rsidRDefault="00D90A18" w14:paraId="57BE798C" w14:textId="77777777">
      <w:pPr>
        <w:jc w:val="both"/>
      </w:pPr>
    </w:p>
    <w:p w:rsidRPr="00D90A18" w:rsidR="00983F19" w:rsidP="00750824" w:rsidRDefault="00000000" w14:paraId="4149CE32" w14:textId="77777777">
      <w:pPr>
        <w:jc w:val="both"/>
        <w:rPr>
          <w:rStyle w:val="Neenpoudarek"/>
        </w:rPr>
      </w:pPr>
      <w:r>
        <w:rPr>
          <w:rStyle w:val="Neenpoudarek"/>
        </w:rPr>
        <w:t xml:space="preserve">Note on implementation</w:t>
      </w:r>
    </w:p>
    <w:p w:rsidRPr="00D90A18" w:rsidR="00983F19" w:rsidP="00750824" w:rsidRDefault="00000000" w14:paraId="477821F1" w14:textId="4BED8176">
      <w:pPr>
        <w:jc w:val="both"/>
        <w:rPr>
          <w:rStyle w:val="Neenpoudarek"/>
        </w:rPr>
      </w:pPr>
      <w:r>
        <w:rPr>
          <w:rStyle w:val="Neenpoudarek"/>
        </w:rPr>
        <w:t xml:space="preserve">The definitions in this chapter form the basis for all subsequent chapters of this document. The legal presumption of employment (</w:t>
      </w:r>
      <w:r>
        <w:rPr>
          <w:rStyle w:val="Neenpoudarek"/>
        </w:rPr>
        <w:t xml:space="preserve">Chapter 4) will only be effective if the concept of DLP is applied without any sectoral gaps. Algorithmic management (</w:t>
      </w:r>
      <w:r>
        <w:rPr>
          <w:rStyle w:val="Neenpoudarek"/>
        </w:rPr>
        <w:t xml:space="preserve">Chapter 5) will protect only those who are PPPW within the meaning of the Directive. Collective rights (</w:t>
      </w:r>
      <w:r>
        <w:rPr>
          <w:rStyle w:val="Neenpoudarek"/>
        </w:rPr>
        <w:t xml:space="preserve">Chapter 7) will be accessible only if the intermediary chain is clearly regulated. Accuracy in the transposition of Articles 1–3 is not a formal requirement – it is a prerequisite for all other protections </w:t>
      </w:r>
      <w:r w:rsidR="00FD0595">
        <w:rPr>
          <w:rStyle w:val="Neenpoudarek"/>
        </w:rPr>
        <w:t xml:space="preserve">arising from the Directive</w:t>
      </w:r>
      <w:r>
        <w:rPr>
          <w:rStyle w:val="Neenpoudarek"/>
        </w:rPr>
        <w:t xml:space="preserve">.</w:t>
      </w:r>
    </w:p>
    <w:p w:rsidR="00750824" w:rsidRDefault="00750824" w14:paraId="1079C305" w14:textId="77777777">
      <w:pPr>
        <w:rPr>
          <w:b/>
          <w:bCs/>
          <w:color w:val="1F3864"/>
          <w:sz w:val="36"/>
          <w:szCs w:val="36"/>
        </w:rPr>
      </w:pPr>
      <w:bookmarkStart w:name="X2ed98e4ec239b0ccf1f85db2f0674c03d64541e" w:id="10"/>
      <w:bookmarkEnd w:id="4"/>
      <w:r>
        <w:br w:type="page"/>
      </w:r>
    </w:p>
    <w:p w:rsidR="00983F19" w:rsidP="00750824" w:rsidRDefault="00000000" w14:paraId="66BAE2DB" w14:textId="646347CD">
      <w:pPr>
        <w:pStyle w:val="Naslov1"/>
        <w:jc w:val="both"/>
      </w:pPr>
      <w:bookmarkStart w:name="_Toc233699484" w:id="11"/>
      <w:r>
        <w:lastRenderedPageBreak/>
      </w:r>
      <w:r>
        <w:t xml:space="preserve">Chapter 3: Legal presumption </w:t>
      </w:r>
      <w:r w:rsidR="00CF3B80">
        <w:t xml:space="preserve">of employment </w:t>
      </w:r>
      <w:r>
        <w:t xml:space="preserve">and determination of employment status</w:t>
      </w:r>
      <w:bookmarkEnd w:id="11"/>
    </w:p>
    <w:p w:rsidR="00983F19" w:rsidP="00750824" w:rsidRDefault="00000000" w14:paraId="2A9DD044" w14:textId="77777777">
      <w:pPr>
        <w:pStyle w:val="Naslov2"/>
        <w:jc w:val="both"/>
      </w:pPr>
      <w:bookmarkStart w:name="_Toc233699485" w:id="12"/>
      <w:bookmarkStart w:name="zahteve-direktive" w:id="13"/>
      <w:r>
        <w:t xml:space="preserve">3.1 Requirements of the Directive</w:t>
      </w:r>
      <w:bookmarkEnd w:id="12"/>
    </w:p>
    <w:p w:rsidR="00983F19" w:rsidP="00750824" w:rsidRDefault="00000000" w14:paraId="034B78FA" w14:textId="75AB6398">
      <w:pPr>
        <w:jc w:val="both"/>
      </w:pPr>
      <w:r>
        <w:t xml:space="preserve">EU Directive 2024/2831 on </w:t>
      </w:r>
      <w:r>
        <w:t xml:space="preserve">platform </w:t>
      </w:r>
      <w:r>
        <w:t xml:space="preserve">work </w:t>
      </w:r>
      <w:r w:rsidR="00C91807">
        <w:t xml:space="preserve">devotes </w:t>
      </w:r>
      <w:r>
        <w:t xml:space="preserve">Chapter II (Articles 4–6) to the</w:t>
      </w:r>
      <w:r>
        <w:t xml:space="preserve"> issue of employment status</w:t>
      </w:r>
      <w:r>
        <w:t xml:space="preserve">, which the report by the European Commission’s expert group rightly identifies as the central focus of the entire Directive. Without an effective resolution of the question of whether a person carrying out </w:t>
      </w:r>
      <w:r>
        <w:t xml:space="preserve">platform </w:t>
      </w:r>
      <w:r>
        <w:t xml:space="preserve">work </w:t>
      </w:r>
      <w:r>
        <w:t xml:space="preserve">is </w:t>
      </w:r>
      <w:r>
        <w:t xml:space="preserve">an employee or self-employed, all other provisions of the Directive remain virtually meaningless.</w:t>
      </w:r>
    </w:p>
    <w:p w:rsidR="00D90A18" w:rsidP="00750824" w:rsidRDefault="00D90A18" w14:paraId="016CD21C" w14:textId="77777777">
      <w:pPr>
        <w:jc w:val="both"/>
      </w:pPr>
    </w:p>
    <w:p w:rsidR="00983F19" w:rsidP="00750824" w:rsidRDefault="00000000" w14:paraId="46C533FF" w14:textId="24CB1F4A">
      <w:pPr>
        <w:jc w:val="both"/>
      </w:pPr>
      <w:r>
        <w:rPr>
          <w:b/>
          <w:bCs/>
        </w:rPr>
        <w:t xml:space="preserve">Determining the correct employment status (Article 4) </w:t>
      </w:r>
      <w:r>
        <w:t xml:space="preserve">requires Member States to establish appropriate and effective procedures for determining the correct employment status of persons carrying out </w:t>
      </w:r>
      <w:r>
        <w:t xml:space="preserve">platform </w:t>
      </w:r>
      <w:r>
        <w:t xml:space="preserve">work. The article introduces the principle </w:t>
      </w:r>
      <w:r>
        <w:t xml:space="preserve">of</w:t>
      </w:r>
      <w:r>
        <w:rPr>
          <w:b/>
          <w:bCs/>
        </w:rPr>
        <w:t xml:space="preserve"> </w:t>
      </w:r>
      <w:r w:rsidRPr="00792F1C">
        <w:t xml:space="preserve">the ‘primacy </w:t>
      </w:r>
      <w:r w:rsidRPr="00792F1C">
        <w:t xml:space="preserve">of </w:t>
      </w:r>
      <w:r w:rsidRPr="00792F1C" w:rsidR="000D74B6">
        <w:t xml:space="preserve">facts</w:t>
      </w:r>
      <w:r>
        <w:t xml:space="preserve">’: when determining the existence </w:t>
      </w:r>
      <w:r w:rsidR="00CF3B80">
        <w:t xml:space="preserve">of an employment relationship</w:t>
      </w:r>
      <w:r>
        <w:t xml:space="preserve">, the facts must always take precedence over the intentions of the parties or the contractual arrangement governing the relationship. In other words, a platform cannot, by referring to a contract which it has unilaterally drafted and offered for signature, rule out the existence </w:t>
      </w:r>
      <w:r>
        <w:t xml:space="preserve">of an</w:t>
      </w:r>
      <w:r w:rsidR="00CF3B80">
        <w:t xml:space="preserve"> employment </w:t>
      </w:r>
      <w:r>
        <w:t xml:space="preserve">relationship as indicated by the actual circumstances of the work. Article 4 also requires the employer to be clearly identified, which is particularly challenging in situations where a chain of intermediaries or subcontractors is interposed between the platform and the worker.</w:t>
      </w:r>
    </w:p>
    <w:p w:rsidR="00D90A18" w:rsidP="00750824" w:rsidRDefault="00D90A18" w14:paraId="1668947A" w14:textId="77777777">
      <w:pPr>
        <w:jc w:val="both"/>
      </w:pPr>
    </w:p>
    <w:p w:rsidR="00983F19" w:rsidP="00750824" w:rsidRDefault="00000000" w14:paraId="4514C0B2" w14:textId="42C2910F">
      <w:pPr>
        <w:jc w:val="both"/>
      </w:pPr>
      <w:r>
        <w:rPr>
          <w:b/>
          <w:bCs/>
        </w:rPr>
        <w:t xml:space="preserve">The </w:t>
      </w:r>
      <w:r w:rsidRPr="00792F1C">
        <w:t xml:space="preserve">legal</w:t>
      </w:r>
      <w:r>
        <w:rPr>
          <w:b/>
          <w:bCs/>
        </w:rPr>
        <w:t xml:space="preserve"> presumption </w:t>
      </w:r>
      <w:r w:rsidR="00CF3B80">
        <w:rPr>
          <w:b/>
          <w:bCs/>
        </w:rPr>
        <w:t xml:space="preserve">of an employment relationship </w:t>
      </w:r>
      <w:r>
        <w:rPr>
          <w:b/>
          <w:bCs/>
        </w:rPr>
        <w:t xml:space="preserve">(Article 5) </w:t>
      </w:r>
      <w:r>
        <w:t xml:space="preserve">is a key tool of the Directive. It establishes a rebuttable legal presumption that the contractual relationship between a digital labour platform and a person carrying out work through it constitutes </w:t>
      </w:r>
      <w:r w:rsidR="00CF3B80">
        <w:rPr>
          <w:b/>
          <w:bCs/>
        </w:rPr>
        <w:t xml:space="preserve">an employment relationship </w:t>
      </w:r>
      <w:r>
        <w:t xml:space="preserve">where facts are established that indicate </w:t>
      </w:r>
      <w:r w:rsidRPr="00792F1C">
        <w:t xml:space="preserve">‘direction</w:t>
      </w:r>
      <w:r>
        <w:t xml:space="preserve"> </w:t>
      </w:r>
      <w:r w:rsidRPr="00792F1C">
        <w:t xml:space="preserve">and</w:t>
      </w:r>
      <w:r>
        <w:t xml:space="preserve"> control</w:t>
      </w:r>
      <w:r>
        <w:t xml:space="preserve">’. The Directive interprets this concept broadly: it covers not only direct instructions but also indirect guidance of behaviour through algorithmic systems, punitive practices and </w:t>
      </w:r>
      <w:r w:rsidR="000D74B6">
        <w:t xml:space="preserve">pressure </w:t>
      </w:r>
      <w:r>
        <w:t xml:space="preserve">(Recital 30). In transposing the Directive, it is crucial that the national concept </w:t>
      </w:r>
      <w:r w:rsidR="000D74B6">
        <w:t xml:space="preserve">of ‘</w:t>
      </w:r>
      <w:r>
        <w:t xml:space="preserve">direction and </w:t>
      </w:r>
      <w:r w:rsidR="000D74B6">
        <w:t xml:space="preserve">control’ </w:t>
      </w:r>
      <w:r>
        <w:t xml:space="preserve">(e.g. in the Slovenian Employment Contracts Act (ZDR-1), Article 4) is interpreted in such a way as to also encompass these indirect forms </w:t>
      </w:r>
      <w:r w:rsidR="000D74B6">
        <w:t xml:space="preserve">of subordination</w:t>
      </w:r>
      <w:r>
        <w:t xml:space="preserve">.</w:t>
      </w:r>
    </w:p>
    <w:p w:rsidR="00D90A18" w:rsidP="00750824" w:rsidRDefault="00D90A18" w14:paraId="4831453B" w14:textId="77777777">
      <w:pPr>
        <w:jc w:val="both"/>
      </w:pPr>
    </w:p>
    <w:p w:rsidR="00983F19" w:rsidP="00750824" w:rsidRDefault="00000000" w14:paraId="2539B6BC" w14:textId="77DCA821">
      <w:pPr>
        <w:jc w:val="both"/>
      </w:pPr>
      <w:r w:rsidRPr="00792F1C">
        <w:t xml:space="preserve">The burden </w:t>
      </w:r>
      <w:r w:rsidRPr="00792F1C">
        <w:t xml:space="preserve">of </w:t>
      </w:r>
      <w:r w:rsidRPr="00792F1C" w:rsidR="000D74B6">
        <w:t xml:space="preserve">proof </w:t>
      </w:r>
      <w:r>
        <w:t xml:space="preserve">for challenging this presumption is shifted to the platform. </w:t>
      </w:r>
      <w:r w:rsidR="000D74B6">
        <w:t xml:space="preserve">If </w:t>
      </w:r>
      <w:r>
        <w:t xml:space="preserve">the platform </w:t>
      </w:r>
      <w:r w:rsidR="000D74B6">
        <w:t xml:space="preserve">does not accept the presumption, </w:t>
      </w:r>
      <w:r>
        <w:t xml:space="preserve">it must prove that the contractual relationship is not </w:t>
      </w:r>
      <w:r w:rsidR="00CF3B80">
        <w:t xml:space="preserve">one of </w:t>
      </w:r>
      <w:r w:rsidR="00CF3B80">
        <w:t xml:space="preserve">employment</w:t>
      </w:r>
      <w:r>
        <w:t xml:space="preserve">. The Directive does not tighten this standard by requiring supplementary criteria</w:t>
      </w:r>
      <w:r w:rsidR="000D74B6">
        <w:t xml:space="preserve">; </w:t>
      </w:r>
      <w:r>
        <w:t xml:space="preserve">as explained </w:t>
      </w:r>
      <w:r>
        <w:rPr>
          <w:b/>
          <w:bCs/>
        </w:rPr>
        <w:t xml:space="preserve">by</w:t>
      </w:r>
      <w:r>
        <w:t xml:space="preserve"> the EC’s expert group, Article 5 </w:t>
      </w:r>
      <w:r>
        <w:rPr>
          <w:b/>
          <w:bCs/>
        </w:rPr>
        <w:t xml:space="preserve">does not require Member States to lay down criteria in their transposition measures</w:t>
      </w:r>
      <w:r w:rsidR="000D74B6">
        <w:t xml:space="preserve">. </w:t>
      </w:r>
      <w:r>
        <w:t xml:space="preserve">It is sufficient to establish facts indicating instructions and supervision. The required standard of proof is comparable to the </w:t>
      </w:r>
      <w:r>
        <w:rPr>
          <w:i/>
          <w:iCs/>
        </w:rPr>
        <w:t xml:space="preserve">prima </w:t>
      </w:r>
      <w:r>
        <w:rPr>
          <w:i/>
          <w:iCs/>
        </w:rPr>
        <w:t xml:space="preserve">facie </w:t>
      </w:r>
      <w:r>
        <w:t xml:space="preserve">principle </w:t>
      </w:r>
      <w:r>
        <w:t xml:space="preserve">in EU anti-discrimination legislation: it is sufficient for the facts to render subordination at least probable or possible. The Directive does not require full proof.</w:t>
      </w:r>
    </w:p>
    <w:p w:rsidR="00D90A18" w:rsidP="00750824" w:rsidRDefault="00D90A18" w14:paraId="32241D05" w14:textId="77777777">
      <w:pPr>
        <w:jc w:val="both"/>
      </w:pPr>
    </w:p>
    <w:p w:rsidR="00983F19" w:rsidP="00750824" w:rsidRDefault="00000000" w14:paraId="2E7A10AD" w14:textId="5847BA8D">
      <w:pPr>
        <w:jc w:val="both"/>
      </w:pPr>
      <w:r>
        <w:t xml:space="preserve">The legal presumption should be read in conjunction with Recital 30, which emphasises that, in </w:t>
      </w:r>
      <w:r>
        <w:t xml:space="preserve">platform </w:t>
      </w:r>
      <w:r>
        <w:t xml:space="preserve">work, </w:t>
      </w:r>
      <w:r>
        <w:t xml:space="preserve">instructions and supervision </w:t>
      </w:r>
      <w:r>
        <w:t xml:space="preserve">are often not direct but indirect </w:t>
      </w:r>
      <w:r w:rsidR="00D7386B">
        <w:t xml:space="preserve">– </w:t>
      </w:r>
      <w:r>
        <w:t xml:space="preserve">via algorithmic systems, disciplinary practices and pressures that encourage certain behaviour. Platforms have access to all the data concerning the nature of the relationship, in particular the algorithms through which they manage workers. It is precisely this that justifies the shift in the burden of proof.</w:t>
      </w:r>
    </w:p>
    <w:p w:rsidR="00D90A18" w:rsidP="00750824" w:rsidRDefault="00D90A18" w14:paraId="1BDE77BE" w14:textId="77777777">
      <w:pPr>
        <w:jc w:val="both"/>
      </w:pPr>
    </w:p>
    <w:p w:rsidR="00983F19" w:rsidP="00750824" w:rsidRDefault="00000000" w14:paraId="40A48505" w14:textId="77777777">
      <w:pPr>
        <w:jc w:val="both"/>
      </w:pPr>
      <w:r>
        <w:t xml:space="preserve">The Directive provides that the legal presumption applies in all relevant </w:t>
      </w:r>
      <w:r>
        <w:rPr>
          <w:b/>
          <w:bCs/>
        </w:rPr>
        <w:t xml:space="preserve">administrative and judicial proceedings </w:t>
      </w:r>
      <w:r>
        <w:t xml:space="preserve">for determining employment status. It does not apply automatically in tax,</w:t>
      </w:r>
      <w:r>
        <w:lastRenderedPageBreak/>
      </w:r>
      <w:r>
        <w:t xml:space="preserve"> criminal and social security proceedings, although Member States may extend it to cover these as well. The application of the presumption is not retroactive: for relationships that existed prior to 2 December 2026 and were already in place at that time, the rights arising from </w:t>
      </w:r>
      <w:r>
        <w:t xml:space="preserve">the</w:t>
      </w:r>
      <w:r>
        <w:t xml:space="preserve"> </w:t>
      </w:r>
      <w:r>
        <w:t xml:space="preserve">redefined </w:t>
      </w:r>
      <w:r>
        <w:t xml:space="preserve">status </w:t>
      </w:r>
      <w:r>
        <w:t xml:space="preserve">are </w:t>
      </w:r>
      <w:r>
        <w:t xml:space="preserve">recognised only for the period after that date.</w:t>
      </w:r>
    </w:p>
    <w:p w:rsidR="00D90A18" w:rsidP="00750824" w:rsidRDefault="00D90A18" w14:paraId="028FF839" w14:textId="77777777">
      <w:pPr>
        <w:jc w:val="both"/>
      </w:pPr>
    </w:p>
    <w:p w:rsidR="00983F19" w:rsidP="00750824" w:rsidRDefault="00000000" w14:paraId="6832494B" w14:textId="6E9DCF73">
      <w:pPr>
        <w:jc w:val="both"/>
      </w:pPr>
      <w:r>
        <w:t xml:space="preserve">Two provisions concerning the initiation of proceedings are of particular importance. Under Article 5(4)</w:t>
      </w:r>
      <w:r>
        <w:t xml:space="preserve">, workers and their representatives </w:t>
      </w:r>
      <w:r>
        <w:t xml:space="preserve">have </w:t>
      </w:r>
      <w:r>
        <w:rPr>
          <w:b/>
          <w:bCs/>
        </w:rPr>
        <w:t xml:space="preserve">the right </w:t>
      </w:r>
      <w:r>
        <w:t xml:space="preserve">to initiate proceedings. Under Article 5(5)</w:t>
      </w:r>
      <w:r>
        <w:t xml:space="preserve">,</w:t>
      </w:r>
      <w:r>
        <w:t xml:space="preserve"> the competent national authorities are </w:t>
      </w:r>
      <w:r>
        <w:rPr>
          <w:b/>
          <w:bCs/>
        </w:rPr>
        <w:t xml:space="preserve">obliged </w:t>
      </w:r>
      <w:r>
        <w:t xml:space="preserve">to take appropriate measures or initiate proceedings where they consider that a person may have been incorrectly classified </w:t>
      </w:r>
      <w:r w:rsidR="00D7386B">
        <w:t xml:space="preserve">– </w:t>
      </w:r>
      <w:r>
        <w:rPr>
          <w:b/>
          <w:bCs/>
        </w:rPr>
        <w:t xml:space="preserve">irrespective of the worker’s consent</w:t>
      </w:r>
      <w:r>
        <w:t xml:space="preserve">. Furthermore, under Article 19 of the Directive, workers’ representatives have the right to act on behalf of one or more workers in proceedings, which opens the door to the collective enforcement of rights.</w:t>
      </w:r>
    </w:p>
    <w:p w:rsidR="00D90A18" w:rsidP="00750824" w:rsidRDefault="00D90A18" w14:paraId="6C32B0FD" w14:textId="77777777">
      <w:pPr>
        <w:jc w:val="both"/>
      </w:pPr>
    </w:p>
    <w:p w:rsidR="00983F19" w:rsidP="00750824" w:rsidRDefault="00000000" w14:paraId="6FBCDC95" w14:textId="476D66BA">
      <w:pPr>
        <w:jc w:val="both"/>
      </w:pPr>
      <w:r>
        <w:rPr>
          <w:b/>
          <w:bCs/>
        </w:rPr>
        <w:t xml:space="preserve">The framework of supporting measures (Article 6) </w:t>
      </w:r>
      <w:r>
        <w:t xml:space="preserve">obliges Member States to establish a comprehensive framework of measures for the effective implementation of the legal presumption. This framework must include the development of guidelines and practical recommendations for platforms, workers and social partners; the establishment of procedures whereby the competent authorities proactively identify, target and prosecute platforms that breach the rules on employment status; effective monitoring and inspections, particularly of platforms where </w:t>
      </w:r>
      <w:r w:rsidR="00CF3B80">
        <w:t xml:space="preserve">employment </w:t>
      </w:r>
      <w:r>
        <w:t xml:space="preserve">has </w:t>
      </w:r>
      <w:r>
        <w:t xml:space="preserve">already </w:t>
      </w:r>
      <w:r w:rsidR="00CF3B80">
        <w:t xml:space="preserve">been </w:t>
      </w:r>
      <w:r>
        <w:t xml:space="preserve">established; and appropriate training for inspection bodies, including technical expertise in the field of algorithmic management.</w:t>
      </w:r>
    </w:p>
    <w:p w:rsidR="00983F19" w:rsidP="00750824" w:rsidRDefault="00000000" w14:paraId="3B6737F1" w14:textId="77777777">
      <w:pPr>
        <w:pStyle w:val="Naslov2"/>
        <w:jc w:val="both"/>
      </w:pPr>
      <w:bookmarkStart w:name="_Toc233699486" w:id="14"/>
      <w:bookmarkStart w:name="ugotovitve-iz-prakse" w:id="15"/>
      <w:bookmarkEnd w:id="13"/>
      <w:r>
        <w:t xml:space="preserve">3.2 Findings from practice</w:t>
      </w:r>
      <w:bookmarkEnd w:id="14"/>
    </w:p>
    <w:p w:rsidR="00983F19" w:rsidP="00750824" w:rsidRDefault="00000000" w14:paraId="01D9DD1D" w14:textId="77777777">
      <w:pPr>
        <w:pStyle w:val="Naslov3"/>
        <w:jc w:val="both"/>
      </w:pPr>
      <w:bookmarkStart w:name="praznina-med-pravico-in-stvarnostjo" w:id="16"/>
      <w:r>
        <w:t xml:space="preserve">The gap between law and reality</w:t>
      </w:r>
    </w:p>
    <w:p w:rsidR="00983F19" w:rsidP="00750824" w:rsidRDefault="00000000" w14:paraId="1E045CBB" w14:textId="58FAC5BB">
      <w:pPr>
        <w:jc w:val="both"/>
      </w:pPr>
      <w:r>
        <w:t xml:space="preserve">Experience from the partner countries of the SDDP project shows that the issue of legal presumption and the determination of employment status is the most complex and politically sensitive area of the Directive’s implementation. At the same time, it is crucial for all other rights: without employment status, trade unions have no right to represent workers; without employment status, a collective agreement does not apply to workers; without employment status, there are no </w:t>
      </w:r>
      <w:r w:rsidR="000D74B6">
        <w:t xml:space="preserve">labour or social </w:t>
      </w:r>
      <w:r>
        <w:t xml:space="preserve">rights</w:t>
      </w:r>
      <w:r w:rsidR="000D74B6">
        <w:t xml:space="preserve">.</w:t>
      </w:r>
    </w:p>
    <w:p w:rsidR="000D74B6" w:rsidP="00750824" w:rsidRDefault="000D74B6" w14:paraId="2F2FEA86" w14:textId="77777777">
      <w:pPr>
        <w:jc w:val="both"/>
      </w:pPr>
    </w:p>
    <w:p w:rsidR="00983F19" w:rsidP="00750824" w:rsidRDefault="00000000" w14:paraId="28663872" w14:textId="77777777">
      <w:pPr>
        <w:jc w:val="both"/>
      </w:pPr>
      <w:r>
        <w:t xml:space="preserve">The SDDP project’s mid-term conference (Ljubljana, May 2025) unequivocally confirmed this: without employment status, all other rights under the Directive remain inaccessible.</w:t>
      </w:r>
    </w:p>
    <w:p w:rsidR="00983F19" w:rsidP="00750824" w:rsidRDefault="00000000" w14:paraId="749034F8" w14:textId="77777777">
      <w:pPr>
        <w:pStyle w:val="Naslov3"/>
        <w:jc w:val="both"/>
      </w:pPr>
      <w:bookmarkStart w:name="Xb628c4a68f4dd592c51cb0fabb9c985081de79b" w:id="17"/>
      <w:bookmarkEnd w:id="16"/>
      <w:r>
        <w:t xml:space="preserve">Spain: from ignoring the law to the threat of a prison sentence</w:t>
      </w:r>
    </w:p>
    <w:p w:rsidR="00983F19" w:rsidP="00750824" w:rsidRDefault="00000000" w14:paraId="5B4CF9D7" w14:textId="789C054D">
      <w:pPr>
        <w:jc w:val="both"/>
      </w:pPr>
      <w:r>
        <w:t xml:space="preserve">Spain offers </w:t>
      </w:r>
      <w:r w:rsidR="000D74B6">
        <w:t xml:space="preserve">the most comprehensive </w:t>
      </w:r>
      <w:r>
        <w:t xml:space="preserve">experience </w:t>
      </w:r>
      <w:r w:rsidR="00D7386B">
        <w:t xml:space="preserve">– </w:t>
      </w:r>
      <w:r>
        <w:t xml:space="preserve">of both successes and dangers. Following legal victories by the trade unions</w:t>
      </w:r>
      <w:r>
        <w:t xml:space="preserve">,</w:t>
      </w:r>
      <w:r>
        <w:t xml:space="preserve"> the Spanish government adopted </w:t>
      </w:r>
      <w:r>
        <w:t xml:space="preserve">the</w:t>
      </w:r>
      <w:r>
        <w:t xml:space="preserve"> so-called </w:t>
      </w:r>
      <w:r>
        <w:rPr>
          <w:i/>
          <w:iCs/>
        </w:rPr>
        <w:t xml:space="preserve">‘Rider</w:t>
      </w:r>
      <w:r>
        <w:t xml:space="preserve"> Law’ (</w:t>
      </w:r>
      <w:r>
        <w:rPr>
          <w:i/>
          <w:iCs/>
        </w:rPr>
        <w:t xml:space="preserve">‘Ley </w:t>
      </w:r>
      <w:r w:rsidR="000D74B6">
        <w:rPr>
          <w:i/>
          <w:iCs/>
        </w:rPr>
        <w:t xml:space="preserve">Rider’</w:t>
      </w:r>
      <w:r>
        <w:t xml:space="preserve">) </w:t>
      </w:r>
      <w:r>
        <w:t xml:space="preserve">in 2021</w:t>
      </w:r>
      <w:r>
        <w:t xml:space="preserve">, which establishes a presumption </w:t>
      </w:r>
      <w:r w:rsidR="00CF3B80">
        <w:t xml:space="preserve">of employment</w:t>
      </w:r>
      <w:r>
        <w:t xml:space="preserve"> for the food delivery sector</w:t>
      </w:r>
      <w:r>
        <w:t xml:space="preserve">. The platforms’ response was highly telling and unfolded in three phases.</w:t>
      </w:r>
    </w:p>
    <w:p w:rsidR="000D74B6" w:rsidP="00750824" w:rsidRDefault="000D74B6" w14:paraId="2F0C8863" w14:textId="77777777">
      <w:pPr>
        <w:jc w:val="both"/>
      </w:pPr>
    </w:p>
    <w:p w:rsidR="00983F19" w:rsidP="00750824" w:rsidRDefault="00000000" w14:paraId="33198EBD" w14:textId="4A6FB9E6">
      <w:pPr>
        <w:jc w:val="both"/>
      </w:pPr>
      <w:r>
        <w:t xml:space="preserve">In the first phase, </w:t>
      </w:r>
      <w:r>
        <w:t xml:space="preserve">Glovo </w:t>
      </w:r>
      <w:r w:rsidR="00D7386B">
        <w:t xml:space="preserve">– </w:t>
      </w:r>
      <w:r>
        <w:t xml:space="preserve">Spain’s largest platform with around 12,000 delivery riders </w:t>
      </w:r>
      <w:r w:rsidR="00D7386B">
        <w:t xml:space="preserve">– </w:t>
      </w:r>
      <w:r>
        <w:t xml:space="preserve">announced </w:t>
      </w:r>
      <w:r>
        <w:t xml:space="preserve">that it would </w:t>
      </w:r>
      <w:r>
        <w:t xml:space="preserve">employ only around 2,000 people (20 per cent). The employment contracts offered were drawn up with a minimum weekly quota of hours and terms that were significantly worse than their previous earnings, so that the majority of delivery riders did not accept them. At the same time</w:t>
      </w:r>
      <w:r>
        <w:t xml:space="preserve">,</w:t>
      </w:r>
      <w:r>
        <w:t xml:space="preserve"> </w:t>
      </w:r>
      <w:r>
        <w:t xml:space="preserve">Glovo</w:t>
      </w:r>
      <w:r>
        <w:t xml:space="preserve"> </w:t>
      </w:r>
      <w:r>
        <w:t xml:space="preserve">altered its algorithmic parameters to create the appearance of autonomy </w:t>
      </w:r>
      <w:r w:rsidR="00D7386B">
        <w:t xml:space="preserve">– </w:t>
      </w:r>
      <w:r>
        <w:t xml:space="preserve">flexible sign-up without having to select specific time slots, the option to decline orders </w:t>
      </w:r>
      <w:r w:rsidR="00D7386B">
        <w:t xml:space="preserve">– </w:t>
      </w:r>
      <w:r>
        <w:t xml:space="preserve">in an attempt to undermine elements </w:t>
      </w:r>
      <w:r w:rsidR="000D74B6">
        <w:t xml:space="preserve">of workers’ subordination</w:t>
      </w:r>
      <w:r>
        <w:t xml:space="preserve">.</w:t>
      </w:r>
    </w:p>
    <w:p w:rsidR="000D74B6" w:rsidP="00750824" w:rsidRDefault="000D74B6" w14:paraId="6D06A04D" w14:textId="77777777">
      <w:pPr>
        <w:jc w:val="both"/>
      </w:pPr>
    </w:p>
    <w:p w:rsidR="00983F19" w:rsidP="00750824" w:rsidRDefault="00000000" w14:paraId="7685B622" w14:textId="51AC6A7F">
      <w:pPr>
        <w:jc w:val="both"/>
      </w:pPr>
      <w:r>
        <w:lastRenderedPageBreak/>
      </w:r>
      <w:r>
        <w:t xml:space="preserve">This was followed by years of disputes. The Spanish labour inspectorate </w:t>
      </w:r>
      <w:r>
        <w:t xml:space="preserve">imposed a record fine of 79 million euros </w:t>
      </w:r>
      <w:r w:rsidR="000D74B6">
        <w:t xml:space="preserve">on Glovo</w:t>
      </w:r>
      <w:r>
        <w:t xml:space="preserve">, whilst the social security authorities demanded a total of around 450 million euros in fines and unpaid contributions. The courts consistently ruled in favour of the workers. In 2022, Spain amended its Criminal Code to make bogus self-employment a criminal offence.</w:t>
      </w:r>
    </w:p>
    <w:p w:rsidR="000D74B6" w:rsidP="00750824" w:rsidRDefault="000D74B6" w14:paraId="73B12AA2" w14:textId="77777777">
      <w:pPr>
        <w:jc w:val="both"/>
      </w:pPr>
    </w:p>
    <w:p w:rsidR="00983F19" w:rsidP="00750824" w:rsidRDefault="00000000" w14:paraId="02A92F84" w14:textId="71AF2FA0">
      <w:pPr>
        <w:jc w:val="both"/>
      </w:pPr>
      <w:r>
        <w:t xml:space="preserve">The decisive turning point came only in the third phase, when </w:t>
      </w:r>
      <w:r>
        <w:t xml:space="preserve">Glovo’s</w:t>
      </w:r>
      <w:r>
        <w:t xml:space="preserve"> co-founder and CEO</w:t>
      </w:r>
      <w:r>
        <w:t xml:space="preserve">, </w:t>
      </w:r>
      <w:r>
        <w:t xml:space="preserve">Óscar </w:t>
      </w:r>
      <w:r>
        <w:t xml:space="preserve">Pierre</w:t>
      </w:r>
      <w:r>
        <w:t xml:space="preserve">, </w:t>
      </w:r>
      <w:r>
        <w:t xml:space="preserve">was </w:t>
      </w:r>
      <w:r>
        <w:t xml:space="preserve">prosecuted. The day before he was due to appear in court </w:t>
      </w:r>
      <w:r w:rsidR="00D7386B">
        <w:t xml:space="preserve">– </w:t>
      </w:r>
      <w:r>
        <w:t xml:space="preserve">in December 2024 </w:t>
      </w:r>
      <w:r w:rsidR="00D7386B">
        <w:t xml:space="preserve">– </w:t>
      </w:r>
      <w:r>
        <w:t xml:space="preserve">Glovo</w:t>
      </w:r>
      <w:r>
        <w:t xml:space="preserve"> </w:t>
      </w:r>
      <w:r>
        <w:t xml:space="preserve">announced that </w:t>
      </w:r>
      <w:r w:rsidR="000D74B6">
        <w:t xml:space="preserve">it would </w:t>
      </w:r>
      <w:r w:rsidR="000D74B6">
        <w:t xml:space="preserve">employ </w:t>
      </w:r>
      <w:r>
        <w:t xml:space="preserve">all its delivery riders. This experience clearly demonstrates that a clear legal provision on the legal presumption </w:t>
      </w:r>
      <w:r w:rsidR="00CF3B80">
        <w:t xml:space="preserve">of employment </w:t>
      </w:r>
      <w:r>
        <w:t xml:space="preserve">is not sufficient in itself </w:t>
      </w:r>
      <w:r w:rsidR="00D7386B">
        <w:t xml:space="preserve">– </w:t>
      </w:r>
      <w:r w:rsidR="000D74B6">
        <w:t xml:space="preserve">effective enforcement </w:t>
      </w:r>
      <w:r>
        <w:t xml:space="preserve">is</w:t>
      </w:r>
      <w:r w:rsidR="000D74B6">
        <w:t xml:space="preserve"> essential</w:t>
      </w:r>
      <w:r>
        <w:t xml:space="preserve">, going beyond mere financial penalties to include criminal liability for those responsible.</w:t>
      </w:r>
    </w:p>
    <w:p w:rsidR="000D74B6" w:rsidP="00750824" w:rsidRDefault="000D74B6" w14:paraId="7C98E11A" w14:textId="77777777">
      <w:pPr>
        <w:jc w:val="both"/>
      </w:pPr>
    </w:p>
    <w:p w:rsidR="00983F19" w:rsidP="00750824" w:rsidRDefault="00000000" w14:paraId="2F90837E" w14:textId="6BB51443">
      <w:pPr>
        <w:jc w:val="both"/>
      </w:pPr>
      <w:r>
        <w:t xml:space="preserve">At the same time</w:t>
      </w:r>
      <w:r>
        <w:t xml:space="preserve">, the</w:t>
      </w:r>
      <w:r w:rsidR="000D74B6">
        <w:t xml:space="preserve"> Spanish </w:t>
      </w:r>
      <w:r>
        <w:t xml:space="preserve">experience reveals a systemic limitation: the law on delivery workers applies only to food delivery, and not to all </w:t>
      </w:r>
      <w:r>
        <w:t xml:space="preserve">platform </w:t>
      </w:r>
      <w:r>
        <w:t xml:space="preserve">workers. </w:t>
      </w:r>
      <w:r>
        <w:t xml:space="preserve">Following the adoption of the law</w:t>
      </w:r>
      <w:r w:rsidR="000D74B6">
        <w:t xml:space="preserve">, </w:t>
      </w:r>
      <w:r>
        <w:t xml:space="preserve">Uber </w:t>
      </w:r>
      <w:r>
        <w:t xml:space="preserve">Eats </w:t>
      </w:r>
      <w:r>
        <w:t xml:space="preserve">restructured its entire business model into a system consisting exclusively of subcontractors </w:t>
      </w:r>
      <w:r w:rsidR="000D74B6">
        <w:t xml:space="preserve">– </w:t>
      </w:r>
      <w:r>
        <w:t xml:space="preserve">the</w:t>
      </w:r>
      <w:r w:rsidR="000D74B6">
        <w:t xml:space="preserve"> so-called </w:t>
      </w:r>
      <w:r w:rsidRPr="00792F1C">
        <w:t xml:space="preserve">‘</w:t>
      </w:r>
      <w:r w:rsidRPr="00792F1C">
        <w:t xml:space="preserve">fleet</w:t>
      </w:r>
      <w:r>
        <w:t xml:space="preserve"> </w:t>
      </w:r>
      <w:r>
        <w:t xml:space="preserve">system’ </w:t>
      </w:r>
      <w:r>
        <w:t xml:space="preserve">– thereby formally meeting the requirement for employment, but reproducing </w:t>
      </w:r>
      <w:r>
        <w:t xml:space="preserve">precariousness</w:t>
      </w:r>
      <w:r>
        <w:t xml:space="preserve"> through intermediaries</w:t>
      </w:r>
      <w:r>
        <w:t xml:space="preserve">. This demonstrates that any sector-specific regulation is </w:t>
      </w:r>
      <w:r w:rsidR="000D74B6">
        <w:t xml:space="preserve">ineffective</w:t>
      </w:r>
      <w:r>
        <w:t xml:space="preserve">.</w:t>
      </w:r>
    </w:p>
    <w:p w:rsidR="00983F19" w:rsidP="00750824" w:rsidRDefault="00000000" w14:paraId="56113684" w14:textId="77777777">
      <w:pPr>
        <w:pStyle w:val="Naslov3"/>
        <w:jc w:val="both"/>
      </w:pPr>
      <w:bookmarkStart w:name="belgija-domneva-brez-izvršbe" w:id="18"/>
      <w:bookmarkEnd w:id="17"/>
      <w:r>
        <w:t xml:space="preserve">Belgium: presumption without enforcement</w:t>
      </w:r>
    </w:p>
    <w:p w:rsidR="00983F19" w:rsidP="00750824" w:rsidRDefault="00000000" w14:paraId="6D654A34" w14:textId="7244F666">
      <w:pPr>
        <w:jc w:val="both"/>
      </w:pPr>
      <w:r w:rsidR="00792F1C">
        <w:t xml:space="preserve">The Belgian experience </w:t>
      </w:r>
      <w:r w:rsidR="000D74B6">
        <w:t xml:space="preserve">reveals </w:t>
      </w:r>
      <w:r>
        <w:t xml:space="preserve">a worrying pattern. Belgian legislation contains a variation on the legal presumption </w:t>
      </w:r>
      <w:r w:rsidR="00CF3B80">
        <w:t xml:space="preserve">of employment</w:t>
      </w:r>
      <w:r>
        <w:t xml:space="preserve">, but in practice this has changed nothing. At a conference in Ljubljana, a Belgian trade union representative stated that the existence of a legal provision on the presumption of employment without adequate inspection capacity and sanctions amounts to a dead letter </w:t>
      </w:r>
      <w:r w:rsidR="000D74B6">
        <w:t xml:space="preserve">on paper</w:t>
      </w:r>
      <w:r>
        <w:t xml:space="preserve">: </w:t>
      </w:r>
      <w:r>
        <w:rPr>
          <w:i/>
          <w:iCs/>
        </w:rPr>
        <w:t xml:space="preserve">‘Belgium has a list of criteria for employment, but </w:t>
      </w:r>
      <w:r w:rsidR="000D74B6">
        <w:rPr>
          <w:i/>
          <w:iCs/>
        </w:rPr>
        <w:t xml:space="preserve">there is no enforcement of the law</w:t>
      </w:r>
      <w:r>
        <w:rPr>
          <w:i/>
          <w:iCs/>
        </w:rPr>
        <w:t xml:space="preserve">.’</w:t>
      </w:r>
      <w:r>
        <w:t xml:space="preserve"> The case </w:t>
      </w:r>
      <w:r>
        <w:t xml:space="preserve">of Takeaway</w:t>
      </w:r>
      <w:r>
        <w:t xml:space="preserve">, registered as an advertising company to avoid the better-paid sectoral collective agreements in the transport sector, illustrates that platforms exploit every legal loophole </w:t>
      </w:r>
      <w:r w:rsidR="00D7386B">
        <w:t xml:space="preserve">– </w:t>
      </w:r>
      <w:r>
        <w:t xml:space="preserve">from the form of contract to sectoral classification.</w:t>
      </w:r>
    </w:p>
    <w:p w:rsidR="00983F19" w:rsidP="00750824" w:rsidRDefault="00000000" w14:paraId="61DCAE71" w14:textId="77777777">
      <w:pPr>
        <w:pStyle w:val="Naslov3"/>
        <w:jc w:val="both"/>
      </w:pPr>
      <w:bookmarkStart w:name="italija-tretji-status-kot-past" w:id="19"/>
      <w:bookmarkEnd w:id="18"/>
      <w:r>
        <w:t xml:space="preserve">Italy: the ‘third status’ as a trap</w:t>
      </w:r>
    </w:p>
    <w:p w:rsidR="00983F19" w:rsidP="00750824" w:rsidRDefault="00000000" w14:paraId="6A1D0123" w14:textId="1A771B3B">
      <w:pPr>
        <w:jc w:val="both"/>
      </w:pPr>
      <w:r>
        <w:t xml:space="preserve">Italy faces a particular challenge: alongside the classic distinction between employees and the self-employed, there are two intermediate categories. Trade unions </w:t>
      </w:r>
      <w:r w:rsidR="006928D1">
        <w:t xml:space="preserve">warn </w:t>
      </w:r>
      <w:r>
        <w:t xml:space="preserve">that, if implemented carelessly, the directive would </w:t>
      </w:r>
      <w:r w:rsidR="006928D1">
        <w:t xml:space="preserve">legalise </w:t>
      </w:r>
      <w:r>
        <w:t xml:space="preserve">a ‘third </w:t>
      </w:r>
      <w:r w:rsidRPr="00792F1C">
        <w:t xml:space="preserve">status’</w:t>
      </w:r>
      <w:r>
        <w:t xml:space="preserve"> (</w:t>
      </w:r>
      <w:r w:rsidRPr="00792F1C">
        <w:t xml:space="preserve">‘para-subordinate </w:t>
      </w:r>
      <w:r w:rsidR="006928D1">
        <w:t xml:space="preserve">workers’</w:t>
      </w:r>
      <w:r>
        <w:t xml:space="preserve">), which platforms propose as </w:t>
      </w:r>
      <w:r>
        <w:t xml:space="preserve">a ‘solution</w:t>
      </w:r>
      <w:r w:rsidR="006928D1">
        <w:t xml:space="preserve">’. </w:t>
      </w:r>
      <w:r>
        <w:t xml:space="preserve">The experience </w:t>
      </w:r>
      <w:r>
        <w:t xml:space="preserve">of JustEat</w:t>
      </w:r>
      <w:r>
        <w:t xml:space="preserve">, which is unique among the major platforms in having concluded actual employment contracts, shows that this is possible </w:t>
      </w:r>
      <w:r w:rsidR="00D7386B">
        <w:t xml:space="preserve">– </w:t>
      </w:r>
      <w:r>
        <w:t xml:space="preserve">but the political context </w:t>
      </w:r>
      <w:r>
        <w:t xml:space="preserve">of the far-right government is blocking the implementation of the directive. Trade unions are therefore focusing on regional agreements and collective bargaining.</w:t>
      </w:r>
    </w:p>
    <w:p w:rsidR="00983F19" w:rsidP="00750824" w:rsidRDefault="00000000" w14:paraId="75C17E9E" w14:textId="77777777">
      <w:pPr>
        <w:pStyle w:val="Naslov3"/>
        <w:jc w:val="both"/>
      </w:pPr>
      <w:bookmarkStart w:name="slovenija-čakanje-na-ministrstvo" w:id="20"/>
      <w:bookmarkEnd w:id="19"/>
      <w:r>
        <w:t xml:space="preserve">Slovenia: waiting for the ministry</w:t>
      </w:r>
    </w:p>
    <w:p w:rsidR="00983F19" w:rsidP="00750824" w:rsidRDefault="00000000" w14:paraId="1B236A9D" w14:textId="3D37079A">
      <w:pPr>
        <w:jc w:val="both"/>
      </w:pPr>
      <w:r>
        <w:t xml:space="preserve">In Slovenia</w:t>
      </w:r>
      <w:r>
        <w:t xml:space="preserve">,</w:t>
      </w:r>
      <w:r>
        <w:t xml:space="preserve"> </w:t>
      </w:r>
      <w:r>
        <w:t xml:space="preserve">Wolt </w:t>
      </w:r>
      <w:r>
        <w:t xml:space="preserve">dominates the </w:t>
      </w:r>
      <w:r>
        <w:t xml:space="preserve">platform </w:t>
      </w:r>
      <w:r>
        <w:t xml:space="preserve">delivery </w:t>
      </w:r>
      <w:r>
        <w:t xml:space="preserve">market </w:t>
      </w:r>
      <w:r>
        <w:t xml:space="preserve">with a self-employed model. Trade unions have faced ambivalence amongst the workers themselves: workers recognise their subordination to the platform, but at the same time expect the ministry to resolve the problem </w:t>
      </w:r>
      <w:r w:rsidR="00D7386B">
        <w:t xml:space="preserve">– </w:t>
      </w:r>
      <w:r>
        <w:t xml:space="preserve">not collective bargaining. </w:t>
      </w:r>
      <w:r w:rsidR="006928D1">
        <w:t xml:space="preserve">Following the parliamentary elections </w:t>
      </w:r>
      <w:r>
        <w:t xml:space="preserve">in March 2026, the political will for an ambitious implementation of the directive remains uncertain. Slovenia has traditionally waited until the last minute to transpose European directives. At the same time, in its guidelines for implementation in April 2025, the ZSSS proposes that Slovenia use the directive to bring about</w:t>
      </w:r>
      <w:r>
        <w:lastRenderedPageBreak/>
      </w:r>
      <w:r>
        <w:t xml:space="preserve"> systemic change: the establishment </w:t>
      </w:r>
      <w:r w:rsidR="00CF3B80">
        <w:rPr>
          <w:b/>
          <w:bCs/>
        </w:rPr>
        <w:t xml:space="preserve">of </w:t>
      </w:r>
      <w:r>
        <w:rPr>
          <w:b/>
          <w:bCs/>
        </w:rPr>
        <w:t xml:space="preserve">a general presumption </w:t>
      </w:r>
      <w:r w:rsidR="00CF3B80">
        <w:rPr>
          <w:b/>
          <w:bCs/>
        </w:rPr>
        <w:t xml:space="preserve">of an employment relationship </w:t>
      </w:r>
      <w:r>
        <w:rPr>
          <w:b/>
          <w:bCs/>
        </w:rPr>
        <w:t xml:space="preserve">for all work in </w:t>
      </w:r>
      <w:r w:rsidR="006928D1">
        <w:rPr>
          <w:b/>
          <w:bCs/>
        </w:rPr>
        <w:t xml:space="preserve">Slovenia</w:t>
      </w:r>
      <w:r w:rsidR="006928D1">
        <w:t xml:space="preserve">, </w:t>
      </w:r>
      <w:r>
        <w:t xml:space="preserve">not just for </w:t>
      </w:r>
      <w:r>
        <w:t xml:space="preserve">platform </w:t>
      </w:r>
      <w:r>
        <w:t xml:space="preserve">work.</w:t>
      </w:r>
    </w:p>
    <w:p w:rsidR="00983F19" w:rsidP="00750824" w:rsidRDefault="00000000" w14:paraId="38BDBC36" w14:textId="77777777">
      <w:pPr>
        <w:pStyle w:val="Naslov3"/>
        <w:jc w:val="both"/>
      </w:pPr>
      <w:bookmarkStart w:name="problem-podizvajalcev" w:id="21"/>
      <w:bookmarkEnd w:id="20"/>
      <w:r>
        <w:t xml:space="preserve">The problem of subcontractors</w:t>
      </w:r>
    </w:p>
    <w:p w:rsidR="00983F19" w:rsidP="00750824" w:rsidRDefault="00000000" w14:paraId="61EA3FC7" w14:textId="60717B63">
      <w:pPr>
        <w:jc w:val="both"/>
      </w:pPr>
      <w:bookmarkStart w:name="X1bf507dade63a3b9248d91b10533f96b3456f6d" w:id="22"/>
      <w:bookmarkEnd w:id="21"/>
      <w:r>
        <w:t xml:space="preserve">The common finding across all partner countries is that </w:t>
      </w:r>
      <w:r>
        <w:t xml:space="preserve">subcontracting is becoming the most common mechanism for circumventing the legal presumption </w:t>
      </w:r>
      <w:r w:rsidR="00CF3B80">
        <w:t xml:space="preserve">of employment </w:t>
      </w:r>
      <w:r w:rsidR="006928D1">
        <w:t xml:space="preserve">and the liability </w:t>
      </w:r>
      <w:r w:rsidR="006928D1">
        <w:t xml:space="preserve">of platforms </w:t>
      </w:r>
      <w:r w:rsidR="006928D1">
        <w:t xml:space="preserve">in general</w:t>
      </w:r>
      <w:r>
        <w:t xml:space="preserve">. In Germany</w:t>
      </w:r>
      <w:r>
        <w:t xml:space="preserve">,</w:t>
      </w:r>
      <w:r>
        <w:t xml:space="preserve"> trade unions, drawing on experience with legislation in the postal sector (restrictions </w:t>
      </w:r>
      <w:r>
        <w:t xml:space="preserve">on</w:t>
      </w:r>
      <w:r>
        <w:t xml:space="preserve"> subcontracting </w:t>
      </w:r>
      <w:r>
        <w:t xml:space="preserve">chains in parcel delivery), have observed that platforms are rapidly shifting to models involving subcontracting chains, where workers are not formally employed by the platform. In Spain</w:t>
      </w:r>
      <w:r w:rsidR="006928D1">
        <w:rPr>
          <w:i/>
          <w:iCs/>
        </w:rPr>
        <w:t xml:space="preserve">,</w:t>
      </w:r>
      <w:r>
        <w:t xml:space="preserve"> following the introduction of </w:t>
      </w:r>
      <w:r>
        <w:rPr>
          <w:i/>
          <w:iCs/>
        </w:rPr>
        <w:t xml:space="preserve">the Ley </w:t>
      </w:r>
      <w:r>
        <w:rPr>
          <w:i/>
          <w:iCs/>
        </w:rPr>
        <w:t xml:space="preserve">Rider</w:t>
      </w:r>
      <w:r w:rsidR="006928D1">
        <w:rPr>
          <w:i/>
          <w:iCs/>
        </w:rPr>
        <w:t xml:space="preserve">, </w:t>
      </w:r>
      <w:r>
        <w:t xml:space="preserve">platforms such as </w:t>
      </w:r>
      <w:r>
        <w:t xml:space="preserve">Glovo</w:t>
      </w:r>
      <w:r>
        <w:t xml:space="preserve">, </w:t>
      </w:r>
      <w:r>
        <w:t xml:space="preserve">Uber </w:t>
      </w:r>
      <w:r>
        <w:t xml:space="preserve">Eats </w:t>
      </w:r>
      <w:r>
        <w:t xml:space="preserve">and Just </w:t>
      </w:r>
      <w:r>
        <w:t xml:space="preserve">Eat </w:t>
      </w:r>
      <w:r>
        <w:t xml:space="preserve">have </w:t>
      </w:r>
      <w:r>
        <w:t xml:space="preserve">switched to </w:t>
      </w:r>
      <w:r>
        <w:t xml:space="preserve">subcontracting </w:t>
      </w:r>
      <w:r>
        <w:t xml:space="preserve">models, meaning that trade unions often do not even know who the worker’s actual employer is.</w:t>
      </w:r>
    </w:p>
    <w:p w:rsidR="00D90A18" w:rsidP="00750824" w:rsidRDefault="00D90A18" w14:paraId="729D9F2A" w14:textId="77777777">
      <w:pPr>
        <w:jc w:val="both"/>
      </w:pPr>
    </w:p>
    <w:p w:rsidR="00983F19" w:rsidP="00750824" w:rsidRDefault="00000000" w14:paraId="23F0015A" w14:textId="77777777">
      <w:pPr>
        <w:jc w:val="both"/>
      </w:pPr>
      <w:bookmarkStart w:name="X464365a3056fb9d1594f024ef98aa7e37f41722" w:id="23"/>
      <w:bookmarkEnd w:id="22"/>
      <w:r>
        <w:t xml:space="preserve">The </w:t>
      </w:r>
      <w:r>
        <w:t xml:space="preserve">Platform</w:t>
      </w:r>
      <w:r>
        <w:t xml:space="preserve"> </w:t>
      </w:r>
      <w:r>
        <w:t xml:space="preserve">Work</w:t>
      </w:r>
      <w:r>
        <w:t xml:space="preserve"> Directive </w:t>
      </w:r>
      <w:r>
        <w:t xml:space="preserve">addresses this problem in Article 3, which requires that workers employed through intermediaries enjoy the same level of protection as those in a direct relationship with the platform, including mechanisms for joint and several liability. However, the actual implementation of this provision will be a crucial test.</w:t>
      </w:r>
    </w:p>
    <w:p w:rsidR="00983F19" w:rsidP="00750824" w:rsidRDefault="00000000" w14:paraId="49708D2C" w14:textId="77777777">
      <w:pPr>
        <w:pStyle w:val="Naslov3"/>
        <w:jc w:val="both"/>
      </w:pPr>
      <w:bookmarkStart w:name="Xb9c5b4a731a8b417512c018455fc5f559bc3d6e" w:id="24"/>
      <w:bookmarkEnd w:id="23"/>
      <w:r>
        <w:t xml:space="preserve">Common structural observation: who will initiate proceedings?</w:t>
      </w:r>
    </w:p>
    <w:p w:rsidR="00983F19" w:rsidP="00750824" w:rsidRDefault="00000000" w14:paraId="7DE4A2A7" w14:textId="5D09F7E6">
      <w:pPr>
        <w:jc w:val="both"/>
      </w:pPr>
      <w:r>
        <w:t xml:space="preserve">At the conference, Tea Jarc (ETUC) highlighted a key practical challenge: for the legal presumption to apply, someone must initiate proceedings. Workers often do not do so because they fear a loss of earnings. The courts are slow and expensive. That is why the ETUC’s key focus is on </w:t>
      </w:r>
      <w:r>
        <w:rPr>
          <w:b/>
          <w:bCs/>
        </w:rPr>
        <w:t xml:space="preserve">administrative procedures </w:t>
      </w:r>
      <w:r w:rsidR="006928D1">
        <w:t xml:space="preserve">and </w:t>
      </w:r>
      <w:r>
        <w:t xml:space="preserve">labour inspectorates, which have </w:t>
      </w:r>
      <w:r>
        <w:rPr>
          <w:b/>
          <w:bCs/>
        </w:rPr>
        <w:t xml:space="preserve">a duty </w:t>
      </w:r>
      <w:r>
        <w:t xml:space="preserve">to initiate proceedings whenever they observe signs of misclassification </w:t>
      </w:r>
      <w:r>
        <w:rPr>
          <w:b/>
          <w:bCs/>
        </w:rPr>
        <w:t xml:space="preserve">without the worker’s consent</w:t>
      </w:r>
      <w:r>
        <w:t xml:space="preserve">. The Directive sets out this obligation in Article 5(5), but its effective implementation requires that labour inspectorates be adequately staffed and equipped with the necessary expertise.</w:t>
      </w:r>
    </w:p>
    <w:p w:rsidR="00983F19" w:rsidP="00750824" w:rsidRDefault="00000000" w14:paraId="4740E06C" w14:textId="77777777">
      <w:pPr>
        <w:pStyle w:val="Naslov2"/>
        <w:jc w:val="both"/>
      </w:pPr>
      <w:bookmarkStart w:name="_Toc233699487" w:id="25"/>
      <w:bookmarkStart w:name="priporočila" w:id="26"/>
      <w:bookmarkEnd w:id="15"/>
      <w:bookmarkEnd w:id="24"/>
      <w:r>
        <w:t xml:space="preserve">3.3 Recommendations</w:t>
      </w:r>
      <w:bookmarkEnd w:id="25"/>
    </w:p>
    <w:p w:rsidR="00983F19" w:rsidP="00750824" w:rsidRDefault="00000000" w14:paraId="1EEE5D89" w14:textId="77777777">
      <w:pPr>
        <w:jc w:val="both"/>
      </w:pPr>
      <w:r>
        <w:t xml:space="preserve">Based on an analysis of the Directive’s requirements, practical experience and discussions within the European Commission’s expert group, we have drawn up the following recommendations for Member States regarding the transposition of Chapter II of the Directive.</w:t>
      </w:r>
    </w:p>
    <w:p w:rsidR="00D90A18" w:rsidP="00750824" w:rsidRDefault="00D90A18" w14:paraId="3987237E" w14:textId="77777777">
      <w:pPr>
        <w:jc w:val="both"/>
      </w:pPr>
    </w:p>
    <w:p w:rsidR="00D90A18" w:rsidP="00750824" w:rsidRDefault="00000000" w14:paraId="106960A2" w14:textId="63A00551">
      <w:pPr>
        <w:pStyle w:val="Naslov3"/>
        <w:jc w:val="both"/>
      </w:pPr>
      <w:r>
        <w:t xml:space="preserve">Recommendation 3.1 [DIRECTIVE]: Legal presumption </w:t>
      </w:r>
      <w:r w:rsidR="00CF3B80">
        <w:t xml:space="preserve">of employment </w:t>
      </w:r>
      <w:r>
        <w:t xml:space="preserve">without additional criteria</w:t>
      </w:r>
    </w:p>
    <w:p w:rsidR="00D90A18" w:rsidP="00750824" w:rsidRDefault="00000000" w14:paraId="35ACE1BF" w14:textId="64747BBE">
      <w:pPr>
        <w:jc w:val="both"/>
      </w:pPr>
      <w:r>
        <w:t xml:space="preserve">When transposing Article 5, Member States should not introduce additional criteria or lists of indicators that must be met before the legal presumption </w:t>
      </w:r>
      <w:r w:rsidR="00CF3B80">
        <w:t xml:space="preserve">of employment</w:t>
      </w:r>
      <w:r>
        <w:t xml:space="preserve"> is </w:t>
      </w:r>
      <w:r>
        <w:t xml:space="preserve">triggered. The EC’s expert group has made this unequivocally clear: the Directive does not require criteria, but merely a finding of facts indicating direction and supervision, to a standard comparable to the </w:t>
      </w:r>
      <w:r>
        <w:rPr>
          <w:i/>
          <w:iCs/>
        </w:rPr>
        <w:t xml:space="preserve">prima </w:t>
      </w:r>
      <w:r>
        <w:rPr>
          <w:i/>
          <w:iCs/>
        </w:rPr>
        <w:t xml:space="preserve">facie </w:t>
      </w:r>
      <w:r>
        <w:t xml:space="preserve">principle </w:t>
      </w:r>
      <w:r>
        <w:t xml:space="preserve">in </w:t>
      </w:r>
      <w:r>
        <w:t xml:space="preserve">EU </w:t>
      </w:r>
      <w:r>
        <w:t xml:space="preserve">anti-discrimination </w:t>
      </w:r>
      <w:r>
        <w:t xml:space="preserve">legislation. It is sufficient for the facts </w:t>
      </w:r>
      <w:r w:rsidR="006B029C">
        <w:t xml:space="preserve">to indicate that subordination is possible; </w:t>
      </w:r>
      <w:r w:rsidR="006B029C">
        <w:t xml:space="preserve">conclusive </w:t>
      </w:r>
      <w:r w:rsidR="006B029C">
        <w:t xml:space="preserve">evidence </w:t>
      </w:r>
      <w:r>
        <w:t xml:space="preserve">is </w:t>
      </w:r>
      <w:r>
        <w:t xml:space="preserve">not </w:t>
      </w:r>
      <w:r w:rsidR="006B029C">
        <w:t xml:space="preserve">required</w:t>
      </w:r>
      <w:r>
        <w:t xml:space="preserve">. The Belgian experience </w:t>
      </w:r>
      <w:r w:rsidR="006B029C">
        <w:t xml:space="preserve">shows </w:t>
      </w:r>
      <w:r>
        <w:t xml:space="preserve">that long lists of criteria benefit platforms, not workers: platforms simply adapt contracts and the organisation of work so that, formally</w:t>
      </w:r>
      <w:r w:rsidR="006B029C">
        <w:t xml:space="preserve">,</w:t>
      </w:r>
      <w:r>
        <w:t xml:space="preserve"> none of </w:t>
      </w:r>
      <w:r w:rsidR="006B029C">
        <w:t xml:space="preserve">the</w:t>
      </w:r>
      <w:r>
        <w:t xml:space="preserve"> criteria are met</w:t>
      </w:r>
      <w:r w:rsidR="006B029C">
        <w:t xml:space="preserve">, or too few are met</w:t>
      </w:r>
      <w:r>
        <w:t xml:space="preserve">.</w:t>
      </w:r>
    </w:p>
    <w:p w:rsidR="005418CA" w:rsidP="00750824" w:rsidRDefault="005418CA" w14:paraId="528984B3" w14:textId="77777777">
      <w:pPr>
        <w:jc w:val="both"/>
      </w:pPr>
    </w:p>
    <w:p w:rsidR="00D90A18" w:rsidP="00750824" w:rsidRDefault="00000000" w14:paraId="445D2D62" w14:textId="2A3B60B3">
      <w:pPr>
        <w:pStyle w:val="Naslov3"/>
        <w:jc w:val="both"/>
      </w:pPr>
      <w:r>
        <w:t xml:space="preserve">Recommendation 3.2 [DIRECTIVE]: Administrative procedures as the primary means of determining status</w:t>
      </w:r>
    </w:p>
    <w:p w:rsidR="00983F19" w:rsidP="00750824" w:rsidRDefault="00000000" w14:paraId="45A2F001" w14:textId="3908CFB5">
      <w:pPr>
        <w:jc w:val="both"/>
      </w:pPr>
      <w:r>
        <w:lastRenderedPageBreak/>
      </w:r>
      <w:r>
        <w:t xml:space="preserve">When implementing Article 5, Member States should establish or strengthen </w:t>
      </w:r>
      <w:r>
        <w:rPr>
          <w:b/>
          <w:bCs/>
        </w:rPr>
        <w:t xml:space="preserve">administrative procedures before labour inspectorates </w:t>
      </w:r>
      <w:r>
        <w:t xml:space="preserve">as the primary route for determining the employment status </w:t>
      </w:r>
      <w:r>
        <w:t xml:space="preserve">of platform </w:t>
      </w:r>
      <w:r>
        <w:t xml:space="preserve">workers, in parallel with judicial proceedings. Administrative procedures are faster, cheaper and more accessible for workers in </w:t>
      </w:r>
      <w:r>
        <w:t xml:space="preserve">precarious </w:t>
      </w:r>
      <w:r>
        <w:t xml:space="preserve">situations. Practical experience shows that it is often </w:t>
      </w:r>
      <w:r w:rsidR="006B029C">
        <w:t xml:space="preserve">impossible </w:t>
      </w:r>
      <w:r>
        <w:t xml:space="preserve">to expect </w:t>
      </w:r>
      <w:r>
        <w:t xml:space="preserve">a worker to consent to court proceedings </w:t>
      </w:r>
      <w:r w:rsidR="00D7386B">
        <w:t xml:space="preserve">– </w:t>
      </w:r>
      <w:r>
        <w:t xml:space="preserve">workers fear losing access to the platform </w:t>
      </w:r>
      <w:r w:rsidR="006B029C">
        <w:t xml:space="preserve">or their earnings – so it is crucial that proceedings can be initiated without their consent</w:t>
      </w:r>
      <w:r>
        <w:t xml:space="preserve">. Under Article 5(5) of the Directive, the </w:t>
      </w:r>
      <w:r w:rsidR="006B029C">
        <w:t xml:space="preserve">labour</w:t>
      </w:r>
      <w:r>
        <w:t xml:space="preserve"> inspectorate is obliged to initiate proceedings without the worker’s consent where </w:t>
      </w:r>
      <w:r w:rsidR="006B029C">
        <w:t xml:space="preserve">it</w:t>
      </w:r>
      <w:r>
        <w:t xml:space="preserve"> detects indications </w:t>
      </w:r>
      <w:r w:rsidR="006B029C">
        <w:t xml:space="preserve">of an incorrect employment status</w:t>
      </w:r>
      <w:r>
        <w:t xml:space="preserve">. This obligation must be explicitly incorporated into national transposition </w:t>
      </w:r>
      <w:r w:rsidR="006B029C">
        <w:t xml:space="preserve">legislation</w:t>
      </w:r>
      <w:r>
        <w:t xml:space="preserve">.</w:t>
      </w:r>
    </w:p>
    <w:p w:rsidR="00D90A18" w:rsidP="00750824" w:rsidRDefault="00D90A18" w14:paraId="16DE2351" w14:textId="77777777">
      <w:pPr>
        <w:jc w:val="both"/>
      </w:pPr>
    </w:p>
    <w:p w:rsidR="00D90A18" w:rsidP="00750824" w:rsidRDefault="00000000" w14:paraId="62FDA2CE" w14:textId="2022511F">
      <w:pPr>
        <w:pStyle w:val="Naslov3"/>
        <w:jc w:val="both"/>
      </w:pPr>
      <w:r>
        <w:t xml:space="preserve">Recommendation 3.3 [GOES BEYOND THE MINIMUM]: Strengthening labour inspectorates with staffing and algorithmic expertise</w:t>
      </w:r>
    </w:p>
    <w:p w:rsidR="00D90A18" w:rsidP="00750824" w:rsidRDefault="00000000" w14:paraId="375BA482" w14:textId="09351655">
      <w:pPr>
        <w:jc w:val="both"/>
      </w:pPr>
      <w:r>
        <w:t xml:space="preserve">Article 6 of the Directive requires effective </w:t>
      </w:r>
      <w:r>
        <w:t xml:space="preserve">inspections and ensures that the competent authorities are adequately trained in the field of algorithmic trading. All partner countries report that inspectorates lack both sufficient staff and the technical expertise to </w:t>
      </w:r>
      <w:r w:rsidR="00352350">
        <w:t xml:space="preserve">understand and </w:t>
      </w:r>
      <w:r>
        <w:t xml:space="preserve">assess algorithmically mediated supervision. We recommend that, when transposing the Directive, governments allocate specific budgetary resources for: recruiting new inspectors specialising in digital business models, establishing or expanding so-called </w:t>
      </w:r>
      <w:r w:rsidR="00352350">
        <w:t xml:space="preserve">‘platform </w:t>
      </w:r>
      <w:r w:rsidR="00352350">
        <w:t xml:space="preserve">economy </w:t>
      </w:r>
      <w:r w:rsidR="00352350">
        <w:t xml:space="preserve">units’ </w:t>
      </w:r>
      <w:r>
        <w:t xml:space="preserve">within existing inspectorates, and ensuring access to technical experts in algorithmic management for the purposes of individual cases. The Spanish example shows that intensive inspection activity, combined with the threat of criminal liability </w:t>
      </w:r>
      <w:r w:rsidR="00D7386B">
        <w:t xml:space="preserve">– </w:t>
      </w:r>
      <w:r>
        <w:t xml:space="preserve">not just financial penalties </w:t>
      </w:r>
      <w:r w:rsidR="00D7386B">
        <w:t xml:space="preserve">– </w:t>
      </w:r>
      <w:r>
        <w:t xml:space="preserve">brings about a decisive shift in the behaviour of platforms.</w:t>
      </w:r>
    </w:p>
    <w:p w:rsidR="006B029C" w:rsidP="00750824" w:rsidRDefault="006B029C" w14:paraId="0AEE926B" w14:textId="77777777">
      <w:pPr>
        <w:jc w:val="both"/>
      </w:pPr>
    </w:p>
    <w:p w:rsidR="00D90A18" w:rsidP="00750824" w:rsidRDefault="00000000" w14:paraId="51C2E9BD" w14:textId="06788943">
      <w:pPr>
        <w:pStyle w:val="Naslov3"/>
        <w:jc w:val="both"/>
      </w:pPr>
      <w:r>
        <w:t xml:space="preserve">Recommendation 3.4 [GOES BEYOND THE MINIMUM]: </w:t>
      </w:r>
      <w:r w:rsidR="00A25A76">
        <w:t xml:space="preserve">Joint and several </w:t>
      </w:r>
      <w:r>
        <w:t xml:space="preserve">liability across </w:t>
      </w:r>
      <w:r>
        <w:t xml:space="preserve">the entire chain of intermediaries</w:t>
      </w:r>
    </w:p>
    <w:p w:rsidR="00D90A18" w:rsidP="00750824" w:rsidRDefault="00000000" w14:paraId="3D8DE1AF" w14:textId="6F0F5E56">
      <w:pPr>
        <w:jc w:val="both"/>
      </w:pPr>
      <w:r>
        <w:t xml:space="preserve">See Recommendation 2.3 in full. In the context of the legal presumption </w:t>
      </w:r>
      <w:r w:rsidR="00CF3B80">
        <w:t xml:space="preserve">of employment</w:t>
      </w:r>
      <w:r>
        <w:t xml:space="preserve">, we emphasise that </w:t>
      </w:r>
      <w:r>
        <w:t xml:space="preserve">subcontracting </w:t>
      </w:r>
      <w:r>
        <w:t xml:space="preserve">has become the most common mechanism for circumventing this legal presumption. Without mandatory </w:t>
      </w:r>
      <w:r w:rsidR="00A25A76">
        <w:t xml:space="preserve">joint and several </w:t>
      </w:r>
      <w:r>
        <w:t xml:space="preserve">liability, any legal presumption </w:t>
      </w:r>
      <w:r w:rsidR="00CF3B80">
        <w:t xml:space="preserve">of employment</w:t>
      </w:r>
      <w:r>
        <w:t xml:space="preserve"> will be </w:t>
      </w:r>
      <w:r>
        <w:t xml:space="preserve">circumvented simply by </w:t>
      </w:r>
      <w:r w:rsidR="00352350">
        <w:t xml:space="preserve">placing </w:t>
      </w:r>
      <w:r>
        <w:t xml:space="preserve">a subcontractor between the platform and the worker.</w:t>
      </w:r>
    </w:p>
    <w:p w:rsidR="005418CA" w:rsidP="00750824" w:rsidRDefault="005418CA" w14:paraId="69123DCA" w14:textId="77777777">
      <w:pPr>
        <w:jc w:val="both"/>
      </w:pPr>
    </w:p>
    <w:p w:rsidR="00D90A18" w:rsidP="00750824" w:rsidRDefault="00000000" w14:paraId="0717D13E" w14:textId="65383591">
      <w:pPr>
        <w:pStyle w:val="Naslov3"/>
        <w:jc w:val="both"/>
      </w:pPr>
      <w:r>
        <w:t xml:space="preserve">Recommendation 3.5 [DIRECTIVE]: Collective enforcement of the legal presumption by trade unions</w:t>
      </w:r>
    </w:p>
    <w:p w:rsidR="00983F19" w:rsidP="00750824" w:rsidRDefault="00000000" w14:paraId="37C2E2C2" w14:textId="18A8E766">
      <w:pPr>
        <w:jc w:val="both"/>
      </w:pPr>
      <w:r>
        <w:t xml:space="preserve">Article 19 of the Directive grants workers’ representatives the right to act in proceedings on behalf of one or more workers. Member States should strengthen this mechanism by establishing clear procedural rules enabling trade unions to initiate collective or group proceedings to determine </w:t>
      </w:r>
      <w:r w:rsidR="00352350">
        <w:t xml:space="preserve">employment </w:t>
      </w:r>
      <w:r>
        <w:t xml:space="preserve">status without the need for </w:t>
      </w:r>
      <w:r w:rsidR="00352350">
        <w:t xml:space="preserve">the individual consent </w:t>
      </w:r>
      <w:r>
        <w:t xml:space="preserve">of each worker. At the conference in Ljubljana</w:t>
      </w:r>
      <w:r w:rsidR="00352350">
        <w:t xml:space="preserve">, held as part of the SDDP project</w:t>
      </w:r>
      <w:r>
        <w:t xml:space="preserve">, this was a joint demand of all partner trade union organisations, which </w:t>
      </w:r>
      <w:r w:rsidR="00352350">
        <w:t xml:space="preserve">is also supported by </w:t>
      </w:r>
      <w:r>
        <w:t xml:space="preserve">the ETUC. In countries where collective actions are not possible (e.g. Germany, Slovenia), the statutory establishment of this option is a prerequisite for the effective implementation of the Directive.</w:t>
      </w:r>
    </w:p>
    <w:p w:rsidR="00D90A18" w:rsidP="00750824" w:rsidRDefault="00D90A18" w14:paraId="4A81FEE6" w14:textId="77777777">
      <w:pPr>
        <w:jc w:val="both"/>
      </w:pPr>
    </w:p>
    <w:p w:rsidR="00D90A18" w:rsidP="00750824" w:rsidRDefault="00000000" w14:paraId="781C8FE6" w14:textId="47EC77EB">
      <w:pPr>
        <w:pStyle w:val="Naslov3"/>
        <w:jc w:val="both"/>
      </w:pPr>
      <w:r>
        <w:lastRenderedPageBreak/>
      </w:r>
      <w:r>
        <w:t xml:space="preserve">Recommendation 3.6 [GOES BEYOND THE MINIMUM]: Social dialogue as a parallel route </w:t>
      </w:r>
      <w:r w:rsidR="00D7386B">
        <w:t xml:space="preserve">– </w:t>
      </w:r>
      <w:r>
        <w:t xml:space="preserve">determining status without waiting for the courts</w:t>
      </w:r>
    </w:p>
    <w:p w:rsidR="00983F19" w:rsidP="00750824" w:rsidRDefault="00000000" w14:paraId="7AC95C4B" w14:textId="2E3E2CBC">
      <w:pPr>
        <w:jc w:val="both"/>
      </w:pPr>
      <w:r>
        <w:t xml:space="preserve">Article 29(3–4) of the Directive allows the social partners to implement the provisions of the Directive through collective agreements, provided that the general objectives of the Directive are ensured. This opens up the opportunity </w:t>
      </w:r>
      <w:r w:rsidR="001B1A93">
        <w:t xml:space="preserve">to </w:t>
      </w:r>
      <w:r>
        <w:t xml:space="preserve">extend existing collective agreements in related sectors (e.g. the postal sector, the transport sector) to platform workers performing comparable work. This model </w:t>
      </w:r>
      <w:r w:rsidR="001B1A93">
        <w:t xml:space="preserve">of </w:t>
      </w:r>
      <w:r>
        <w:t xml:space="preserve">‘collective agreements as </w:t>
      </w:r>
      <w:r w:rsidR="001B1A93">
        <w:t xml:space="preserve">a bridge’ </w:t>
      </w:r>
      <w:r>
        <w:t xml:space="preserve">is a fundamental element of this document: social dialogue does not wait for </w:t>
      </w:r>
      <w:r>
        <w:t xml:space="preserve">a </w:t>
      </w:r>
      <w:r w:rsidR="00827187">
        <w:t xml:space="preserve">potentially </w:t>
      </w:r>
      <w:r>
        <w:t xml:space="preserve">protracted court ruling to legally define status, but instead guarantees workers concrete rights immediately. The government should actively promote such agreements through mediation mechanisms and financial incentives for platforms that voluntarily enter into collective bargaining.</w:t>
      </w:r>
    </w:p>
    <w:p w:rsidR="00D90A18" w:rsidP="00750824" w:rsidRDefault="00D90A18" w14:paraId="19E69F43" w14:textId="77777777">
      <w:pPr>
        <w:jc w:val="both"/>
      </w:pPr>
    </w:p>
    <w:p w:rsidR="00D90A18" w:rsidP="00750824" w:rsidRDefault="00000000" w14:paraId="3F78841D" w14:textId="2BFBC407">
      <w:pPr>
        <w:pStyle w:val="Naslov3"/>
        <w:jc w:val="both"/>
      </w:pPr>
      <w:r>
        <w:t xml:space="preserve">Recommendation 3.7 [AMBITIOUS]: A general presumption </w:t>
      </w:r>
      <w:r w:rsidR="00CF3B80">
        <w:t xml:space="preserve">of employment </w:t>
      </w:r>
      <w:r>
        <w:t xml:space="preserve">for all work</w:t>
      </w:r>
    </w:p>
    <w:p w:rsidR="00983F19" w:rsidP="00750824" w:rsidRDefault="00000000" w14:paraId="0D711DE9" w14:textId="13F86F4A">
      <w:pPr>
        <w:jc w:val="both"/>
      </w:pPr>
      <w:r>
        <w:t xml:space="preserve">Member States should </w:t>
      </w:r>
      <w:r w:rsidR="00F2754C">
        <w:t xml:space="preserve">use the Directive as an opportunity </w:t>
      </w:r>
      <w:r>
        <w:t xml:space="preserve">for systemic change </w:t>
      </w:r>
      <w:r w:rsidR="00F2754C">
        <w:t xml:space="preserve">to curb the spread </w:t>
      </w:r>
      <w:r w:rsidR="00F2754C">
        <w:t xml:space="preserve">of precariousness </w:t>
      </w:r>
      <w:r w:rsidR="00F2754C">
        <w:t xml:space="preserve">in the labour market</w:t>
      </w:r>
      <w:r>
        <w:t xml:space="preserve">: establishing a general legal presumption that all work is carried out on the basis </w:t>
      </w:r>
      <w:r w:rsidR="00CF3B80">
        <w:t xml:space="preserve">of an</w:t>
      </w:r>
      <w:r>
        <w:t xml:space="preserve"> employment relationship</w:t>
      </w:r>
      <w:r>
        <w:t xml:space="preserve">, unless the employer </w:t>
      </w:r>
      <w:r>
        <w:t xml:space="preserve">can demonstrate </w:t>
      </w:r>
      <w:r w:rsidRPr="005418CA">
        <w:rPr>
          <w:b/>
          <w:bCs/>
        </w:rPr>
        <w:t xml:space="preserve">in advance </w:t>
      </w:r>
      <w:r>
        <w:t xml:space="preserve">that, in a specific case</w:t>
      </w:r>
      <w:r w:rsidR="00615F18">
        <w:t xml:space="preserve">,</w:t>
      </w:r>
      <w:r>
        <w:t xml:space="preserve"> the elements </w:t>
      </w:r>
      <w:r w:rsidR="00615F18">
        <w:t xml:space="preserve">of an</w:t>
      </w:r>
      <w:r>
        <w:t xml:space="preserve"> employment relationship are not present</w:t>
      </w:r>
      <w:r>
        <w:t xml:space="preserve">. In its guidelines for the implementation of the Directive (April 2025)</w:t>
      </w:r>
      <w:r w:rsidR="00F2754C">
        <w:t xml:space="preserve">,</w:t>
      </w:r>
      <w:r>
        <w:t xml:space="preserve"> the ZSSS proposes this approach for Slovenia</w:t>
      </w:r>
      <w:r>
        <w:t xml:space="preserve">; we also recommend it to other EU Member States as an example of good practice, as it reverses the burden of proof for all atypical forms of work, not just </w:t>
      </w:r>
      <w:r>
        <w:t xml:space="preserve">platform </w:t>
      </w:r>
      <w:r>
        <w:t xml:space="preserve">work.</w:t>
      </w:r>
    </w:p>
    <w:p w:rsidR="005418CA" w:rsidP="00750824" w:rsidRDefault="005418CA" w14:paraId="577A9F2D" w14:textId="77777777">
      <w:pPr>
        <w:jc w:val="both"/>
      </w:pPr>
    </w:p>
    <w:p w:rsidR="00983F19" w:rsidP="00750824" w:rsidRDefault="00000000" w14:paraId="47953129" w14:textId="5AEB9B22">
      <w:pPr>
        <w:jc w:val="both"/>
      </w:pPr>
      <w:r>
        <w:t xml:space="preserve">In parallel, </w:t>
      </w:r>
      <w:r>
        <w:t xml:space="preserve">a register of atypical forms of work </w:t>
      </w:r>
      <w:r w:rsidR="00F2754C">
        <w:t xml:space="preserve">should be </w:t>
      </w:r>
      <w:r>
        <w:t xml:space="preserve">established</w:t>
      </w:r>
      <w:r w:rsidR="00F2754C">
        <w:t xml:space="preserve">,</w:t>
      </w:r>
      <w:r>
        <w:t xml:space="preserve"> recording the reasons </w:t>
      </w:r>
      <w:r w:rsidR="00F2754C">
        <w:t xml:space="preserve">that exclude elements </w:t>
      </w:r>
      <w:r>
        <w:t xml:space="preserve">of an employment relationship </w:t>
      </w:r>
      <w:r w:rsidR="00615F18">
        <w:t xml:space="preserve">or employment</w:t>
      </w:r>
      <w:r>
        <w:t xml:space="preserve">, which would enable supervisory authorities to carry out systematic monitoring and acquire the power to determine the existence of employment relationships by means of a decision that would serve as a direct basis for registration with social security schemes </w:t>
      </w:r>
      <w:r w:rsidR="00F2754C">
        <w:t xml:space="preserve">or for the conclusion of an employment relationship</w:t>
      </w:r>
      <w:r>
        <w:t xml:space="preserve">. Such an approach would remedy the fundamental weakness of the current system </w:t>
      </w:r>
      <w:r w:rsidR="00D7386B">
        <w:t xml:space="preserve">– </w:t>
      </w:r>
      <w:r>
        <w:t xml:space="preserve">at present, the worker bears the entire burden of proof and risks protracted legal proceedings, </w:t>
      </w:r>
      <w:r>
        <w:rPr>
          <w:b/>
          <w:bCs/>
        </w:rPr>
        <w:t xml:space="preserve">whilst the employer who created such a relationship waits comfortably on the sidelines</w:t>
      </w:r>
      <w:r>
        <w:t xml:space="preserve">. The Directive not only permits such a more ambitious approach but, in the spirit of Articles 26 and 6 (framework of supporting measures), explicitly encourages it.</w:t>
      </w:r>
    </w:p>
    <w:p w:rsidR="00D90A18" w:rsidP="00750824" w:rsidRDefault="00D90A18" w14:paraId="418BD09B" w14:textId="77777777">
      <w:pPr>
        <w:jc w:val="both"/>
      </w:pPr>
    </w:p>
    <w:p w:rsidR="00983F19" w:rsidP="00750824" w:rsidRDefault="00000000" w14:paraId="2BCE9490" w14:textId="77777777">
      <w:pPr>
        <w:jc w:val="both"/>
      </w:pPr>
      <w:r>
        <w:rPr>
          <w:i/>
          <w:iCs/>
        </w:rPr>
        <w:t xml:space="preserve">Sources: Report of the expert group on the transposition of Directive (EU) 2024/2831 (January 2026); Proceedings of the SDDP interim conference, Ljubljana, May 2025; ZSSS Guidelines for the implementation of Directive (EU) 2024/2831 (April 2025, adopted at the 13th meeting of the ZSSS Presidium).</w:t>
      </w:r>
    </w:p>
    <w:p w:rsidR="00750824" w:rsidRDefault="00750824" w14:paraId="756DEE11" w14:textId="77777777">
      <w:pPr>
        <w:rPr>
          <w:b/>
          <w:bCs/>
          <w:color w:val="1F3864"/>
          <w:sz w:val="36"/>
          <w:szCs w:val="36"/>
        </w:rPr>
      </w:pPr>
      <w:bookmarkStart w:name="X8e939e3967694a792ac80ce4c2e3272ea45726e" w:id="27"/>
      <w:bookmarkEnd w:id="10"/>
      <w:bookmarkEnd w:id="26"/>
      <w:r>
        <w:br w:type="page"/>
      </w:r>
    </w:p>
    <w:p w:rsidR="00983F19" w:rsidP="00750824" w:rsidRDefault="00000000" w14:paraId="2F263261" w14:textId="42F96A40">
      <w:pPr>
        <w:pStyle w:val="Naslov1"/>
        <w:jc w:val="both"/>
      </w:pPr>
      <w:bookmarkStart w:name="_Toc233699488" w:id="28"/>
      <w:r>
        <w:lastRenderedPageBreak/>
      </w:r>
      <w:r>
        <w:t xml:space="preserve">Chapter 4: Algorithmic management and human oversight</w:t>
      </w:r>
      <w:bookmarkEnd w:id="28"/>
    </w:p>
    <w:p w:rsidR="00983F19" w:rsidP="00750824" w:rsidRDefault="00000000" w14:paraId="67677373" w14:textId="77777777">
      <w:pPr>
        <w:pStyle w:val="Naslov2"/>
        <w:jc w:val="both"/>
      </w:pPr>
      <w:bookmarkStart w:name="_Toc233699489" w:id="29"/>
      <w:bookmarkStart w:name="zahteve-direktive-1" w:id="30"/>
      <w:r>
        <w:t xml:space="preserve">4.1 Requirements of the Directive</w:t>
      </w:r>
      <w:bookmarkEnd w:id="29"/>
    </w:p>
    <w:p w:rsidR="00983F19" w:rsidP="00750824" w:rsidRDefault="00000000" w14:paraId="06C4F62C" w14:textId="3B67F9E5">
      <w:pPr>
        <w:jc w:val="both"/>
      </w:pPr>
      <w:r>
        <w:t xml:space="preserve">The Directive </w:t>
      </w:r>
      <w:r>
        <w:t xml:space="preserve">devotes the entirety of Chapter III (Articles 7–15) to</w:t>
      </w:r>
      <w:r w:rsidR="00557445">
        <w:t xml:space="preserve"> algorithmic management</w:t>
      </w:r>
      <w:r>
        <w:t xml:space="preserve">, reflecting </w:t>
      </w:r>
      <w:r w:rsidR="0069475D">
        <w:t xml:space="preserve">the understanding </w:t>
      </w:r>
      <w:r>
        <w:t xml:space="preserve">that the automated management of workers is a central feature </w:t>
      </w:r>
      <w:r>
        <w:t xml:space="preserve">of</w:t>
      </w:r>
      <w:r>
        <w:t xml:space="preserve"> platform </w:t>
      </w:r>
      <w:r>
        <w:t xml:space="preserve">work and, at the same time, one of its greatest challenges. The Directive establishes three pillars of regulation for algorithmic management: restrictions on the processing of personal data, transparency requirements, and the rights to human oversight and review of decisions.</w:t>
      </w:r>
    </w:p>
    <w:p w:rsidR="00D90A18" w:rsidP="00750824" w:rsidRDefault="00D90A18" w14:paraId="4D249EF8" w14:textId="77777777">
      <w:pPr>
        <w:jc w:val="both"/>
      </w:pPr>
    </w:p>
    <w:p w:rsidR="00983F19" w:rsidP="00750824" w:rsidRDefault="00000000" w14:paraId="10F377A6" w14:textId="77777777">
      <w:pPr>
        <w:jc w:val="both"/>
      </w:pPr>
      <w:r>
        <w:rPr>
          <w:b/>
          <w:bCs/>
        </w:rPr>
        <w:t xml:space="preserve">Restrictions on data processing (Article 7) </w:t>
      </w:r>
      <w:r>
        <w:t xml:space="preserve">constitute absolute prohibitions which platforms must not breach under any circumstances. Platforms are expressly prohibited from:</w:t>
      </w:r>
    </w:p>
    <w:p w:rsidR="00D90A18" w:rsidP="00750824" w:rsidRDefault="00D90A18" w14:paraId="6741CFD4" w14:textId="77777777">
      <w:pPr>
        <w:jc w:val="both"/>
      </w:pPr>
    </w:p>
    <w:p w:rsidR="00983F19" w:rsidP="00750824" w:rsidRDefault="00000000" w14:paraId="62CEDE84" w14:textId="77777777">
      <w:pPr>
        <w:numPr>
          <w:ilvl w:val="0"/>
          <w:numId w:val="3"/>
        </w:numPr>
        <w:jc w:val="both"/>
      </w:pPr>
      <w:r>
        <w:t xml:space="preserve">automatically processing data relating to the emotional or psychological state of workers,</w:t>
      </w:r>
    </w:p>
    <w:p w:rsidR="00983F19" w:rsidP="00750824" w:rsidRDefault="00000000" w14:paraId="353B5A60" w14:textId="77777777">
      <w:pPr>
        <w:numPr>
          <w:ilvl w:val="0"/>
          <w:numId w:val="3"/>
        </w:numPr>
        <w:jc w:val="both"/>
      </w:pPr>
      <w:r>
        <w:t xml:space="preserve">accessing private conversations between workers or between workers and their representatives,</w:t>
      </w:r>
    </w:p>
    <w:p w:rsidR="00983F19" w:rsidP="00750824" w:rsidRDefault="00000000" w14:paraId="4106E858" w14:textId="77777777">
      <w:pPr>
        <w:numPr>
          <w:ilvl w:val="0"/>
          <w:numId w:val="3"/>
        </w:numPr>
        <w:jc w:val="both"/>
      </w:pPr>
      <w:r>
        <w:t xml:space="preserve">collecting personal data outside working hours (when a worker is not offering or performing work),</w:t>
      </w:r>
    </w:p>
    <w:p w:rsidR="00983F19" w:rsidP="00750824" w:rsidRDefault="00000000" w14:paraId="410C5F25" w14:textId="77777777">
      <w:pPr>
        <w:numPr>
          <w:ilvl w:val="0"/>
          <w:numId w:val="3"/>
        </w:numPr>
        <w:jc w:val="both"/>
      </w:pPr>
      <w:r>
        <w:t xml:space="preserve">processing data to predict the exercise of fundamental rights (including trade union membership and strike action) and drawing conclusions about racial or ethnic origin, health status, trade union membership or other special categories of data on the basis of other personal data.</w:t>
      </w:r>
    </w:p>
    <w:p w:rsidR="00D90A18" w:rsidP="00750824" w:rsidRDefault="00D90A18" w14:paraId="12AAECDB" w14:textId="77777777">
      <w:pPr>
        <w:ind w:start="720"/>
        <w:jc w:val="both"/>
      </w:pPr>
    </w:p>
    <w:p w:rsidR="00983F19" w:rsidP="00750824" w:rsidRDefault="00000000" w14:paraId="424D3BF0" w14:textId="234A481F">
      <w:pPr>
        <w:jc w:val="both"/>
      </w:pPr>
      <w:r>
        <w:t xml:space="preserve">As explained by the </w:t>
      </w:r>
      <w:r w:rsidR="0069475D">
        <w:t xml:space="preserve">EC’s</w:t>
      </w:r>
      <w:r>
        <w:t xml:space="preserve"> expert group </w:t>
      </w:r>
      <w:r>
        <w:t xml:space="preserve">on the transposition of the Directive, these prohibitions apply more broadly than the General Data Protection Regulation (GDPR) and more broadly than the Artificial Intelligence Act (</w:t>
      </w:r>
      <w:r>
        <w:t xml:space="preserve">‘AI </w:t>
      </w:r>
      <w:r w:rsidR="005418CA">
        <w:t xml:space="preserve">Act’</w:t>
      </w:r>
      <w:r w:rsidR="0069475D">
        <w:t xml:space="preserve">).</w:t>
      </w:r>
      <w:r>
        <w:t xml:space="preserve"> </w:t>
      </w:r>
      <w:r>
        <w:t xml:space="preserve">They cover all automated systems, not just artificial intelligence systems, and do not allow for exceptions based on the worker’s consent, as consent cannot be freely given in the context of the power imbalance between the platform and the worker.</w:t>
      </w:r>
    </w:p>
    <w:p w:rsidR="00D90A18" w:rsidP="00750824" w:rsidRDefault="00D90A18" w14:paraId="280150BD" w14:textId="77777777">
      <w:pPr>
        <w:jc w:val="both"/>
      </w:pPr>
    </w:p>
    <w:p w:rsidR="00983F19" w:rsidP="00750824" w:rsidRDefault="00BB574B" w14:paraId="55832160" w14:textId="14EF0076">
      <w:pPr>
        <w:jc w:val="both"/>
      </w:pPr>
      <w:r>
        <w:rPr>
          <w:b/>
          <w:bCs/>
        </w:rPr>
        <w:t xml:space="preserve">Article 9 (Transparency) </w:t>
      </w:r>
      <w:r>
        <w:t xml:space="preserve">requires platforms to disclose detailed information to workers, their representatives and the competent authorities regarding the functioning of automated monitoring and decision-making systems. This includes the categories of data processed by the systems, the parameters influencing decisions, and the relative importance of individual parameters. Of particular importance is the requirement to disclose the reasons for decisions to restrict, suspend or terminate a worker’s account, and for the refusal to pay for work performed. The information must be provided in clear and comprehensible language, and workers must receive it no later than the first working day and prior to any change affecting their working conditions.</w:t>
      </w:r>
    </w:p>
    <w:p w:rsidR="00D90A18" w:rsidP="00750824" w:rsidRDefault="00D90A18" w14:paraId="22A43AFD" w14:textId="77777777">
      <w:pPr>
        <w:jc w:val="both"/>
      </w:pPr>
    </w:p>
    <w:p w:rsidR="00983F19" w:rsidP="00750824" w:rsidRDefault="00BB574B" w14:paraId="1177D0F5" w14:textId="1AD19168">
      <w:pPr>
        <w:jc w:val="both"/>
      </w:pPr>
      <w:r>
        <w:rPr>
          <w:b/>
          <w:bCs/>
        </w:rPr>
        <w:t xml:space="preserve">Article 10 (Human oversight) </w:t>
      </w:r>
      <w:r>
        <w:t xml:space="preserve">obliges Member States to ensure regular monitoring and assessment of the impact of automated systems on working conditions, including an assessment of the risk of discrimination. Platforms must provide sufficient human resources for monitoring, and the persons carrying out the monitoring must have the appropriate training and powers to override automated decisions. Any decision to restrict or terminate an account must be confirmed by a human being.</w:t>
      </w:r>
    </w:p>
    <w:p w:rsidR="00D90A18" w:rsidP="00750824" w:rsidRDefault="00D90A18" w14:paraId="3C9800B3" w14:textId="77777777">
      <w:pPr>
        <w:jc w:val="both"/>
      </w:pPr>
    </w:p>
    <w:p w:rsidR="00983F19" w:rsidP="00750824" w:rsidRDefault="00BB574B" w14:paraId="2E5FA79F" w14:textId="1732E3A8">
      <w:pPr>
        <w:jc w:val="both"/>
      </w:pPr>
      <w:r>
        <w:rPr>
          <w:b/>
          <w:bCs/>
        </w:rPr>
        <w:lastRenderedPageBreak/>
      </w:r>
      <w:r>
        <w:rPr>
          <w:b/>
          <w:bCs/>
        </w:rPr>
        <w:t xml:space="preserve">Article 11 (Right to human review) </w:t>
      </w:r>
      <w:r>
        <w:t xml:space="preserve">grants workers the right to an explanation and review of any decision by an automated system that significantly affects their working conditions. The platform must provide an explanation without undue delay, and no later than the date on which the decision takes effect. A worker or their representatives may request a human review of the decision, and the platform must respond with a reasoned decision without undue delay.</w:t>
      </w:r>
    </w:p>
    <w:p w:rsidR="00D90A18" w:rsidP="00750824" w:rsidRDefault="00D90A18" w14:paraId="26AE5B60" w14:textId="77777777">
      <w:pPr>
        <w:jc w:val="both"/>
      </w:pPr>
    </w:p>
    <w:p w:rsidR="00983F19" w:rsidP="00750824" w:rsidRDefault="00BB574B" w14:paraId="09F438D6" w14:textId="15EAB0FB">
      <w:pPr>
        <w:jc w:val="both"/>
      </w:pPr>
      <w:r>
        <w:rPr>
          <w:b/>
          <w:bCs/>
        </w:rPr>
        <w:t xml:space="preserve">Article 12 (Health and Safety) </w:t>
      </w:r>
      <w:r>
        <w:t xml:space="preserve">expressly prohibits the use of algorithms that place disproportionate pressure on workers or endanger their physical or mental health. This includes a ban on systems that encourage dangerous behaviour (e.g. speeding by delivery drivers) or prevent necessary breaks.</w:t>
      </w:r>
    </w:p>
    <w:p w:rsidR="00983F19" w:rsidP="00750824" w:rsidRDefault="00000000" w14:paraId="79351DBD" w14:textId="77777777">
      <w:pPr>
        <w:pStyle w:val="Naslov2"/>
        <w:jc w:val="both"/>
      </w:pPr>
      <w:bookmarkStart w:name="_Toc233699490" w:id="31"/>
      <w:bookmarkStart w:name="ugotovitve-iz-prakse-1" w:id="32"/>
      <w:bookmarkEnd w:id="30"/>
      <w:r>
        <w:t xml:space="preserve">4.2 Findings from practice</w:t>
      </w:r>
      <w:bookmarkEnd w:id="31"/>
    </w:p>
    <w:p w:rsidR="00983F19" w:rsidP="00750824" w:rsidRDefault="00000000" w14:paraId="05C2DE1D" w14:textId="77777777">
      <w:pPr>
        <w:pStyle w:val="Naslov3"/>
        <w:jc w:val="both"/>
      </w:pPr>
      <w:bookmarkStart w:name="algoritem-kot-šef-v-stroju" w:id="33"/>
      <w:r>
        <w:t xml:space="preserve">The algorithm as the ‘boss in the machine’</w:t>
      </w:r>
    </w:p>
    <w:p w:rsidR="00983F19" w:rsidP="00750824" w:rsidRDefault="00000000" w14:paraId="1FCFBB28" w14:textId="72E72BD0">
      <w:pPr>
        <w:jc w:val="both"/>
      </w:pPr>
      <w:r>
        <w:t xml:space="preserve">The practice </w:t>
      </w:r>
      <w:r>
        <w:t xml:space="preserve">of </w:t>
      </w:r>
      <w:r>
        <w:t xml:space="preserve">platform </w:t>
      </w:r>
      <w:r>
        <w:t xml:space="preserve">work reveals that algorithmic management is not merely a technical tool for organising work, but a comprehensive system of control that takes over all traditional management functions </w:t>
      </w:r>
      <w:r w:rsidR="00D7386B">
        <w:t xml:space="preserve">– </w:t>
      </w:r>
      <w:r>
        <w:t xml:space="preserve">task allocation, performance assessment, monitoring, </w:t>
      </w:r>
      <w:r w:rsidR="00944A43">
        <w:t xml:space="preserve">sanctioning </w:t>
      </w:r>
      <w:r>
        <w:t xml:space="preserve">and dismissal </w:t>
      </w:r>
      <w:r w:rsidR="00D7386B">
        <w:t xml:space="preserve">– </w:t>
      </w:r>
      <w:r>
        <w:t xml:space="preserve">often without any human intervention whatsoever.</w:t>
      </w:r>
    </w:p>
    <w:p w:rsidR="00D90A18" w:rsidP="00750824" w:rsidRDefault="00D90A18" w14:paraId="7F4B9EFB" w14:textId="77777777">
      <w:pPr>
        <w:jc w:val="both"/>
      </w:pPr>
    </w:p>
    <w:p w:rsidR="00983F19" w:rsidP="00750824" w:rsidRDefault="00000000" w14:paraId="131EFEE5" w14:textId="0BC879B3">
      <w:pPr>
        <w:jc w:val="both"/>
      </w:pPr>
      <w:r w:rsidR="00944A43">
        <w:t xml:space="preserve">The</w:t>
      </w:r>
      <w:r>
        <w:t xml:space="preserve"> Austrian </w:t>
      </w:r>
      <w:r w:rsidR="00944A43">
        <w:t xml:space="preserve">case study </w:t>
      </w:r>
      <w:r>
        <w:t xml:space="preserve">clearly illustrates the mechanism of this surveillance across three levels: At the first, </w:t>
      </w:r>
      <w:r>
        <w:rPr>
          <w:b/>
          <w:bCs/>
        </w:rPr>
        <w:t xml:space="preserve">data level</w:t>
      </w:r>
      <w:r>
        <w:t xml:space="preserve">, the platform continuously records data via a smartphone that a human manager could never have monitored: GPS location, acceleration, periods of inactivity, response time to orders </w:t>
      </w:r>
      <w:r w:rsidR="00944A43">
        <w:t xml:space="preserve">…</w:t>
      </w:r>
    </w:p>
    <w:p w:rsidR="00D90A18" w:rsidP="00750824" w:rsidRDefault="00D90A18" w14:paraId="27254679" w14:textId="77777777">
      <w:pPr>
        <w:jc w:val="both"/>
      </w:pPr>
    </w:p>
    <w:p w:rsidR="00983F19" w:rsidP="00750824" w:rsidRDefault="00000000" w14:paraId="5C0D5B09" w14:textId="2ECE3FAC">
      <w:pPr>
        <w:jc w:val="both"/>
      </w:pPr>
      <w:r>
        <w:t xml:space="preserve">At the second, </w:t>
      </w:r>
      <w:r>
        <w:rPr>
          <w:b/>
          <w:bCs/>
        </w:rPr>
        <w:t xml:space="preserve">process level</w:t>
      </w:r>
      <w:r>
        <w:t xml:space="preserve">, this data is converted into </w:t>
      </w:r>
      <w:r>
        <w:t xml:space="preserve">non-transparent </w:t>
      </w:r>
      <w:r>
        <w:t xml:space="preserve">performance metrics that determine a worker’s survival on the platform. A typical example is </w:t>
      </w:r>
      <w:r>
        <w:t xml:space="preserve">the</w:t>
      </w:r>
      <w:r>
        <w:t xml:space="preserve"> so-called </w:t>
      </w:r>
      <w:r w:rsidR="00A275F6">
        <w:t xml:space="preserve">‘excellence</w:t>
      </w:r>
      <w:r>
        <w:t xml:space="preserve"> rating</w:t>
      </w:r>
      <w:r w:rsidR="00A275F6">
        <w:t xml:space="preserve">’ </w:t>
      </w:r>
      <w:r>
        <w:t xml:space="preserve">used by </w:t>
      </w:r>
      <w:r>
        <w:t xml:space="preserve">Foodora</w:t>
      </w:r>
      <w:r>
        <w:t xml:space="preserve">, for instance </w:t>
      </w:r>
      <w:r w:rsidR="00D7386B">
        <w:t xml:space="preserve">– </w:t>
      </w:r>
      <w:r>
        <w:t xml:space="preserve">a </w:t>
      </w:r>
      <w:r>
        <w:t xml:space="preserve">gamified </w:t>
      </w:r>
      <w:r>
        <w:t xml:space="preserve">metric ranging from 0 to 100, calculated on the basis of customer ratings, efficiency and availability during periods of peak demand. A higher score grants priority access to the rota and lucrative shifts</w:t>
      </w:r>
      <w:r w:rsidR="00A275F6">
        <w:t xml:space="preserve">, whilst </w:t>
      </w:r>
      <w:r>
        <w:t xml:space="preserve">a lower score effectively penalises the worker for taking time off.</w:t>
      </w:r>
    </w:p>
    <w:p w:rsidR="00D90A18" w:rsidP="00750824" w:rsidRDefault="00D90A18" w14:paraId="076A4243" w14:textId="77777777">
      <w:pPr>
        <w:jc w:val="both"/>
      </w:pPr>
    </w:p>
    <w:p w:rsidR="00983F19" w:rsidP="00750824" w:rsidRDefault="00000000" w14:paraId="127CBD97" w14:textId="7110B01F">
      <w:pPr>
        <w:jc w:val="both"/>
      </w:pPr>
      <w:r>
        <w:t xml:space="preserve">At the third, </w:t>
      </w:r>
      <w:r>
        <w:rPr>
          <w:b/>
          <w:bCs/>
        </w:rPr>
        <w:t xml:space="preserve">executive level</w:t>
      </w:r>
      <w:r>
        <w:t xml:space="preserve">, the system not only makes recommendations but also independently implements decisions </w:t>
      </w:r>
      <w:r w:rsidR="00D7386B">
        <w:t xml:space="preserve">– </w:t>
      </w:r>
      <w:r>
        <w:t xml:space="preserve">including so-called </w:t>
      </w:r>
      <w:r w:rsidR="00A275F6">
        <w:t xml:space="preserve">‘robot-firing’ </w:t>
      </w:r>
      <w:r>
        <w:t xml:space="preserve">(</w:t>
      </w:r>
      <w:r w:rsidR="00A275F6">
        <w:t xml:space="preserve">‘robo-firing’</w:t>
      </w:r>
      <w:r>
        <w:t xml:space="preserve">), where a worker’s account is automatically </w:t>
      </w:r>
      <w:r>
        <w:t xml:space="preserve">deactivated </w:t>
      </w:r>
      <w:r>
        <w:t xml:space="preserve">if their metrics fall below a pre-set threshold (e.g. a 20 per cent order cancellation rate at </w:t>
      </w:r>
      <w:r>
        <w:t xml:space="preserve">Uber</w:t>
      </w:r>
      <w:r>
        <w:t xml:space="preserve">), often without any human review or opportunity for explanation. This system creates an environment </w:t>
      </w:r>
      <w:r>
        <w:t xml:space="preserve">of</w:t>
      </w:r>
      <w:r>
        <w:t xml:space="preserve"> constant </w:t>
      </w:r>
      <w:r w:rsidR="00A275F6">
        <w:t xml:space="preserve">‘technostress’, </w:t>
      </w:r>
      <w:r>
        <w:t xml:space="preserve">where fear of the algorithm drives dangerous behavioural patterns </w:t>
      </w:r>
      <w:r w:rsidR="00A275F6">
        <w:t xml:space="preserve">– </w:t>
      </w:r>
      <w:r>
        <w:t xml:space="preserve">from </w:t>
      </w:r>
      <w:r w:rsidR="00A275F6">
        <w:t xml:space="preserve">delivery drivers</w:t>
      </w:r>
      <w:r>
        <w:t xml:space="preserve"> speeding </w:t>
      </w:r>
      <w:r>
        <w:t xml:space="preserve">to skipping breaks </w:t>
      </w:r>
      <w:r w:rsidR="00A275F6">
        <w:t xml:space="preserve">– </w:t>
      </w:r>
      <w:r>
        <w:t xml:space="preserve">and causes chronic anxiety amongst workers.</w:t>
      </w:r>
    </w:p>
    <w:p w:rsidR="00983F19" w:rsidP="00750824" w:rsidRDefault="00000000" w14:paraId="5681F4A3" w14:textId="77777777">
      <w:pPr>
        <w:pStyle w:val="Naslov3"/>
        <w:jc w:val="both"/>
      </w:pPr>
      <w:bookmarkStart w:name="izkušnje-iz-držav-partneric-projekta" w:id="34"/>
      <w:bookmarkEnd w:id="33"/>
      <w:r>
        <w:t xml:space="preserve">Experiences from the project’s partner countries</w:t>
      </w:r>
    </w:p>
    <w:p w:rsidR="00983F19" w:rsidP="00750824" w:rsidRDefault="00000000" w14:paraId="5293068D" w14:textId="0693E896">
      <w:pPr>
        <w:jc w:val="both"/>
      </w:pPr>
      <w:r>
        <w:rPr>
          <w:b/>
          <w:bCs/>
        </w:rPr>
        <w:t xml:space="preserve">In Austria</w:t>
      </w:r>
      <w:r>
        <w:t xml:space="preserve">, </w:t>
      </w:r>
      <w:r>
        <w:t xml:space="preserve">the first sectoral collective agreement for </w:t>
      </w:r>
      <w:r>
        <w:t xml:space="preserve">platform </w:t>
      </w:r>
      <w:r>
        <w:t xml:space="preserve">delivery workers </w:t>
      </w:r>
      <w:r>
        <w:t xml:space="preserve">was signed in 2020</w:t>
      </w:r>
      <w:r>
        <w:t xml:space="preserve">, concluded between the </w:t>
      </w:r>
      <w:r w:rsidR="00A275F6">
        <w:t xml:space="preserve">VIDA</w:t>
      </w:r>
      <w:r>
        <w:t xml:space="preserve"> trade union </w:t>
      </w:r>
      <w:r>
        <w:t xml:space="preserve">and employers’ associations. The agreement guaranteed minimum wages (over </w:t>
      </w:r>
      <w:r w:rsidR="00A275F6">
        <w:t xml:space="preserve">€1,730</w:t>
      </w:r>
      <w:r>
        <w:t xml:space="preserve"> by 2023</w:t>
      </w:r>
      <w:r>
        <w:t xml:space="preserve">) and allowances for equipment, but was significantly less successful in regulating the algorithm itself </w:t>
      </w:r>
      <w:r w:rsidR="00D7386B">
        <w:t xml:space="preserve">– </w:t>
      </w:r>
      <w:r>
        <w:t xml:space="preserve">it does not contain comparable provisions on data transparency to those found in agreements in</w:t>
      </w:r>
      <w:r>
        <w:lastRenderedPageBreak/>
      </w:r>
      <w:r>
        <w:t xml:space="preserve"> Spain or Denmark. The central point of contention in the Austrian labour market remains the status </w:t>
      </w:r>
      <w:r>
        <w:t xml:space="preserve">of </w:t>
      </w:r>
      <w:r w:rsidR="00A275F6">
        <w:t xml:space="preserve">‘freelancer’ </w:t>
      </w:r>
      <w:r>
        <w:t xml:space="preserve">(</w:t>
      </w:r>
      <w:r>
        <w:t xml:space="preserve">‘Freier </w:t>
      </w:r>
      <w:r w:rsidR="00A275F6">
        <w:t xml:space="preserve">Dienstnehmer’</w:t>
      </w:r>
      <w:r>
        <w:t xml:space="preserve">), a hybrid status between employee and self-employed person, which platforms such as </w:t>
      </w:r>
      <w:r>
        <w:t xml:space="preserve">Foodora </w:t>
      </w:r>
      <w:r>
        <w:t xml:space="preserve">and </w:t>
      </w:r>
      <w:r>
        <w:t xml:space="preserve">Lieferando </w:t>
      </w:r>
      <w:r>
        <w:t xml:space="preserve">are aggressively exploiting. The reform, which will come into force in January 2026, introduces statutory notice periods and the possibility of including ‘freelancers’ in collective agreements</w:t>
      </w:r>
      <w:r w:rsidR="003A5607">
        <w:t xml:space="preserve">, </w:t>
      </w:r>
      <w:r>
        <w:t xml:space="preserve">thereby opening the door to negotiations on algorithmic safeguards for this category </w:t>
      </w:r>
      <w:r w:rsidR="003A5607">
        <w:t xml:space="preserve">of workers </w:t>
      </w:r>
      <w:r>
        <w:t xml:space="preserve">as well</w:t>
      </w:r>
      <w:r>
        <w:t xml:space="preserve">.</w:t>
      </w:r>
    </w:p>
    <w:p w:rsidR="00D90A18" w:rsidP="00750824" w:rsidRDefault="00D90A18" w14:paraId="6D6F3A4B" w14:textId="77777777">
      <w:pPr>
        <w:jc w:val="both"/>
      </w:pPr>
    </w:p>
    <w:p w:rsidR="00983F19" w:rsidP="00750824" w:rsidRDefault="00000000" w14:paraId="5F1C3EBD" w14:textId="363F28E3">
      <w:pPr>
        <w:jc w:val="both"/>
      </w:pPr>
      <w:r>
        <w:t xml:space="preserve">A structural challenge in Austria remains the definition </w:t>
      </w:r>
      <w:r>
        <w:t xml:space="preserve">of a </w:t>
      </w:r>
      <w:r w:rsidR="003A5607">
        <w:t xml:space="preserve">‘workplace’ </w:t>
      </w:r>
      <w:r>
        <w:t xml:space="preserve">(</w:t>
      </w:r>
      <w:r w:rsidR="003A5607">
        <w:t xml:space="preserve">‘Betrieb’</w:t>
      </w:r>
      <w:r>
        <w:t xml:space="preserve">): Austrian legislation requires a physical business premises for the establishment of a works council, which allows platforms managed centrally from Berlin or elsewhere to circumvent worker co-determination. Whilst </w:t>
      </w:r>
      <w:r>
        <w:t xml:space="preserve">Foodora</w:t>
      </w:r>
      <w:r>
        <w:t xml:space="preserve"> couriers have </w:t>
      </w:r>
      <w:r>
        <w:t xml:space="preserve">successfully established a works council, </w:t>
      </w:r>
      <w:r>
        <w:t xml:space="preserve">Lieferando</w:t>
      </w:r>
      <w:r>
        <w:t xml:space="preserve"> has </w:t>
      </w:r>
      <w:r>
        <w:t xml:space="preserve">legally challenged similar attempts.</w:t>
      </w:r>
    </w:p>
    <w:p w:rsidR="00D90A18" w:rsidP="00750824" w:rsidRDefault="00D90A18" w14:paraId="599FBD4A" w14:textId="77777777">
      <w:pPr>
        <w:jc w:val="both"/>
      </w:pPr>
    </w:p>
    <w:p w:rsidR="00983F19" w:rsidP="00750824" w:rsidRDefault="00000000" w14:paraId="602D978C" w14:textId="1838B825">
      <w:pPr>
        <w:jc w:val="both"/>
      </w:pPr>
      <w:r>
        <w:rPr>
          <w:b/>
          <w:bCs/>
        </w:rPr>
        <w:t xml:space="preserve">Slovenia </w:t>
      </w:r>
      <w:r>
        <w:t xml:space="preserve">faces the characteristic dominance of a single platform, </w:t>
      </w:r>
      <w:r>
        <w:t xml:space="preserve">Wolt</w:t>
      </w:r>
      <w:r>
        <w:t xml:space="preserve">, where workers operate as self-employed individuals without access to information about how the algorithm works. The conference discussion revealed that workers often do not even realise that it is the algorithm that determines their working conditions </w:t>
      </w:r>
      <w:r w:rsidR="00D7386B">
        <w:t xml:space="preserve">– </w:t>
      </w:r>
      <w:r>
        <w:t xml:space="preserve">from the allocation of tasks to their actual earnings. Organising is made even more difficult because a large proportion of workers are migrants working on student visas who are unaware of their rights and find themselves in </w:t>
      </w:r>
      <w:r>
        <w:t xml:space="preserve">an </w:t>
      </w:r>
      <w:r>
        <w:t xml:space="preserve">even more </w:t>
      </w:r>
      <w:r>
        <w:t xml:space="preserve">precarious </w:t>
      </w:r>
      <w:r>
        <w:t xml:space="preserve">situation. A key finding for Slovenia </w:t>
      </w:r>
      <w:r w:rsidR="003A5607">
        <w:t xml:space="preserve">is that </w:t>
      </w:r>
      <w:r>
        <w:t xml:space="preserve">many workers expect their problems to be resolved by the ministry or by competition, rather than through collective bargaining, which also highlights a lack of awareness regarding the role of social dialogue in regulating algorithmic management.</w:t>
      </w:r>
    </w:p>
    <w:p w:rsidR="00D90A18" w:rsidP="00750824" w:rsidRDefault="00D90A18" w14:paraId="501BC3A1" w14:textId="77777777">
      <w:pPr>
        <w:jc w:val="both"/>
      </w:pPr>
    </w:p>
    <w:p w:rsidR="00983F19" w:rsidP="00750824" w:rsidRDefault="00000000" w14:paraId="542CD54C" w14:textId="3BFB7244">
      <w:pPr>
        <w:jc w:val="both"/>
      </w:pPr>
      <w:r>
        <w:rPr>
          <w:b/>
          <w:bCs/>
        </w:rPr>
        <w:t xml:space="preserve">Italy </w:t>
      </w:r>
      <w:r>
        <w:t xml:space="preserve">stands out for its experience with a collective agreement with </w:t>
      </w:r>
      <w:r>
        <w:t xml:space="preserve">JustEat</w:t>
      </w:r>
      <w:r>
        <w:t xml:space="preserve">, which limits the pressure exerted by the algorithm by </w:t>
      </w:r>
      <w:r w:rsidR="003A5607">
        <w:t xml:space="preserve">setting </w:t>
      </w:r>
      <w:r>
        <w:t xml:space="preserve">a maximum </w:t>
      </w:r>
      <w:r w:rsidR="003A5607">
        <w:t xml:space="preserve">of </w:t>
      </w:r>
      <w:r>
        <w:t xml:space="preserve">four </w:t>
      </w:r>
      <w:r>
        <w:t xml:space="preserve">deliveries </w:t>
      </w:r>
      <w:r>
        <w:t xml:space="preserve">per hour. This approach prioritises human safety over algorithmic optimisation and ensures that the pursuit of efficiency does not override the worker’s physical limitations.</w:t>
      </w:r>
    </w:p>
    <w:p w:rsidR="00D90A18" w:rsidP="00750824" w:rsidRDefault="00D90A18" w14:paraId="56FFAE55" w14:textId="77777777">
      <w:pPr>
        <w:jc w:val="both"/>
      </w:pPr>
    </w:p>
    <w:p w:rsidR="00983F19" w:rsidP="00750824" w:rsidRDefault="00000000" w14:paraId="29CFD809" w14:textId="4A63BC91">
      <w:pPr>
        <w:jc w:val="both"/>
      </w:pPr>
      <w:r>
        <w:rPr>
          <w:b/>
          <w:bCs/>
        </w:rPr>
        <w:t xml:space="preserve">Spain </w:t>
      </w:r>
      <w:r>
        <w:t xml:space="preserve">presents a prime example of both successes and pitfalls. Following the adoption of the law on delivery workers</w:t>
      </w:r>
      <w:r>
        <w:t xml:space="preserve">,</w:t>
      </w:r>
      <w:r>
        <w:t xml:space="preserve"> the CCOO and UGT trade unions concluded a collective agreement with </w:t>
      </w:r>
      <w:r>
        <w:t xml:space="preserve">JustEat </w:t>
      </w:r>
      <w:r>
        <w:t xml:space="preserve">España</w:t>
      </w:r>
      <w:r>
        <w:t xml:space="preserve">, which not only regulates pay but also establishes a joint commission to monitor the algorithm </w:t>
      </w:r>
      <w:r w:rsidR="00D7386B">
        <w:t xml:space="preserve">– </w:t>
      </w:r>
      <w:r>
        <w:t xml:space="preserve">a body that meets regularly to verify the fairness of algorithmic parameters, including whether the routing algorithm discriminates against certain areas or demographic groups. However, the Spanish experience also reveals a key pitfall: the law requires access to algorithmic parameters, but </w:t>
      </w:r>
      <w:r w:rsidRPr="005418CA">
        <w:t xml:space="preserve">does not provide for consequences for non-compliance with this requirement</w:t>
      </w:r>
      <w:r w:rsidRPr="00873676">
        <w:t xml:space="preserve">.</w:t>
      </w:r>
    </w:p>
    <w:p w:rsidR="00D90A18" w:rsidP="00750824" w:rsidRDefault="00D90A18" w14:paraId="259F8CFD" w14:textId="77777777">
      <w:pPr>
        <w:jc w:val="both"/>
      </w:pPr>
    </w:p>
    <w:p w:rsidR="00983F19" w:rsidP="00750824" w:rsidRDefault="00000000" w14:paraId="74F096D4" w14:textId="5DA98B40">
      <w:pPr>
        <w:jc w:val="both"/>
      </w:pPr>
      <w:r>
        <w:t xml:space="preserve">Following the adoption of the law</w:t>
      </w:r>
      <w:r w:rsidR="00873676">
        <w:t xml:space="preserve">, </w:t>
      </w:r>
      <w:r>
        <w:t xml:space="preserve">Glovo </w:t>
      </w:r>
      <w:r>
        <w:t xml:space="preserve">restructured its entire business model</w:t>
      </w:r>
      <w:r w:rsidR="00873676">
        <w:t xml:space="preserve">. </w:t>
      </w:r>
      <w:r>
        <w:t xml:space="preserve">Instead of employing the majority of its delivery drivers, it offered only minimal contracts with a low weekly allocation of hours, which most drivers did not accept; at the same time, it altered the algorithmic parameters to create the appearance of autonomy. It was only the threat of criminal liability </w:t>
      </w:r>
      <w:r w:rsidR="00D7386B">
        <w:t xml:space="preserve">– </w:t>
      </w:r>
      <w:r>
        <w:t xml:space="preserve">not a demand for transparency </w:t>
      </w:r>
      <w:r w:rsidR="00D7386B">
        <w:t xml:space="preserve">– </w:t>
      </w:r>
      <w:r>
        <w:t xml:space="preserve">that forced the platform to comply </w:t>
      </w:r>
      <w:r w:rsidR="00873676">
        <w:t xml:space="preserve">with the law</w:t>
      </w:r>
      <w:r>
        <w:t xml:space="preserve">. </w:t>
      </w:r>
    </w:p>
    <w:p w:rsidR="00D90A18" w:rsidP="00750824" w:rsidRDefault="00D90A18" w14:paraId="4CD749D0" w14:textId="77777777">
      <w:pPr>
        <w:jc w:val="both"/>
      </w:pPr>
    </w:p>
    <w:p w:rsidR="00983F19" w:rsidP="00750824" w:rsidRDefault="00000000" w14:paraId="7A3781B5" w14:textId="776D3D41">
      <w:pPr>
        <w:jc w:val="both"/>
      </w:pPr>
      <w:r>
        <w:rPr>
          <w:b/>
          <w:bCs/>
        </w:rPr>
        <w:t xml:space="preserve">Denmark </w:t>
      </w:r>
      <w:r>
        <w:t xml:space="preserve">offers an innovative model of accountability: an agreement between the 3F trade union and the cleaning platform </w:t>
      </w:r>
      <w:r>
        <w:t xml:space="preserve">Hilfr </w:t>
      </w:r>
      <w:r>
        <w:t xml:space="preserve">stipulates that the platform remains legally responsible for every automated decision. </w:t>
      </w:r>
      <w:r w:rsidR="00873676">
        <w:t xml:space="preserve">Crucially, </w:t>
      </w:r>
      <w:r>
        <w:t xml:space="preserve">the burden of proof </w:t>
      </w:r>
      <w:r w:rsidR="00873676">
        <w:t xml:space="preserve">is </w:t>
      </w:r>
      <w:r>
        <w:t xml:space="preserve">shifted to the platform</w:t>
      </w:r>
      <w:r w:rsidR="00873676">
        <w:t xml:space="preserve">: </w:t>
      </w:r>
      <w:r>
        <w:t xml:space="preserve">if an algorithm </w:t>
      </w:r>
      <w:r>
        <w:t xml:space="preserve">deactivates </w:t>
      </w:r>
      <w:r>
        <w:t xml:space="preserve">a worker or hides their profile and the platform cannot explain why in understandable language, the decision is automatically invalid. This effectively prohibits </w:t>
      </w:r>
      <w:r w:rsidR="00873676">
        <w:t xml:space="preserve">unjustified sanctions.</w:t>
      </w:r>
    </w:p>
    <w:p w:rsidR="00983F19" w:rsidP="00750824" w:rsidRDefault="00000000" w14:paraId="3E77F218" w14:textId="77777777">
      <w:pPr>
        <w:pStyle w:val="Naslov3"/>
        <w:jc w:val="both"/>
      </w:pPr>
      <w:bookmarkStart w:name="skupne-ugotovitve" w:id="35"/>
      <w:bookmarkEnd w:id="34"/>
      <w:r>
        <w:lastRenderedPageBreak/>
      </w:r>
      <w:r>
        <w:t xml:space="preserve">Common findings</w:t>
      </w:r>
    </w:p>
    <w:p w:rsidR="00983F19" w:rsidP="00750824" w:rsidRDefault="00000000" w14:paraId="1A8F4795" w14:textId="77777777">
      <w:pPr>
        <w:jc w:val="both"/>
      </w:pPr>
      <w:r>
        <w:t xml:space="preserve">Three key patterns emerge from the comparative analysis:</w:t>
      </w:r>
    </w:p>
    <w:p w:rsidR="00D90A18" w:rsidP="00750824" w:rsidRDefault="00D90A18" w14:paraId="05B9CFD6" w14:textId="77777777">
      <w:pPr>
        <w:jc w:val="both"/>
      </w:pPr>
    </w:p>
    <w:p w:rsidR="00983F19" w:rsidP="00750824" w:rsidRDefault="00000000" w14:paraId="4466FAC4" w14:textId="77777777">
      <w:pPr>
        <w:jc w:val="both"/>
      </w:pPr>
      <w:r>
        <w:t xml:space="preserve">Firstly, </w:t>
      </w:r>
      <w:r>
        <w:rPr>
          <w:b/>
          <w:bCs/>
        </w:rPr>
        <w:t xml:space="preserve">information asymmetry </w:t>
      </w:r>
      <w:r>
        <w:t xml:space="preserve">remains a fundamental problem. Platforms hold all the data, whilst workers are guided through a system they cannot </w:t>
      </w:r>
      <w:r>
        <w:t xml:space="preserve">see</w:t>
      </w:r>
      <w:r>
        <w:t xml:space="preserve"> into</w:t>
      </w:r>
      <w:r>
        <w:t xml:space="preserve">. Without access to the data, it is impossible either to identify infringements or to negotiate them.</w:t>
      </w:r>
    </w:p>
    <w:p w:rsidR="00D90A18" w:rsidP="00750824" w:rsidRDefault="00D90A18" w14:paraId="3DAF099E" w14:textId="77777777">
      <w:pPr>
        <w:jc w:val="both"/>
      </w:pPr>
    </w:p>
    <w:p w:rsidR="00983F19" w:rsidP="00750824" w:rsidRDefault="00000000" w14:paraId="7F10D91F" w14:textId="77777777">
      <w:pPr>
        <w:jc w:val="both"/>
      </w:pPr>
      <w:r>
        <w:t xml:space="preserve">Secondly, </w:t>
      </w:r>
      <w:r>
        <w:rPr>
          <w:b/>
          <w:bCs/>
        </w:rPr>
        <w:t xml:space="preserve">transparency without sanctions is ineffective</w:t>
      </w:r>
      <w:r>
        <w:t xml:space="preserve">. The Spanish experience demonstrates this unequivocally: the legal requirement to disclose algorithmic parameters, without any envisaged consequences for breaches, allows platforms to simply ignore the requirement.</w:t>
      </w:r>
    </w:p>
    <w:p w:rsidR="00D90A18" w:rsidP="00750824" w:rsidRDefault="00D90A18" w14:paraId="44667B97" w14:textId="77777777">
      <w:pPr>
        <w:jc w:val="both"/>
      </w:pPr>
    </w:p>
    <w:p w:rsidR="00983F19" w:rsidP="00750824" w:rsidRDefault="00000000" w14:paraId="2AA0171D" w14:textId="2E4F4808">
      <w:pPr>
        <w:jc w:val="both"/>
      </w:pPr>
      <w:r>
        <w:t xml:space="preserve">Thirdly, </w:t>
      </w:r>
      <w:r>
        <w:rPr>
          <w:b/>
          <w:bCs/>
        </w:rPr>
        <w:t xml:space="preserve">algorithmic management extends beyond </w:t>
      </w:r>
      <w:r>
        <w:rPr>
          <w:b/>
          <w:bCs/>
        </w:rPr>
        <w:t xml:space="preserve">platform </w:t>
      </w:r>
      <w:r>
        <w:rPr>
          <w:b/>
          <w:bCs/>
        </w:rPr>
        <w:t xml:space="preserve">work</w:t>
      </w:r>
      <w:r>
        <w:t xml:space="preserve">. As the Austrian contribution highlights, practices </w:t>
      </w:r>
      <w:r>
        <w:t xml:space="preserve">of</w:t>
      </w:r>
      <w:r>
        <w:t xml:space="preserve"> digital </w:t>
      </w:r>
      <w:r>
        <w:t xml:space="preserve">Taylorism</w:t>
      </w:r>
      <w:r>
        <w:t xml:space="preserve"> are </w:t>
      </w:r>
      <w:r>
        <w:t xml:space="preserve">rapidly spreading into traditional work environments </w:t>
      </w:r>
      <w:r w:rsidR="00D7386B">
        <w:t xml:space="preserve">– </w:t>
      </w:r>
      <w:r>
        <w:t xml:space="preserve">logistics, retail, hospitality and healthcare. Regulation limited solely to platforms will become obsolete within a few years.</w:t>
      </w:r>
    </w:p>
    <w:p w:rsidR="00983F19" w:rsidP="00750824" w:rsidRDefault="00000000" w14:paraId="5AA38368" w14:textId="77777777">
      <w:pPr>
        <w:pStyle w:val="Naslov2"/>
        <w:jc w:val="both"/>
      </w:pPr>
      <w:bookmarkStart w:name="_Toc233699491" w:id="36"/>
      <w:bookmarkStart w:name="priporočila-1" w:id="37"/>
      <w:bookmarkEnd w:id="32"/>
      <w:bookmarkEnd w:id="35"/>
      <w:r>
        <w:t xml:space="preserve">4.3 Recommendations</w:t>
      </w:r>
      <w:bookmarkEnd w:id="36"/>
    </w:p>
    <w:p w:rsidR="00983F19" w:rsidP="00750824" w:rsidRDefault="00000000" w14:paraId="4DF51EBF" w14:textId="77777777">
      <w:pPr>
        <w:jc w:val="both"/>
      </w:pPr>
      <w:r>
        <w:t xml:space="preserve">Based on an analysis of the Directive’s requirements, practical experience and the discussions of the European Commission’s expert group, we formulate the following recommendations for Member States when transposing Chapter III of the Directive into national law.</w:t>
      </w:r>
    </w:p>
    <w:p w:rsidR="00D90A18" w:rsidP="00750824" w:rsidRDefault="00D90A18" w14:paraId="4FA969CA" w14:textId="77777777">
      <w:pPr>
        <w:jc w:val="both"/>
      </w:pPr>
    </w:p>
    <w:p w:rsidR="00D90A18" w:rsidP="00750824" w:rsidRDefault="00000000" w14:paraId="3CB79453" w14:textId="29A95505">
      <w:pPr>
        <w:pStyle w:val="Naslov3"/>
        <w:jc w:val="both"/>
      </w:pPr>
      <w:r>
        <w:t xml:space="preserve">Recommendation 4.1 [GOES BEYOND THE MINIMUM]: Automatic invalidity of unexplained algorithmic decisions</w:t>
      </w:r>
    </w:p>
    <w:p w:rsidR="00983F19" w:rsidP="00750824" w:rsidRDefault="00000000" w14:paraId="69C20213" w14:textId="6F319C59">
      <w:pPr>
        <w:jc w:val="both"/>
      </w:pPr>
      <w:r>
        <w:t xml:space="preserve">To enhance transparency, we propose the introduction of a mechanism whereby any algorithmic decision (e.g. to block an account or reduce payment) that the platform cannot explain in understandable language </w:t>
      </w:r>
      <w:r>
        <w:rPr>
          <w:b/>
          <w:bCs/>
        </w:rPr>
        <w:t xml:space="preserve">automatically</w:t>
      </w:r>
      <w:r>
        <w:t xml:space="preserve"> becomes </w:t>
      </w:r>
      <w:r>
        <w:rPr>
          <w:b/>
          <w:bCs/>
        </w:rPr>
        <w:t xml:space="preserve">invalid</w:t>
      </w:r>
      <w:r>
        <w:t xml:space="preserve">. This approach, which follows the Danish model, reverses the burden </w:t>
      </w:r>
      <w:r w:rsidR="00844626">
        <w:t xml:space="preserve">of proof</w:t>
      </w:r>
      <w:r>
        <w:t xml:space="preserve">: rather than the worker having to prove that the decision is incorrect, the platform must prove that the decision is comprehensible and lawful, otherwise it is nullified.</w:t>
      </w:r>
    </w:p>
    <w:p w:rsidR="00D90A18" w:rsidP="00750824" w:rsidRDefault="00D90A18" w14:paraId="52D68F82" w14:textId="77777777">
      <w:pPr>
        <w:jc w:val="both"/>
      </w:pPr>
    </w:p>
    <w:p w:rsidR="00D90A18" w:rsidP="00750824" w:rsidRDefault="00000000" w14:paraId="0C4C4AB1" w14:textId="2610BF6C">
      <w:pPr>
        <w:pStyle w:val="Naslov3"/>
        <w:jc w:val="both"/>
      </w:pPr>
      <w:r>
        <w:t xml:space="preserve">Recommendation 4.2 [GOES BEYOND THE MINIMUM]: Algorithmic </w:t>
      </w:r>
      <w:r>
        <w:t xml:space="preserve">co-decision-making </w:t>
      </w:r>
      <w:r>
        <w:t xml:space="preserve">via workers’ councils and trade unions </w:t>
      </w:r>
      <w:r w:rsidR="00D7386B">
        <w:t xml:space="preserve">– </w:t>
      </w:r>
      <w:r>
        <w:t xml:space="preserve">joint committees</w:t>
      </w:r>
    </w:p>
    <w:p w:rsidR="00D90A18" w:rsidP="00750824" w:rsidRDefault="00000000" w14:paraId="65DA2152" w14:textId="3D276E36">
      <w:pPr>
        <w:jc w:val="both"/>
      </w:pPr>
      <w:r>
        <w:t xml:space="preserve">Transparency is only the first step</w:t>
      </w:r>
      <w:r w:rsidR="00844626">
        <w:t xml:space="preserve">; the link </w:t>
      </w:r>
      <w:r>
        <w:t xml:space="preserve">to active co-management </w:t>
      </w:r>
      <w:r w:rsidR="00C60A82">
        <w:t xml:space="preserve">must be effective</w:t>
      </w:r>
      <w:r>
        <w:t xml:space="preserve">. We recommend that Member States extend the rights of works councils and trade union representatives to include the right to consent (or at least the right to consultation with suspensive effect) prior to the introduction or substantial modification of algorithmic parameters affecting pay, work intensity or task allocation. The Austrian proposal for a right of veto regarding algorithmic parameters </w:t>
      </w:r>
      <w:r w:rsidR="00D7386B">
        <w:t xml:space="preserve">– </w:t>
      </w:r>
      <w:r>
        <w:t xml:space="preserve">by analogy with the existing requirement for consent to the introduction of video surveillance </w:t>
      </w:r>
      <w:r w:rsidR="00D7386B">
        <w:t xml:space="preserve">– </w:t>
      </w:r>
      <w:r>
        <w:t xml:space="preserve">provides a concrete model for translating Article 13 of the Directive into effective co-determination practice.</w:t>
      </w:r>
    </w:p>
    <w:p w:rsidR="005418CA" w:rsidP="00750824" w:rsidRDefault="005418CA" w14:paraId="1500E6F4" w14:textId="77777777">
      <w:pPr>
        <w:jc w:val="both"/>
      </w:pPr>
    </w:p>
    <w:p w:rsidR="00D90A18" w:rsidP="00750824" w:rsidRDefault="00000000" w14:paraId="66376D91" w14:textId="57A86EEE">
      <w:pPr>
        <w:pStyle w:val="Naslov3"/>
        <w:jc w:val="both"/>
      </w:pPr>
      <w:r>
        <w:t xml:space="preserve">Recommendation 4.3 [DIRECTIVE]: Classification of algorithmic pressure as a psychosocial risk</w:t>
      </w:r>
    </w:p>
    <w:p w:rsidR="00983F19" w:rsidP="00750824" w:rsidRDefault="00000000" w14:paraId="77732E56" w14:textId="24918187">
      <w:pPr>
        <w:jc w:val="both"/>
      </w:pPr>
      <w:r>
        <w:lastRenderedPageBreak/>
      </w:r>
      <w:r>
        <w:t xml:space="preserve">Article 12 of the Directive expressly prohibits the use of algorithms that exert disproportionate pressure on workers. We recommend that Member States explicitly define algorithmic pressure </w:t>
      </w:r>
      <w:r w:rsidR="00D7386B">
        <w:t xml:space="preserve">– </w:t>
      </w:r>
      <w:r>
        <w:t xml:space="preserve">including </w:t>
      </w:r>
      <w:r>
        <w:t xml:space="preserve">gamified </w:t>
      </w:r>
      <w:r>
        <w:t xml:space="preserve">rankings, countdown timers, constant digital monitoring and systems that prevent necessary breaks </w:t>
      </w:r>
      <w:r w:rsidR="00D7386B">
        <w:t xml:space="preserve">– </w:t>
      </w:r>
      <w:r>
        <w:t xml:space="preserve">as </w:t>
      </w:r>
      <w:r w:rsidRPr="005418CA">
        <w:rPr>
          <w:b/>
          <w:bCs/>
        </w:rPr>
        <w:t xml:space="preserve">a psychosocial risk </w:t>
      </w:r>
      <w:r>
        <w:t xml:space="preserve">in their national occupational health and safety legislation</w:t>
      </w:r>
      <w:r>
        <w:t xml:space="preserve">. This would enable labour inspectorates to </w:t>
      </w:r>
      <w:r>
        <w:t xml:space="preserve">treat</w:t>
      </w:r>
      <w:r w:rsidR="008A4BD4">
        <w:t xml:space="preserve"> a toxic algorithm </w:t>
      </w:r>
      <w:r>
        <w:t xml:space="preserve">with the same rigour as a physical hazard in the workplace, including the imposition of fines and orders to cease using the system. </w:t>
      </w:r>
      <w:r w:rsidR="008A4BD4">
        <w:t xml:space="preserve">Indeed, the operation of such an algorithm constitutes a physical hazard in the workplace. </w:t>
      </w:r>
    </w:p>
    <w:p w:rsidR="00D90A18" w:rsidP="00750824" w:rsidRDefault="00D90A18" w14:paraId="18C59135" w14:textId="77777777">
      <w:pPr>
        <w:jc w:val="both"/>
      </w:pPr>
    </w:p>
    <w:p w:rsidR="00D90A18" w:rsidP="00750824" w:rsidRDefault="00000000" w14:paraId="7F129147" w14:textId="41EDB068">
      <w:pPr>
        <w:pStyle w:val="Naslov3"/>
        <w:jc w:val="both"/>
      </w:pPr>
      <w:r>
        <w:t xml:space="preserve">Recommendation 4.4 [EXCEEDS THE MINIMUM]: Collective access to data for trade unions</w:t>
      </w:r>
    </w:p>
    <w:p w:rsidR="00D90A18" w:rsidP="00750824" w:rsidRDefault="00000000" w14:paraId="065C3E6B" w14:textId="77777777">
      <w:pPr>
        <w:jc w:val="both"/>
      </w:pPr>
      <w:r>
        <w:t xml:space="preserve">Individual requests for access to data (under Article 15 of the GDPR) are ineffective because they reveal only a fraction of the picture and are overly burdensome for individual workers. We recommend that, when transposing the rights set out in Articles 9 and 15 of the Directive, Member States establish a statutory right for trade unions to collective access to aggregated data on the functioning of algorithmic systems. </w:t>
      </w:r>
    </w:p>
    <w:p w:rsidR="00D90A18" w:rsidP="00750824" w:rsidRDefault="00D90A18" w14:paraId="1BD33875" w14:textId="77777777">
      <w:pPr>
        <w:jc w:val="both"/>
      </w:pPr>
    </w:p>
    <w:p w:rsidR="00983F19" w:rsidP="00750824" w:rsidRDefault="00000000" w14:paraId="1129B314" w14:textId="2252D104">
      <w:pPr>
        <w:jc w:val="both"/>
      </w:pPr>
      <w:r>
        <w:t xml:space="preserve">Funding for independent experts who assist trade unions in analysing this data must be provided from a national fund for the independent review of algorithms (see Recommendation 6.1). This would enable trade unions, by pooling data </w:t>
      </w:r>
      <w:r>
        <w:t xml:space="preserve">from thousands </w:t>
      </w:r>
      <w:r>
        <w:t xml:space="preserve">of workers</w:t>
      </w:r>
      <w:r>
        <w:t xml:space="preserve">, to </w:t>
      </w:r>
      <w:r>
        <w:t xml:space="preserve">statistically reconstruct the logic of the system and uncover hidden patterns of discrimination or pay violations </w:t>
      </w:r>
      <w:r w:rsidR="00D7386B">
        <w:t xml:space="preserve">– </w:t>
      </w:r>
      <w:r>
        <w:t xml:space="preserve">an approach recommended by the ETUC as </w:t>
      </w:r>
      <w:r>
        <w:t xml:space="preserve">‘reverse-engineering the boss</w:t>
      </w:r>
      <w:r w:rsidR="008A4BD4">
        <w:t xml:space="preserve">’. </w:t>
      </w:r>
      <w:r>
        <w:t xml:space="preserve">The right to collective access to data should be explicitly distinguished from </w:t>
      </w:r>
      <w:r w:rsidR="008A4BD4">
        <w:t xml:space="preserve">the protection </w:t>
      </w:r>
      <w:r>
        <w:t xml:space="preserve">of trade secrets, which platforms often abuse to prevent any form of scrutiny.</w:t>
      </w:r>
    </w:p>
    <w:p w:rsidR="00D90A18" w:rsidP="00750824" w:rsidRDefault="00D90A18" w14:paraId="07C7C030" w14:textId="77777777">
      <w:pPr>
        <w:jc w:val="both"/>
      </w:pPr>
    </w:p>
    <w:p w:rsidR="00D90A18" w:rsidP="00750824" w:rsidRDefault="00000000" w14:paraId="76E6BE8C" w14:textId="72B2B8B6">
      <w:pPr>
        <w:pStyle w:val="Naslov3"/>
        <w:jc w:val="both"/>
      </w:pPr>
      <w:r>
        <w:t xml:space="preserve">Recommendation 4.5 [GOES BEYOND THE MINIMUM]: Updating the concept </w:t>
      </w:r>
      <w:r w:rsidR="008A4BD4">
        <w:t xml:space="preserve">of ‘workplace’ </w:t>
      </w:r>
      <w:r>
        <w:t xml:space="preserve">for the digital age</w:t>
      </w:r>
    </w:p>
    <w:p w:rsidR="00983F19" w:rsidP="00750824" w:rsidRDefault="00000000" w14:paraId="0D28EBDC" w14:textId="2C0E8FF1">
      <w:pPr>
        <w:jc w:val="both"/>
      </w:pPr>
      <w:r>
        <w:t xml:space="preserve">To ensure the effective exercise of the rights to information and consultation under Article 13 of the Directive, Member States must ensure that national legislation recognises a platform’s digital infrastructure as a workplace</w:t>
      </w:r>
      <w:r w:rsidR="008A4BD4">
        <w:t xml:space="preserve">.</w:t>
      </w:r>
      <w:r>
        <w:t xml:space="preserve"> If a platform carries out supervisory and management functions via an app, this digital infrastructure must be legally sufficient to establish worker representation. Without this update, platforms will be able to continue citing the decentralised nature of the work to reject worker co-determination </w:t>
      </w:r>
      <w:r w:rsidR="00D7386B">
        <w:t xml:space="preserve">– </w:t>
      </w:r>
      <w:r>
        <w:t xml:space="preserve">which is in direct contradiction to the purpose of the Directive.</w:t>
      </w:r>
    </w:p>
    <w:p w:rsidR="00D90A18" w:rsidP="00750824" w:rsidRDefault="00D90A18" w14:paraId="75ED1915" w14:textId="77777777">
      <w:pPr>
        <w:jc w:val="both"/>
      </w:pPr>
    </w:p>
    <w:p w:rsidR="00983F19" w:rsidP="00750824" w:rsidRDefault="00000000" w14:paraId="23E82361" w14:textId="77777777">
      <w:pPr>
        <w:jc w:val="both"/>
        <w:rPr>
          <w:i/>
          <w:iCs/>
        </w:rPr>
      </w:pPr>
      <w:r>
        <w:rPr>
          <w:i/>
          <w:iCs/>
        </w:rPr>
        <w:t xml:space="preserve">Sources: Austrian SDDP contribution </w:t>
      </w:r>
      <w:r>
        <w:rPr>
          <w:i/>
          <w:iCs/>
        </w:rPr>
        <w:t xml:space="preserve">‘</w:t>
      </w:r>
      <w:r>
        <w:rPr>
          <w:i/>
          <w:iCs/>
        </w:rPr>
        <w:t xml:space="preserve">The </w:t>
      </w:r>
      <w:r>
        <w:rPr>
          <w:i/>
          <w:iCs/>
        </w:rPr>
        <w:t xml:space="preserve">Boss </w:t>
      </w:r>
      <w:r>
        <w:rPr>
          <w:i/>
          <w:iCs/>
        </w:rPr>
        <w:t xml:space="preserve">in </w:t>
      </w:r>
      <w:r>
        <w:rPr>
          <w:i/>
          <w:iCs/>
        </w:rPr>
        <w:t xml:space="preserve">the </w:t>
      </w:r>
      <w:r>
        <w:rPr>
          <w:i/>
          <w:iCs/>
        </w:rPr>
        <w:t xml:space="preserve">Machine’ (2025); Report of the Expert Group on the Transposition of Directive (EU) 2024/2831 (January 2026); Minutes of the SDDP interim conference, Ljubljana, May 2025; ETUC Handbook on Algorithmic Management.</w:t>
      </w:r>
    </w:p>
    <w:p w:rsidR="005418CA" w:rsidP="00750824" w:rsidRDefault="005418CA" w14:paraId="1A14BA97" w14:textId="77777777">
      <w:pPr>
        <w:jc w:val="both"/>
      </w:pPr>
    </w:p>
    <w:p w:rsidR="00FC19E2" w:rsidP="00750824" w:rsidRDefault="00000000" w14:paraId="1BA217AF" w14:textId="4C1588BA">
      <w:pPr>
        <w:pStyle w:val="Naslov3"/>
        <w:jc w:val="both"/>
      </w:pPr>
      <w:r>
        <w:t xml:space="preserve">Recommendation 4.6 [DIRECTIVE]: High standards of human oversight for all PPPWs, regardless of employment status</w:t>
      </w:r>
    </w:p>
    <w:p w:rsidR="00FC19E2" w:rsidP="00750824" w:rsidRDefault="00615AD5" w14:paraId="34734714" w14:textId="373CCEC3">
      <w:pPr>
        <w:jc w:val="both"/>
      </w:pPr>
      <w:r>
        <w:t xml:space="preserve">Experience shows that platforms encourage workers to switch to self-employed status in order to avoid the stricter requirements for algorithmic management that apply to workers in</w:t>
      </w:r>
      <w:r w:rsidR="00615F18">
        <w:lastRenderedPageBreak/>
      </w:r>
      <w:r w:rsidR="00615F18">
        <w:t xml:space="preserve"> employment</w:t>
      </w:r>
      <w:r>
        <w:t xml:space="preserve">. The Directive (Articles</w:t>
      </w:r>
      <w:r>
        <w:t xml:space="preserve"> 7–11) ensures high standards of human review of automated decisions for all PPPWs, regardless of their employment status, in particular the prohibition on the full automation of decisions to restrict or terminate access to the platform (Article 10(5)) and the right to a substantive review by a qualified person (Article 11). Member States should explicitly confirm, upon transposition, that these rights cannot be conditionally excluded by reference to the status of a self-employed person or a business user.</w:t>
      </w:r>
    </w:p>
    <w:p w:rsidR="00615AD5" w:rsidP="00750824" w:rsidRDefault="00615AD5" w14:paraId="06D40930" w14:textId="77777777">
      <w:pPr>
        <w:jc w:val="both"/>
      </w:pPr>
    </w:p>
    <w:p w:rsidR="00FC19E2" w:rsidP="00750824" w:rsidRDefault="00000000" w14:paraId="457A8E13" w14:textId="4590CF18">
      <w:pPr>
        <w:jc w:val="both"/>
      </w:pPr>
      <w:r>
        <w:t xml:space="preserve">As regards business users who otherwise fall under the P2B Regulation (Article 11(5) of the Directive</w:t>
      </w:r>
      <w:r w:rsidR="00615AD5">
        <w:t xml:space="preserve">), </w:t>
      </w:r>
      <w:r>
        <w:t xml:space="preserve">Article 26(2) of the Directive expressly allows Member States to provide higher standards of protection than the minimum requirements. Ministries should consider extending, as appropriate, the requirements for human review that currently apply to PPPWs to all natural persons who are economically dependent on the platform</w:t>
      </w:r>
      <w:r w:rsidR="00615AD5">
        <w:t xml:space="preserve">, </w:t>
      </w:r>
      <w:r>
        <w:t xml:space="preserve">regardless of the contractual form </w:t>
      </w:r>
      <w:r w:rsidR="00615AD5">
        <w:t xml:space="preserve">of their work</w:t>
      </w:r>
      <w:r>
        <w:t xml:space="preserve">.</w:t>
      </w:r>
    </w:p>
    <w:p w:rsidR="00615AD5" w:rsidP="00750824" w:rsidRDefault="00615AD5" w14:paraId="7ED492EB" w14:textId="77777777">
      <w:pPr>
        <w:jc w:val="both"/>
      </w:pPr>
    </w:p>
    <w:p w:rsidR="00FC19E2" w:rsidP="00750824" w:rsidRDefault="00000000" w14:paraId="09A95782" w14:textId="77777777">
      <w:pPr>
        <w:jc w:val="both"/>
      </w:pPr>
      <w:r>
        <w:rPr>
          <w:i/>
          <w:iCs/>
        </w:rPr>
        <w:t xml:space="preserve">Sources: Directive (EU) 2024/2831, Articles 10(5), 11, 26(2), Article 11(5) and Regulation (EU) 2019/1150 (P2B); Expert Group Report (January 2026), pp. 48–52.</w:t>
      </w:r>
    </w:p>
    <w:p w:rsidR="00750824" w:rsidRDefault="00750824" w14:paraId="2A5BAE56" w14:textId="77777777">
      <w:pPr>
        <w:rPr>
          <w:b/>
          <w:bCs/>
          <w:color w:val="1F3864"/>
          <w:sz w:val="36"/>
          <w:szCs w:val="36"/>
        </w:rPr>
      </w:pPr>
      <w:bookmarkStart w:name="poglavje-6-varstvo-podatkov-in-zasebnost" w:id="38"/>
      <w:bookmarkEnd w:id="27"/>
      <w:bookmarkEnd w:id="37"/>
      <w:r>
        <w:br w:type="page"/>
      </w:r>
    </w:p>
    <w:p w:rsidR="00983F19" w:rsidP="00750824" w:rsidRDefault="00000000" w14:paraId="408EB938" w14:textId="1552F3B2">
      <w:pPr>
        <w:pStyle w:val="Naslov1"/>
        <w:jc w:val="both"/>
      </w:pPr>
      <w:bookmarkStart w:name="_Toc233699492" w:id="39"/>
      <w:r>
        <w:lastRenderedPageBreak/>
      </w:r>
      <w:r>
        <w:t xml:space="preserve">Chapter 5: Data protection and privacy</w:t>
      </w:r>
      <w:bookmarkEnd w:id="39"/>
    </w:p>
    <w:p w:rsidR="00983F19" w:rsidP="00750824" w:rsidRDefault="00000000" w14:paraId="3E646C84" w14:textId="67926478">
      <w:pPr>
        <w:jc w:val="both"/>
      </w:pPr>
      <w:r>
        <w:t xml:space="preserve">Algorithmic management is not merely an organisational technique</w:t>
      </w:r>
      <w:r w:rsidR="003F2469">
        <w:t xml:space="preserve">; </w:t>
      </w:r>
      <w:r>
        <w:t xml:space="preserve">it is a system of control that operates through </w:t>
      </w:r>
      <w:r w:rsidR="003F2469">
        <w:t xml:space="preserve">the collection </w:t>
      </w:r>
      <w:r>
        <w:t xml:space="preserve">of data. Every click in the app, every second of delay, every order rejection is recorded and interpreted by the platform. Articles 7 to 11 of the Directive regulate what the platform may and may not do with this data. This is one of the most far-reaching parts of the Directive: where the GDPR sets out general rules, the Directive introduces stricter and </w:t>
      </w:r>
      <w:r w:rsidR="003F2469">
        <w:t xml:space="preserve">more specific </w:t>
      </w:r>
      <w:r>
        <w:t xml:space="preserve">prohibitions that cannot be circumvented even with the worker’s consent. Data protection in </w:t>
      </w:r>
      <w:r>
        <w:t xml:space="preserve">platform </w:t>
      </w:r>
      <w:r>
        <w:t xml:space="preserve">work is not merely a matter of privacy</w:t>
      </w:r>
      <w:r w:rsidR="003F2469">
        <w:t xml:space="preserve">; </w:t>
      </w:r>
      <w:r>
        <w:t xml:space="preserve">it is a prerequisite for an equal social dialogue.</w:t>
      </w:r>
    </w:p>
    <w:p w:rsidR="00983F19" w:rsidP="00750824" w:rsidRDefault="00000000" w14:paraId="2DA3CF42" w14:textId="77777777">
      <w:pPr>
        <w:pStyle w:val="Naslov2"/>
        <w:jc w:val="both"/>
      </w:pPr>
      <w:bookmarkStart w:name="_Toc233699493" w:id="40"/>
      <w:bookmarkStart w:name="zahteve-direktive-2" w:id="41"/>
      <w:r>
        <w:t xml:space="preserve">5.1 Requirements of the Directive</w:t>
      </w:r>
      <w:bookmarkEnd w:id="40"/>
    </w:p>
    <w:p w:rsidR="00983F19" w:rsidP="00750824" w:rsidRDefault="00000000" w14:paraId="0052DF83" w14:textId="215473CC">
      <w:pPr>
        <w:jc w:val="both"/>
      </w:pPr>
      <w:r>
        <w:t xml:space="preserve">Article 7 introduces absolute prohibitions on the processing of personal data via automated systems. These prohibitions are stricter than those in the General Data Protection Regulation (GDPR) and </w:t>
      </w:r>
      <w:r>
        <w:t xml:space="preserve">cannot be </w:t>
      </w:r>
      <w:r w:rsidR="000B201C">
        <w:t xml:space="preserve">overridden </w:t>
      </w:r>
      <w:r w:rsidR="000B201C">
        <w:t xml:space="preserve">even by </w:t>
      </w:r>
      <w:r>
        <w:t xml:space="preserve">the worker’s consent</w:t>
      </w:r>
      <w:r>
        <w:t xml:space="preserve">. Indeed, in Recital 39</w:t>
      </w:r>
      <w:r>
        <w:t xml:space="preserve">,</w:t>
      </w:r>
      <w:r>
        <w:t xml:space="preserve"> the Directive clearly explains that consent in </w:t>
      </w:r>
      <w:r>
        <w:t xml:space="preserve">platform </w:t>
      </w:r>
      <w:r>
        <w:t xml:space="preserve">work cannot be voluntary: a worker who fears the consequences cannot make a free choice. Platforms therefore cannot obtain valid consent for prohibited </w:t>
      </w:r>
      <w:r w:rsidR="000B201C">
        <w:t xml:space="preserve">data </w:t>
      </w:r>
      <w:r>
        <w:t xml:space="preserve">processing</w:t>
      </w:r>
      <w:r>
        <w:t xml:space="preserve">.</w:t>
      </w:r>
      <w:r>
        <w:rPr>
          <w:rStyle w:val="Sprotnaopomba-sklic"/>
        </w:rPr>
        <w:footnoteReference w:id="4"/>
      </w:r>
    </w:p>
    <w:p w:rsidR="00D90A18" w:rsidP="00750824" w:rsidRDefault="00D90A18" w14:paraId="0655517A" w14:textId="77777777">
      <w:pPr>
        <w:jc w:val="both"/>
      </w:pPr>
    </w:p>
    <w:p w:rsidR="00983F19" w:rsidP="00750824" w:rsidRDefault="00000000" w14:paraId="1223613C" w14:textId="77777777">
      <w:pPr>
        <w:jc w:val="both"/>
      </w:pPr>
      <w:r>
        <w:t xml:space="preserve">The specific prohibitions are:</w:t>
      </w:r>
    </w:p>
    <w:p w:rsidR="00983F19" w:rsidP="00750824" w:rsidRDefault="00000000" w14:paraId="7255E736" w14:textId="3FEB102F">
      <w:pPr>
        <w:numPr>
          <w:ilvl w:val="0"/>
          <w:numId w:val="4"/>
        </w:numPr>
        <w:jc w:val="both"/>
      </w:pPr>
      <w:r>
        <w:t xml:space="preserve">a prohibition on the collection and processing of data relating to </w:t>
      </w:r>
      <w:r>
        <w:rPr>
          <w:b/>
          <w:bCs/>
        </w:rPr>
        <w:t xml:space="preserve">a </w:t>
      </w:r>
      <w:r>
        <w:t xml:space="preserve">worker’s </w:t>
      </w:r>
      <w:r>
        <w:rPr>
          <w:b/>
          <w:bCs/>
        </w:rPr>
        <w:t xml:space="preserve">emotional or psychological state </w:t>
      </w:r>
      <w:r>
        <w:t xml:space="preserve">(Article 7(1)(a</w:t>
      </w:r>
      <w:r w:rsidR="000B201C">
        <w:t xml:space="preserve">)),</w:t>
      </w:r>
    </w:p>
    <w:p w:rsidR="00983F19" w:rsidP="00750824" w:rsidRDefault="00000000" w14:paraId="64940747" w14:textId="37D8A1F5">
      <w:pPr>
        <w:numPr>
          <w:ilvl w:val="0"/>
          <w:numId w:val="4"/>
        </w:numPr>
        <w:jc w:val="both"/>
      </w:pPr>
      <w:r>
        <w:t xml:space="preserve">a prohibition on accessing </w:t>
      </w:r>
      <w:r>
        <w:rPr>
          <w:b/>
          <w:bCs/>
        </w:rPr>
        <w:t xml:space="preserve">private conversations </w:t>
      </w:r>
      <w:r>
        <w:t xml:space="preserve">between employees, including conversations with trade union representatives (Article 7(1)(b</w:t>
      </w:r>
      <w:r w:rsidR="000B201C">
        <w:t xml:space="preserve">)),</w:t>
      </w:r>
    </w:p>
    <w:p w:rsidR="00983F19" w:rsidP="00750824" w:rsidRDefault="00000000" w14:paraId="1DE80C61" w14:textId="5E554F61">
      <w:pPr>
        <w:numPr>
          <w:ilvl w:val="0"/>
          <w:numId w:val="4"/>
        </w:numPr>
        <w:jc w:val="both"/>
      </w:pPr>
      <w:r>
        <w:t xml:space="preserve">a prohibition on the collection of data on an employee’s location or activities when they </w:t>
      </w:r>
      <w:r>
        <w:rPr>
          <w:b/>
          <w:bCs/>
        </w:rPr>
        <w:t xml:space="preserve">are not logged into the application</w:t>
      </w:r>
      <w:r w:rsidR="000B201C">
        <w:t xml:space="preserve">, </w:t>
      </w:r>
      <w:r>
        <w:t xml:space="preserve">i.e. </w:t>
      </w:r>
      <w:r w:rsidR="000B201C">
        <w:t xml:space="preserve">outside </w:t>
      </w:r>
      <w:r>
        <w:t xml:space="preserve">working hours (Article 7(1)(c</w:t>
      </w:r>
      <w:r w:rsidR="000B201C">
        <w:t xml:space="preserve">)),</w:t>
      </w:r>
    </w:p>
    <w:p w:rsidR="00983F19" w:rsidP="00750824" w:rsidRDefault="00000000" w14:paraId="6A2FBA0E" w14:textId="09D32A50">
      <w:pPr>
        <w:numPr>
          <w:ilvl w:val="0"/>
          <w:numId w:val="4"/>
        </w:numPr>
        <w:jc w:val="both"/>
      </w:pPr>
      <w:r>
        <w:t xml:space="preserve">a prohibition on processing data to </w:t>
      </w:r>
      <w:r>
        <w:rPr>
          <w:b/>
          <w:bCs/>
        </w:rPr>
        <w:t xml:space="preserve">predict the exercise </w:t>
      </w:r>
      <w:r>
        <w:t xml:space="preserve">of</w:t>
      </w:r>
      <w:r>
        <w:rPr>
          <w:b/>
          <w:bCs/>
        </w:rPr>
        <w:t xml:space="preserve"> fundamental rights</w:t>
      </w:r>
      <w:r>
        <w:t xml:space="preserve">, including the right to strike or to organise trade unions (Article 7(1)(d</w:t>
      </w:r>
      <w:r w:rsidR="000B201C">
        <w:t xml:space="preserve">)),</w:t>
      </w:r>
    </w:p>
    <w:p w:rsidR="00983F19" w:rsidP="00750824" w:rsidRDefault="00000000" w14:paraId="44019C9A" w14:textId="0D84E0BE">
      <w:pPr>
        <w:numPr>
          <w:ilvl w:val="0"/>
          <w:numId w:val="4"/>
        </w:numPr>
        <w:jc w:val="both"/>
      </w:pPr>
      <w:r>
        <w:t xml:space="preserve">a prohibition </w:t>
      </w:r>
      <w:r>
        <w:rPr>
          <w:b/>
          <w:bCs/>
        </w:rPr>
        <w:t xml:space="preserve">on drawing conclusions about specific categories of data </w:t>
      </w:r>
      <w:r w:rsidR="00D7386B">
        <w:t xml:space="preserve">– </w:t>
      </w:r>
      <w:r>
        <w:t xml:space="preserve">racial origin, health status, trade union membership, sexual orientation </w:t>
      </w:r>
      <w:r w:rsidR="00D7386B">
        <w:t xml:space="preserve">– </w:t>
      </w:r>
      <w:r>
        <w:t xml:space="preserve">from other data (Article 7(1)(e</w:t>
      </w:r>
      <w:r w:rsidR="000B201C">
        <w:t xml:space="preserve">)),</w:t>
      </w:r>
    </w:p>
    <w:p w:rsidR="00983F19" w:rsidP="00750824" w:rsidRDefault="00000000" w14:paraId="0CE1A0E8" w14:textId="77777777">
      <w:pPr>
        <w:numPr>
          <w:ilvl w:val="0"/>
          <w:numId w:val="4"/>
        </w:numPr>
        <w:jc w:val="both"/>
      </w:pPr>
      <w:r>
        <w:rPr>
          <w:b/>
          <w:bCs/>
        </w:rPr>
        <w:t xml:space="preserve">a prohibition on biometric identification</w:t>
      </w:r>
      <w:r>
        <w:t xml:space="preserve">; biometric verification (comparison with the individual’s own stored biometric data) is still permitted (Article 7(1)(f)).</w:t>
      </w:r>
    </w:p>
    <w:p w:rsidR="00D90A18" w:rsidP="00750824" w:rsidRDefault="00D90A18" w14:paraId="46E69968" w14:textId="77777777">
      <w:pPr>
        <w:ind w:start="720"/>
        <w:jc w:val="both"/>
      </w:pPr>
    </w:p>
    <w:p w:rsidR="00983F19" w:rsidP="00750824" w:rsidRDefault="00000000" w14:paraId="1797FC4E" w14:textId="6B70A642">
      <w:pPr>
        <w:jc w:val="both"/>
      </w:pPr>
      <w:r>
        <w:t xml:space="preserve">Article 7(2) extends the prohibitions to the recruitment process</w:t>
      </w:r>
      <w:r w:rsidR="000B201C">
        <w:t xml:space="preserve">, </w:t>
      </w:r>
      <w:r>
        <w:t xml:space="preserve">i.e. even before an individual becomes a PPPW. Article 7(3), however, broadens the material scope: the prohibitions apply not only to AMDMS (as defined in the Directive), but to all automated systems that affect workers in any way.</w:t>
      </w:r>
    </w:p>
    <w:p w:rsidR="00D90A18" w:rsidP="00750824" w:rsidRDefault="00D90A18" w14:paraId="3CB707CA" w14:textId="77777777">
      <w:pPr>
        <w:jc w:val="both"/>
      </w:pPr>
    </w:p>
    <w:p w:rsidR="00983F19" w:rsidP="00750824" w:rsidRDefault="00000000" w14:paraId="54B2A6D9" w14:textId="16ADBD5B">
      <w:pPr>
        <w:jc w:val="both"/>
      </w:pPr>
      <w:r>
        <w:t xml:space="preserve">Article 8 introduces a mandatory </w:t>
      </w:r>
      <w:r>
        <w:t xml:space="preserve">Data </w:t>
      </w:r>
      <w:r>
        <w:t xml:space="preserve">Protection</w:t>
      </w:r>
      <w:r>
        <w:t xml:space="preserve"> </w:t>
      </w:r>
      <w:r>
        <w:t xml:space="preserve">Impact</w:t>
      </w:r>
      <w:r>
        <w:t xml:space="preserve"> </w:t>
      </w:r>
      <w:r>
        <w:t xml:space="preserve">Assessment</w:t>
      </w:r>
      <w:r>
        <w:t xml:space="preserve"> </w:t>
      </w:r>
      <w:r w:rsidR="000B201C">
        <w:t xml:space="preserve">(</w:t>
      </w:r>
      <w:r>
        <w:t xml:space="preserve">DPIA</w:t>
      </w:r>
      <w:r>
        <w:t xml:space="preserve">) for any data processing via an AMDMS. This is stricter than the GDPR, which requires a DPIA only where the processing </w:t>
      </w:r>
      <w:r>
        <w:t xml:space="preserve">is ‘likely to result in a high risk</w:t>
      </w:r>
      <w:r w:rsidR="000B201C">
        <w:t xml:space="preserve">’. </w:t>
      </w:r>
      <w:r>
        <w:t xml:space="preserve">The Directive </w:t>
      </w:r>
      <w:r w:rsidR="00016B3D">
        <w:t xml:space="preserve">assumes </w:t>
      </w:r>
      <w:r>
        <w:t xml:space="preserve">this risk </w:t>
      </w:r>
      <w:r>
        <w:t xml:space="preserve">unconditionally </w:t>
      </w:r>
      <w:r>
        <w:t xml:space="preserve">for all AMDMS in </w:t>
      </w:r>
      <w:r>
        <w:t xml:space="preserve">the </w:t>
      </w:r>
      <w:r>
        <w:t xml:space="preserve">platform </w:t>
      </w:r>
      <w:r>
        <w:t xml:space="preserve">sector</w:t>
      </w:r>
      <w:r>
        <w:t xml:space="preserve">.</w:t>
      </w:r>
      <w:r>
        <w:lastRenderedPageBreak/>
      </w:r>
      <w:r>
        <w:t xml:space="preserve"> When carrying out the assessment</w:t>
      </w:r>
      <w:r w:rsidR="000B201C">
        <w:t xml:space="preserve">,</w:t>
      </w:r>
      <w:r>
        <w:t xml:space="preserve"> the platform must seek the views of workers and their representatives</w:t>
      </w:r>
      <w:r w:rsidR="000B201C">
        <w:t xml:space="preserve">; </w:t>
      </w:r>
      <w:r>
        <w:t xml:space="preserve">the final DPIA must be provided to the workers’ representatives.</w:t>
      </w:r>
      <w:r>
        <w:rPr>
          <w:rStyle w:val="Sprotnaopomba-sklic"/>
        </w:rPr>
        <w:footnoteReference w:id="5"/>
      </w:r>
    </w:p>
    <w:p w:rsidR="000B201C" w:rsidP="00750824" w:rsidRDefault="000B201C" w14:paraId="1D4292FF" w14:textId="77777777">
      <w:pPr>
        <w:jc w:val="both"/>
      </w:pPr>
    </w:p>
    <w:p w:rsidR="00983F19" w:rsidP="00750824" w:rsidRDefault="00000000" w14:paraId="64B7C432" w14:textId="19EE4701">
      <w:pPr>
        <w:jc w:val="both"/>
      </w:pPr>
      <w:r>
        <w:t xml:space="preserve">Article 9 governs the transparency of algorithms. The platform must proactively provide workers and their representatives, without them having to request it, with information on each monitoring and decision-making system: what data it collects, how it operates, what the key parameters are and how they influence decisions, and on what grounds an account may be restricted or suspended. </w:t>
      </w:r>
      <w:r w:rsidR="00DF6109">
        <w:t xml:space="preserve">The Directive requires clarity and accessibility; therefore</w:t>
      </w:r>
      <w:r>
        <w:t xml:space="preserve">,</w:t>
      </w:r>
      <w:r w:rsidR="00DF6109">
        <w:t xml:space="preserve"> this </w:t>
      </w:r>
      <w:r>
        <w:t xml:space="preserve">information </w:t>
      </w:r>
      <w:r w:rsidR="00DF6109">
        <w:t xml:space="preserve">must be </w:t>
      </w:r>
      <w:r w:rsidR="00DF6109">
        <w:t xml:space="preserve">provided </w:t>
      </w:r>
      <w:r>
        <w:t xml:space="preserve">in a language that workers can understand</w:t>
      </w:r>
      <w:r w:rsidR="00016B3D">
        <w:t xml:space="preserve">.</w:t>
      </w:r>
      <w:r>
        <w:t xml:space="preserve"> Article 9(6) introduces the right to </w:t>
      </w:r>
      <w:r>
        <w:t xml:space="preserve">data</w:t>
      </w:r>
      <w:r>
        <w:t xml:space="preserve"> </w:t>
      </w:r>
      <w:r w:rsidR="00DF6109">
        <w:t xml:space="preserve">port</w:t>
      </w:r>
      <w:r>
        <w:t xml:space="preserve">ability</w:t>
      </w:r>
      <w:r>
        <w:t xml:space="preserve">: a worker has the right </w:t>
      </w:r>
      <w:r>
        <w:t xml:space="preserve">to obtain all data generated in the course of their work </w:t>
      </w:r>
      <w:r w:rsidR="00D7386B">
        <w:t xml:space="preserve">– </w:t>
      </w:r>
      <w:r>
        <w:t xml:space="preserve">including assessments and opinions </w:t>
      </w:r>
      <w:r w:rsidR="00D7386B">
        <w:t xml:space="preserve">– </w:t>
      </w:r>
      <w:r>
        <w:t xml:space="preserve">in a machine-readable format and to transfer it elsewhere</w:t>
      </w:r>
      <w:r w:rsidR="00DF6109">
        <w:t xml:space="preserve">.</w:t>
      </w:r>
    </w:p>
    <w:p w:rsidR="00D90A18" w:rsidP="00750824" w:rsidRDefault="00D90A18" w14:paraId="78EEAB8B" w14:textId="77777777">
      <w:pPr>
        <w:jc w:val="both"/>
      </w:pPr>
    </w:p>
    <w:p w:rsidR="00983F19" w:rsidP="00750824" w:rsidRDefault="00000000" w14:paraId="7737FD96" w14:textId="7F3714C6">
      <w:pPr>
        <w:jc w:val="both"/>
      </w:pPr>
      <w:r>
        <w:t xml:space="preserve">Article 10 establishes a framework for continuous human oversight of automated decisions. The platform must continuously </w:t>
      </w:r>
      <w:r w:rsidR="00D7386B">
        <w:t xml:space="preserve">– </w:t>
      </w:r>
      <w:r>
        <w:t xml:space="preserve">not merely periodically </w:t>
      </w:r>
      <w:r w:rsidR="00D7386B">
        <w:t xml:space="preserve">– </w:t>
      </w:r>
      <w:r>
        <w:t xml:space="preserve">monitor the impact of individual AMDMS decisions on workers. It must carry out a formal assessment every two years. The persons carrying out supervision within the platform must have the appropriate qualifications, authorisation and </w:t>
      </w:r>
      <w:r w:rsidR="00DF6109">
        <w:t xml:space="preserve">the power </w:t>
      </w:r>
      <w:r>
        <w:t xml:space="preserve">to override an automated decision. A key provision </w:t>
      </w:r>
      <w:r w:rsidR="00016B3D">
        <w:t xml:space="preserve">is </w:t>
      </w:r>
      <w:r w:rsidR="00DF6109">
        <w:t xml:space="preserve">that the platform </w:t>
      </w:r>
      <w:r>
        <w:t xml:space="preserve">must not dismiss or penalise these individuals for carrying out their supervisory role (Article 10(2)). Any decision to restrict, suspend or close an account must be taken by a human</w:t>
      </w:r>
      <w:r w:rsidR="00DF6109">
        <w:t xml:space="preserve">, </w:t>
      </w:r>
      <w:r>
        <w:t xml:space="preserve">not </w:t>
      </w:r>
      <w:r w:rsidR="00DF6109">
        <w:t xml:space="preserve">an algorithm </w:t>
      </w:r>
      <w:r>
        <w:t xml:space="preserve">(Article 10(5)).</w:t>
      </w:r>
    </w:p>
    <w:p w:rsidR="00D90A18" w:rsidP="00750824" w:rsidRDefault="00D90A18" w14:paraId="3A085AB4" w14:textId="77777777">
      <w:pPr>
        <w:jc w:val="both"/>
      </w:pPr>
    </w:p>
    <w:p w:rsidR="00983F19" w:rsidP="00750824" w:rsidRDefault="00000000" w14:paraId="6D8C84ED" w14:textId="0FC24A03">
      <w:pPr>
        <w:jc w:val="both"/>
      </w:pPr>
      <w:r>
        <w:t xml:space="preserve">Article 11 governs the right to a human review of individual automated decisions. A worker has the right to an explanation of any decision taken or supported by an ADMS. For more serious decisions </w:t>
      </w:r>
      <w:r w:rsidR="00D7386B">
        <w:t xml:space="preserve">– such </w:t>
      </w:r>
      <w:r w:rsidR="00D7386B">
        <w:t xml:space="preserve">as </w:t>
      </w:r>
      <w:r>
        <w:t xml:space="preserve">restricting an account, refusing payment or terminating a contractual relationship </w:t>
      </w:r>
      <w:r w:rsidR="00D7386B">
        <w:t xml:space="preserve">– </w:t>
      </w:r>
      <w:r>
        <w:t xml:space="preserve">the platform is obliged, without being asked and no later than the day </w:t>
      </w:r>
      <w:r w:rsidR="00DF6109">
        <w:t xml:space="preserve">on which </w:t>
      </w:r>
      <w:r w:rsidR="00DF6109">
        <w:t xml:space="preserve">the decision takes effect, </w:t>
      </w:r>
      <w:r>
        <w:t xml:space="preserve">to provide a written justification </w:t>
      </w:r>
      <w:r w:rsidR="00DF6109">
        <w:t xml:space="preserve">for the decision</w:t>
      </w:r>
      <w:r>
        <w:t xml:space="preserve">. The worker then has the right to request a review</w:t>
      </w:r>
      <w:r w:rsidR="00DF6109">
        <w:t xml:space="preserve">, </w:t>
      </w:r>
      <w:r w:rsidR="00DF6109">
        <w:t xml:space="preserve">and</w:t>
      </w:r>
      <w:r>
        <w:t xml:space="preserve"> the platform </w:t>
      </w:r>
      <w:r>
        <w:t xml:space="preserve">must respond within two weeks with a substantive, reasoned written reply. Where a decision infringes the worker’s rights, the platform must rectify it within two weeks or</w:t>
      </w:r>
      <w:r w:rsidR="005B4341">
        <w:t xml:space="preserve">, </w:t>
      </w:r>
      <w:r>
        <w:t xml:space="preserve">if this is not possible</w:t>
      </w:r>
      <w:r w:rsidR="005B4341">
        <w:t xml:space="preserve">, </w:t>
      </w:r>
      <w:r>
        <w:t xml:space="preserve">pay compensation.</w:t>
      </w:r>
    </w:p>
    <w:p w:rsidR="00983F19" w:rsidP="00750824" w:rsidRDefault="00000000" w14:paraId="42D47A9F" w14:textId="77777777">
      <w:pPr>
        <w:pStyle w:val="Naslov2"/>
        <w:jc w:val="both"/>
      </w:pPr>
      <w:bookmarkStart w:name="_Toc233699494" w:id="42"/>
      <w:bookmarkStart w:name="ugotovitve-iz-prakse-2" w:id="43"/>
      <w:bookmarkEnd w:id="41"/>
      <w:r>
        <w:t xml:space="preserve">5.2 Findings from practice</w:t>
      </w:r>
      <w:bookmarkEnd w:id="42"/>
    </w:p>
    <w:p w:rsidR="00983F19" w:rsidP="00750824" w:rsidRDefault="00000000" w14:paraId="6C710FC8" w14:textId="2F7F05D7">
      <w:pPr>
        <w:jc w:val="both"/>
      </w:pPr>
      <w:r>
        <w:t xml:space="preserve">The Austrian experience highlights the key tension that the directive seeks to resolve: the Austrian collective agreement for delivery workers (</w:t>
      </w:r>
      <w:r w:rsidR="005B4341">
        <w:t xml:space="preserve">originally concluded in 2020, </w:t>
      </w:r>
      <w:r>
        <w:t xml:space="preserve">renewed for the period 2023–2025) has succeeded in regulating </w:t>
      </w:r>
      <w:r>
        <w:t xml:space="preserve">pay, </w:t>
      </w:r>
      <w:r w:rsidR="005B4341">
        <w:t xml:space="preserve">working </w:t>
      </w:r>
      <w:r w:rsidR="005B4341">
        <w:t xml:space="preserve">hours </w:t>
      </w:r>
      <w:r>
        <w:t xml:space="preserve">and </w:t>
      </w:r>
      <w:r w:rsidR="005B4341">
        <w:t xml:space="preserve">safety</w:t>
      </w:r>
      <w:r>
        <w:t xml:space="preserve">, but has not addressed algorithmic management. </w:t>
      </w:r>
      <w:r w:rsidR="005B4341">
        <w:t xml:space="preserve">The platforms are aware </w:t>
      </w:r>
      <w:r>
        <w:t xml:space="preserve">that algorithmic control is their </w:t>
      </w:r>
      <w:r w:rsidR="005B4341">
        <w:t xml:space="preserve">most important </w:t>
      </w:r>
      <w:r>
        <w:t xml:space="preserve">lever of power </w:t>
      </w:r>
      <w:r w:rsidR="00D7386B">
        <w:t xml:space="preserve">– </w:t>
      </w:r>
      <w:r>
        <w:t xml:space="preserve">and </w:t>
      </w:r>
      <w:r w:rsidR="005B4341">
        <w:t xml:space="preserve">it is </w:t>
      </w:r>
      <w:r>
        <w:t xml:space="preserve">precisely </w:t>
      </w:r>
      <w:r w:rsidR="005B4341">
        <w:t xml:space="preserve">on </w:t>
      </w:r>
      <w:r>
        <w:t xml:space="preserve">this point </w:t>
      </w:r>
      <w:r w:rsidR="005B4341">
        <w:t xml:space="preserve">that they </w:t>
      </w:r>
      <w:r>
        <w:t xml:space="preserve">are unwilling to negotiate. The concept </w:t>
      </w:r>
      <w:r w:rsidR="005B4341">
        <w:t xml:space="preserve">of</w:t>
      </w:r>
      <w:r>
        <w:t xml:space="preserve"> ‘digital </w:t>
      </w:r>
      <w:r w:rsidR="005B4341">
        <w:t xml:space="preserve">Taylorism’ </w:t>
      </w:r>
      <w:r>
        <w:t xml:space="preserve">describes how systems, such as </w:t>
      </w:r>
      <w:r>
        <w:t xml:space="preserve">Foodora’s</w:t>
      </w:r>
      <w:r>
        <w:t xml:space="preserve"> performance rating</w:t>
      </w:r>
      <w:r>
        <w:t xml:space="preserve">, </w:t>
      </w:r>
      <w:r>
        <w:t xml:space="preserve">break</w:t>
      </w:r>
      <w:r w:rsidR="005B4341">
        <w:t xml:space="preserve"> work </w:t>
      </w:r>
      <w:r>
        <w:t xml:space="preserve">down into measurable units and, based on this data, trigger automatic dismissals (so-called </w:t>
      </w:r>
      <w:r w:rsidR="005B4341">
        <w:t xml:space="preserve">‘robo-firing’</w:t>
      </w:r>
      <w:r>
        <w:t xml:space="preserve">).</w:t>
      </w:r>
    </w:p>
    <w:p w:rsidR="00D90A18" w:rsidP="00750824" w:rsidRDefault="00D90A18" w14:paraId="48776CAF" w14:textId="77777777">
      <w:pPr>
        <w:jc w:val="both"/>
      </w:pPr>
    </w:p>
    <w:p w:rsidR="00983F19" w:rsidP="00750824" w:rsidRDefault="00000000" w14:paraId="28914753" w14:textId="080C5C8B">
      <w:pPr>
        <w:jc w:val="both"/>
      </w:pPr>
      <w:r>
        <w:t xml:space="preserve">The EC expert group’s report documents the key problem of dual jurisdiction</w:t>
      </w:r>
      <w:r w:rsidR="005B4341">
        <w:t xml:space="preserve">: </w:t>
      </w:r>
      <w:r>
        <w:t xml:space="preserve">data protection in </w:t>
      </w:r>
      <w:r>
        <w:t xml:space="preserve">platform </w:t>
      </w:r>
      <w:r>
        <w:t xml:space="preserve">work falls within the remit of both data protection authorities (DPAs) and labour inspectorates, yet these two institutions generally do not</w:t>
      </w:r>
      <w:r>
        <w:lastRenderedPageBreak/>
      </w:r>
      <w:r>
        <w:t xml:space="preserve"> cooperate. In practice, this means that a worker whose location is tracked by a platform outside working hours does not know whether to lodge a complaint with the Information Commissioner or with the labour inspectorate</w:t>
      </w:r>
      <w:r w:rsidR="005B4341">
        <w:t xml:space="preserve">, </w:t>
      </w:r>
      <w:r w:rsidR="005B4341">
        <w:t xml:space="preserve">whilst </w:t>
      </w:r>
      <w:r w:rsidR="005B4341">
        <w:t xml:space="preserve">both </w:t>
      </w:r>
      <w:r>
        <w:t xml:space="preserve">bodies </w:t>
      </w:r>
      <w:r>
        <w:t xml:space="preserve">are likely to take the view that this falls within the remit of the other.</w:t>
      </w:r>
    </w:p>
    <w:p w:rsidR="00D90A18" w:rsidP="00750824" w:rsidRDefault="00D90A18" w14:paraId="6869F525" w14:textId="77777777">
      <w:pPr>
        <w:jc w:val="both"/>
      </w:pPr>
    </w:p>
    <w:p w:rsidR="00983F19" w:rsidP="00750824" w:rsidRDefault="00000000" w14:paraId="43EE7CE9" w14:textId="5D46ECC7">
      <w:pPr>
        <w:jc w:val="both"/>
      </w:pPr>
      <w:r>
        <w:t xml:space="preserve">In its guidelines for the implementation of the Directive (April 2025), the ZSSS proposed that the Information Commissioner of the Republic of Slovenia be involved in the process of introducing any automated system in the workplace </w:t>
      </w:r>
      <w:r w:rsidR="00D7386B">
        <w:t xml:space="preserve">– </w:t>
      </w:r>
      <w:r>
        <w:t xml:space="preserve">not merely as a body that takes action following a breach, but as a preventive partner for the social partners. This is a good practice that should be extended to all Member States: the data protection authority as a structural actor in the social dialogue on algorithmic governance, not merely a reactive supervisor.</w:t>
      </w:r>
    </w:p>
    <w:p w:rsidR="00D90A18" w:rsidP="00750824" w:rsidRDefault="00D90A18" w14:paraId="2F3AC2C6" w14:textId="77777777">
      <w:pPr>
        <w:jc w:val="both"/>
      </w:pPr>
    </w:p>
    <w:p w:rsidR="00983F19" w:rsidP="00750824" w:rsidRDefault="00000000" w14:paraId="7C4EEE62" w14:textId="1CC77400">
      <w:pPr>
        <w:jc w:val="both"/>
      </w:pPr>
      <w:r>
        <w:t xml:space="preserve">At the SDDP project conference in Ljubljana in May 2025, representatives from all partner countries confirmed a common finding: the right to an explanation of algorithmic decisions exists on paper, but in practice it is devoid of substance. Workers receive general explanations that do not reveal the actual parameters, whilst the person responsible for the review is often not qualified to assess the content</w:t>
      </w:r>
      <w:r w:rsidR="00FF3A12">
        <w:t xml:space="preserve">; </w:t>
      </w:r>
      <w:r>
        <w:t xml:space="preserve">their response merely confirms the algorithm’s decision. Article 11 of the Directive explicitly addresses this, but implementation must be precise: a substantive review must be required, not merely a formal one.</w:t>
      </w:r>
    </w:p>
    <w:p w:rsidR="00D90A18" w:rsidP="00750824" w:rsidRDefault="00D90A18" w14:paraId="7B1C183D" w14:textId="77777777">
      <w:pPr>
        <w:jc w:val="both"/>
      </w:pPr>
    </w:p>
    <w:p w:rsidR="00983F19" w:rsidP="00750824" w:rsidRDefault="00000000" w14:paraId="7FDAD910" w14:textId="391B9782">
      <w:pPr>
        <w:jc w:val="both"/>
      </w:pPr>
      <w:r>
        <w:t xml:space="preserve">Particularly in the context of trade union organising, the prohibition set out in Article 7(1)(d) was highlighted: platforms </w:t>
      </w:r>
      <w:r>
        <w:t xml:space="preserve">could</w:t>
      </w:r>
      <w:r>
        <w:t xml:space="preserve">, by analysing patterns of workers’ behaviour </w:t>
      </w:r>
      <w:r w:rsidR="00D7386B">
        <w:t xml:space="preserve">– </w:t>
      </w:r>
      <w:r>
        <w:t xml:space="preserve">for example, which workers reject orders at certain times, or which are in contact with one another </w:t>
      </w:r>
      <w:r w:rsidR="00D7386B">
        <w:t xml:space="preserve">– </w:t>
      </w:r>
      <w:r>
        <w:t xml:space="preserve">predict trade union activity. The Directive prohibits this. A worker’s consent cannot override this prohibition.</w:t>
      </w:r>
    </w:p>
    <w:p w:rsidR="00983F19" w:rsidP="00750824" w:rsidRDefault="00000000" w14:paraId="09C6333A" w14:textId="77777777">
      <w:pPr>
        <w:pStyle w:val="Naslov2"/>
        <w:jc w:val="both"/>
      </w:pPr>
      <w:bookmarkStart w:name="_Toc233699495" w:id="44"/>
      <w:bookmarkStart w:name="priporočila-2" w:id="45"/>
      <w:bookmarkEnd w:id="43"/>
      <w:r>
        <w:t xml:space="preserve">5.3 Recommendations</w:t>
      </w:r>
      <w:bookmarkEnd w:id="44"/>
    </w:p>
    <w:p w:rsidR="00983F19" w:rsidP="00750824" w:rsidRDefault="00000000" w14:paraId="13A7E7A7" w14:textId="7AB1A20A">
      <w:pPr>
        <w:jc w:val="both"/>
      </w:pPr>
      <w:r>
        <w:t xml:space="preserve">The following recommendations are addressed to the ministries of labour and </w:t>
      </w:r>
      <w:r>
        <w:t xml:space="preserve">data</w:t>
      </w:r>
      <w:r>
        <w:t xml:space="preserve"> protection authorities of </w:t>
      </w:r>
      <w:r>
        <w:t xml:space="preserve">EU Member States.</w:t>
      </w:r>
    </w:p>
    <w:p w:rsidR="00983F19" w:rsidP="00750824" w:rsidRDefault="00000000" w14:paraId="2B6EB242" w14:textId="77777777">
      <w:pPr>
        <w:pStyle w:val="Naslov3"/>
        <w:jc w:val="both"/>
      </w:pPr>
      <w:r>
        <w:t xml:space="preserve">Recommendation 5.1 [DIRECTIVE]: Transpose the absolute prohibitions in Article 7 without exceptions and without consent</w:t>
      </w:r>
    </w:p>
    <w:p w:rsidR="00983F19" w:rsidP="00750824" w:rsidRDefault="00000000" w14:paraId="50B9577B" w14:textId="1DAB2F37">
      <w:pPr>
        <w:jc w:val="both"/>
      </w:pPr>
      <w:r>
        <w:t xml:space="preserve">National laws must transpose the prohibitions set out in Article 7 as unconditional </w:t>
      </w:r>
      <w:r w:rsidR="00D7386B">
        <w:t xml:space="preserve">– </w:t>
      </w:r>
      <w:r>
        <w:t xml:space="preserve">without the possibility for a platform to </w:t>
      </w:r>
      <w:r>
        <w:t xml:space="preserve">circumvent any of them by obtaining the worker’s consent. The law must expressly stipulate that consent is not a valid legal basis for prohibited </w:t>
      </w:r>
      <w:r w:rsidR="008A7718">
        <w:t xml:space="preserve">data</w:t>
      </w:r>
      <w:r>
        <w:t xml:space="preserve"> processing </w:t>
      </w:r>
      <w:r>
        <w:t xml:space="preserve">in </w:t>
      </w:r>
      <w:r>
        <w:t xml:space="preserve">platform </w:t>
      </w:r>
      <w:r>
        <w:t xml:space="preserve">work. We recommend that the law include specific examples of prohibited practices: the collection of location data during breaks, the analysis of communications between workers for the purpose of detecting trade union activity, and drawing conclusions about health status from behavioural patterns. The competent authorities must be empowered to enforce these prohibitions proactively, not merely in response to a complaint.</w:t>
      </w:r>
    </w:p>
    <w:p w:rsidR="00D90A18" w:rsidP="00750824" w:rsidRDefault="00D90A18" w14:paraId="715DEACA" w14:textId="77777777">
      <w:pPr>
        <w:jc w:val="both"/>
      </w:pPr>
    </w:p>
    <w:p w:rsidR="00983F19" w:rsidP="00750824" w:rsidRDefault="00000000" w14:paraId="3B0530CF" w14:textId="1FE95661">
      <w:pPr>
        <w:pStyle w:val="Blokbesedila"/>
      </w:pPr>
      <w:r>
        <w:t xml:space="preserve">Background: The EC’s expert group has confirmed that consent in </w:t>
      </w:r>
      <w:r>
        <w:t xml:space="preserve">platform </w:t>
      </w:r>
      <w:r>
        <w:t xml:space="preserve">work </w:t>
      </w:r>
      <w:r w:rsidR="008A7718">
        <w:t xml:space="preserve">is</w:t>
      </w:r>
      <w:r>
        <w:t xml:space="preserve"> not freely </w:t>
      </w:r>
      <w:r w:rsidR="008A7718">
        <w:t xml:space="preserve">given</w:t>
      </w:r>
      <w:r>
        <w:t xml:space="preserve">, as </w:t>
      </w:r>
      <w:r>
        <w:t xml:space="preserve">workers cannot </w:t>
      </w:r>
      <w:r w:rsidR="008A7718">
        <w:t xml:space="preserve">refuse </w:t>
      </w:r>
      <w:r>
        <w:t xml:space="preserve">without risking </w:t>
      </w:r>
      <w:r w:rsidR="008A7718">
        <w:t xml:space="preserve">the loss of their job</w:t>
      </w:r>
      <w:r>
        <w:t xml:space="preserve">. The prohibitions set out in Article 7 are therefore absolute</w:t>
      </w:r>
      <w:r w:rsidR="008A7718">
        <w:t xml:space="preserve">, and </w:t>
      </w:r>
      <w:r>
        <w:t xml:space="preserve">this must be clearly stated in the law, not merely summarised from the Directive.</w:t>
      </w:r>
    </w:p>
    <w:p w:rsidR="00983F19" w:rsidP="00750824" w:rsidRDefault="00000000" w14:paraId="512E3E8E" w14:textId="55A382E1">
      <w:pPr>
        <w:pStyle w:val="Naslov3"/>
        <w:jc w:val="both"/>
      </w:pPr>
      <w:r>
        <w:t xml:space="preserve">Recommendation 5.2 [DIRECTIVE]: A DPIA as a prerequisite for the introduction of any AMDMS </w:t>
      </w:r>
      <w:r w:rsidR="00D7386B">
        <w:t xml:space="preserve">– </w:t>
      </w:r>
      <w:r>
        <w:t xml:space="preserve">including existing systems</w:t>
      </w:r>
    </w:p>
    <w:p w:rsidR="00983F19" w:rsidP="00750824" w:rsidRDefault="00000000" w14:paraId="7622A0C1" w14:textId="5A90BF6D">
      <w:pPr>
        <w:jc w:val="both"/>
      </w:pPr>
      <w:r>
        <w:lastRenderedPageBreak/>
      </w:r>
      <w:r>
        <w:t xml:space="preserve">Ministries must </w:t>
      </w:r>
      <w:r>
        <w:t xml:space="preserve">stipulate </w:t>
      </w:r>
      <w:r>
        <w:t xml:space="preserve">in </w:t>
      </w:r>
      <w:r w:rsidR="008A7718">
        <w:t xml:space="preserve">the legislation transposing the Directive </w:t>
      </w:r>
      <w:r>
        <w:t xml:space="preserve">that a Data Protection Impact Assessment (DPIA) is mandatory prior to the introduction of any new AMDMS and for all existing systems already in use by the platform at the time the legislation comes into force. The deadline for carrying out the assessment for existing systems must not exceed six months after the law comes into force. Workers’ representatives must be involved in the preparation of the assessment</w:t>
      </w:r>
      <w:r w:rsidR="008A7718">
        <w:t xml:space="preserve">, </w:t>
      </w:r>
      <w:r>
        <w:t xml:space="preserve">not merely informed of its existence. The final DPIA must be provided to them without them having to request it.</w:t>
      </w:r>
    </w:p>
    <w:p w:rsidR="008A7718" w:rsidP="00750824" w:rsidRDefault="008A7718" w14:paraId="76FB34EE" w14:textId="77777777">
      <w:pPr>
        <w:jc w:val="both"/>
      </w:pPr>
    </w:p>
    <w:p w:rsidR="00983F19" w:rsidP="00750824" w:rsidRDefault="00000000" w14:paraId="297DFDC8" w14:textId="335EB246">
      <w:pPr>
        <w:pStyle w:val="Blokbesedila"/>
      </w:pPr>
      <w:r>
        <w:t xml:space="preserve">Background: Article 8 is stricter than Article 35 of the GDPR: the Directive </w:t>
      </w:r>
      <w:r w:rsidR="00016B3D">
        <w:t xml:space="preserve">presumes </w:t>
      </w:r>
      <w:r w:rsidR="008A7718">
        <w:t xml:space="preserve">that </w:t>
      </w:r>
      <w:r w:rsidR="008A7718">
        <w:t xml:space="preserve">platform </w:t>
      </w:r>
      <w:r w:rsidR="008A7718">
        <w:t xml:space="preserve">work </w:t>
      </w:r>
      <w:r w:rsidR="008A7718">
        <w:t xml:space="preserve">involves</w:t>
      </w:r>
      <w:r>
        <w:t xml:space="preserve"> a risk </w:t>
      </w:r>
      <w:r>
        <w:t xml:space="preserve">without exception. This means that the assessment cannot be replaced by a company’s general data protection policy. Consultation with workers during the preparation of the DPIA is a requirement that must be operationalised by national legislation.</w:t>
      </w:r>
    </w:p>
    <w:p w:rsidR="00983F19" w:rsidP="00750824" w:rsidRDefault="00000000" w14:paraId="617DAA43" w14:textId="1A3BD556">
      <w:pPr>
        <w:pStyle w:val="Naslov3"/>
        <w:jc w:val="both"/>
      </w:pPr>
      <w:r>
        <w:t xml:space="preserve">Recommendation 5.3 [DIRECTIVE]: Portability of ratings and reviews as </w:t>
      </w:r>
      <w:r>
        <w:t xml:space="preserve">the</w:t>
      </w:r>
      <w:r>
        <w:t xml:space="preserve"> worker’s </w:t>
      </w:r>
      <w:r w:rsidR="008A7718">
        <w:t xml:space="preserve">‘property’</w:t>
      </w:r>
    </w:p>
    <w:p w:rsidR="00983F19" w:rsidP="00750824" w:rsidRDefault="00000000" w14:paraId="2CF9A68E" w14:textId="52E9E76B">
      <w:pPr>
        <w:jc w:val="both"/>
      </w:pPr>
      <w:r>
        <w:t xml:space="preserve">The law must expressly stipulate that </w:t>
      </w:r>
      <w:r>
        <w:t xml:space="preserve">ratings and reviews collected whilst performing </w:t>
      </w:r>
      <w:r>
        <w:t xml:space="preserve">platform </w:t>
      </w:r>
      <w:r>
        <w:t xml:space="preserve">work </w:t>
      </w:r>
      <w:r w:rsidR="008A7718">
        <w:t xml:space="preserve">constitute </w:t>
      </w:r>
      <w:r>
        <w:t xml:space="preserve">the worker’s personal data and are subject to the right to portability under Article 9(6) of the Directive. The platform must provide free tools for downloading data in a machine-readable format. Workers must be able to transfer the data to another platform or submit it as part of a procedure to determine their employment status. The law must prohibit the platform from </w:t>
      </w:r>
      <w:r>
        <w:t xml:space="preserve">deleting or hiding </w:t>
      </w:r>
      <w:r>
        <w:t xml:space="preserve">ratings when a worker leaves </w:t>
      </w:r>
      <w:r w:rsidR="008A7718">
        <w:t xml:space="preserve">the platform</w:t>
      </w:r>
      <w:r>
        <w:t xml:space="preserve">.</w:t>
      </w:r>
    </w:p>
    <w:p w:rsidR="008A7718" w:rsidP="00750824" w:rsidRDefault="008A7718" w14:paraId="397723AE" w14:textId="77777777">
      <w:pPr>
        <w:jc w:val="both"/>
      </w:pPr>
    </w:p>
    <w:p w:rsidR="00983F19" w:rsidP="00750824" w:rsidRDefault="00000000" w14:paraId="007763BE" w14:textId="1BC413FF">
      <w:pPr>
        <w:jc w:val="both"/>
      </w:pPr>
      <w:r>
        <w:t xml:space="preserve">The EC’s expert group has </w:t>
      </w:r>
      <w:r w:rsidR="008A7718">
        <w:t xml:space="preserve">also </w:t>
      </w:r>
      <w:r>
        <w:t xml:space="preserve">confirmed </w:t>
      </w:r>
      <w:r w:rsidR="008A7718">
        <w:t xml:space="preserve">that </w:t>
      </w:r>
      <w:r>
        <w:t xml:space="preserve">a worker </w:t>
      </w:r>
      <w:r w:rsidR="008A7718">
        <w:t xml:space="preserve">has </w:t>
      </w:r>
      <w:r>
        <w:t xml:space="preserve">the right to determine which categories of data </w:t>
      </w:r>
      <w:r w:rsidR="008A7718">
        <w:t xml:space="preserve">are </w:t>
      </w:r>
      <w:r w:rsidR="008A7718">
        <w:t xml:space="preserve">transferred</w:t>
      </w:r>
      <w:r>
        <w:t xml:space="preserve">, but cannot demand a choice within a category.</w:t>
      </w:r>
    </w:p>
    <w:p w:rsidR="00D90A18" w:rsidP="00750824" w:rsidRDefault="00D90A18" w14:paraId="7F3A0E71" w14:textId="77777777">
      <w:pPr>
        <w:jc w:val="both"/>
      </w:pPr>
    </w:p>
    <w:p w:rsidR="00983F19" w:rsidP="00750824" w:rsidRDefault="00000000" w14:paraId="7148FB83" w14:textId="047411A6">
      <w:pPr>
        <w:pStyle w:val="Naslov3"/>
        <w:jc w:val="both"/>
      </w:pPr>
      <w:r>
        <w:t xml:space="preserve">Recommendation 5.4 [DIRECTIVE]: Continuous human oversight and genuine monitoring </w:t>
      </w:r>
      <w:r w:rsidR="00D7386B">
        <w:t xml:space="preserve">– </w:t>
      </w:r>
      <w:r>
        <w:t xml:space="preserve">not merely a formality</w:t>
      </w:r>
    </w:p>
    <w:p w:rsidR="00983F19" w:rsidP="00750824" w:rsidRDefault="00000000" w14:paraId="17E5BCB7" w14:textId="1F384C38">
      <w:pPr>
        <w:jc w:val="both"/>
      </w:pPr>
      <w:r>
        <w:t xml:space="preserve">The law must stipulate that the supervision under Article 10 is continuous</w:t>
      </w:r>
      <w:r w:rsidR="00E872A3">
        <w:t xml:space="preserve">, </w:t>
      </w:r>
      <w:r>
        <w:t xml:space="preserve">not merely a periodic review every two years. The platform must appoint specific individuals responsible for supervision, with defined powers that include the right to override an automated decision. These individuals must not be dismissed or penalised for carrying out their supervisory duties </w:t>
      </w:r>
      <w:r w:rsidR="00D7386B">
        <w:t xml:space="preserve">– </w:t>
      </w:r>
      <w:r>
        <w:t xml:space="preserve">the law must </w:t>
      </w:r>
      <w:r w:rsidR="00E872A3">
        <w:t xml:space="preserve">stipulate </w:t>
      </w:r>
      <w:r w:rsidR="00E872A3">
        <w:t xml:space="preserve">this </w:t>
      </w:r>
      <w:r>
        <w:t xml:space="preserve">explicitly, together with the legal consequences for any platform that breaches this provision. We recommend that the platform inform trade unions of its monitoring findings whenever it detects a breach of rights</w:t>
      </w:r>
      <w:r w:rsidR="00E872A3">
        <w:t xml:space="preserve">, </w:t>
      </w:r>
      <w:r>
        <w:t xml:space="preserve">not just as part of the biennial report.</w:t>
      </w:r>
    </w:p>
    <w:p w:rsidR="00E872A3" w:rsidP="00750824" w:rsidRDefault="00E872A3" w14:paraId="4A896CD8" w14:textId="77777777">
      <w:pPr>
        <w:jc w:val="both"/>
      </w:pPr>
    </w:p>
    <w:p w:rsidR="00E872A3" w:rsidP="00750824" w:rsidRDefault="00000000" w14:paraId="3E845F4F" w14:textId="16263007">
      <w:pPr>
        <w:pStyle w:val="Blokbesedila"/>
      </w:pPr>
      <w:r>
        <w:t xml:space="preserve">Background: Article 10(2) of the Directive already provides for the protection of monitoring officers against dismissal, but in general terms. Without a specific provision in national law, the platform will interpret this obligation narrowly. The Austrian experience (performance appraisals, automated dismissals) shows that it is precisely the decisions with the most severe consequences for workers that have been fully automated.</w:t>
      </w:r>
    </w:p>
    <w:p w:rsidR="00983F19" w:rsidP="00750824" w:rsidRDefault="00000000" w14:paraId="670D7594" w14:textId="15B509F0">
      <w:pPr>
        <w:pStyle w:val="Naslov3"/>
        <w:jc w:val="both"/>
      </w:pPr>
      <w:r>
        <w:t xml:space="preserve">Recommendation 5.5 [EXCEEDS THE MINIMUM]: The Information Commissioner as a structural partner in social dialogue</w:t>
      </w:r>
    </w:p>
    <w:p w:rsidR="00983F19" w:rsidP="00750824" w:rsidRDefault="00000000" w14:paraId="0A64ABF9" w14:textId="6A1A83B3">
      <w:pPr>
        <w:jc w:val="both"/>
      </w:pPr>
      <w:r>
        <w:t xml:space="preserve">Ministries</w:t>
      </w:r>
      <w:r>
        <w:t xml:space="preserve">, together with data protection authorities, should establish a procedure whereby the Information Commissioner (or another competent DPA) is involved in the implementation of every new AMDMS at </w:t>
      </w:r>
      <w:r>
        <w:t xml:space="preserve">the </w:t>
      </w:r>
      <w:r>
        <w:t xml:space="preserve">platform </w:t>
      </w:r>
      <w:r>
        <w:t xml:space="preserve">level </w:t>
      </w:r>
      <w:r w:rsidR="00D7386B">
        <w:t xml:space="preserve">– </w:t>
      </w:r>
      <w:r>
        <w:t xml:space="preserve">not merely as a supervisory body following a breach, but as a preventive partner in social dialogue. We recommend that the law guarantee trade union representatives the right to expert assistance from the Information Commissioner when assessing algorithmic systems. In Slovenia</w:t>
      </w:r>
      <w:r w:rsidR="00E872A3">
        <w:t xml:space="preserve">,</w:t>
      </w:r>
      <w:r>
        <w:t xml:space="preserve"> the ZSSS </w:t>
      </w:r>
      <w:r>
        <w:t xml:space="preserve">explicitly </w:t>
      </w:r>
      <w:r w:rsidR="00E872A3">
        <w:t xml:space="preserve">proposes </w:t>
      </w:r>
      <w:r>
        <w:t xml:space="preserve">this role</w:t>
      </w:r>
      <w:r w:rsidR="00E872A3">
        <w:lastRenderedPageBreak/>
      </w:r>
      <w:r w:rsidR="00E872A3">
        <w:t xml:space="preserve"> </w:t>
      </w:r>
      <w:r w:rsidR="00E872A3">
        <w:t xml:space="preserve">: </w:t>
      </w:r>
      <w:r>
        <w:t xml:space="preserve">we recommend that all Member States enshrine it in law in an equivalent form.</w:t>
      </w:r>
    </w:p>
    <w:p w:rsidR="00E872A3" w:rsidP="00750824" w:rsidRDefault="00E872A3" w14:paraId="0AF53F7E" w14:textId="77777777">
      <w:pPr>
        <w:jc w:val="both"/>
      </w:pPr>
    </w:p>
    <w:p w:rsidR="00983F19" w:rsidP="00750824" w:rsidRDefault="00000000" w14:paraId="532636F0" w14:textId="7EDD5CD2">
      <w:pPr>
        <w:pStyle w:val="Blokbesedila"/>
      </w:pPr>
      <w:r>
        <w:t xml:space="preserve">Background: The ZSSS guidelines (April 2025) propose the involvement of the Information Commissioner of the Republic of Slovenia in the introduction of AM/AI systems. The EC’s expert group has confirmed that DPAs are competent for data protection matters, whilst also noting that coordination with labour inspectorates is essential</w:t>
      </w:r>
      <w:r w:rsidR="00E872A3">
        <w:t xml:space="preserve">, </w:t>
      </w:r>
      <w:r>
        <w:t xml:space="preserve">which is one of the structural issues that implementation must resolve.</w:t>
      </w:r>
    </w:p>
    <w:p w:rsidR="00983F19" w:rsidP="00750824" w:rsidRDefault="00000000" w14:paraId="7C1679F6" w14:textId="4D24BEB5">
      <w:pPr>
        <w:pStyle w:val="Naslov3"/>
        <w:jc w:val="both"/>
      </w:pPr>
      <w:r>
        <w:t xml:space="preserve">Recommendation 5.6 [EXCEEDS THE MINIMUM]: Resolving overlapping competences: coordination between DPAs and the Labour Inspectorate</w:t>
      </w:r>
    </w:p>
    <w:p w:rsidR="00983F19" w:rsidP="00750824" w:rsidRDefault="00000000" w14:paraId="0551DE56" w14:textId="0D3ED92E">
      <w:pPr>
        <w:jc w:val="both"/>
      </w:pPr>
      <w:r>
        <w:t xml:space="preserve">The ministries must specify in the transposition act which authority is responsible for enforcing which part of the Directive: Articles 7–9 (data protection in AMDMS) falls primarily within the remit of the data protection authority (DPA)</w:t>
      </w:r>
      <w:r w:rsidR="00B833F8">
        <w:t xml:space="preserve">, </w:t>
      </w:r>
      <w:r>
        <w:t xml:space="preserve">whilst Articles 10–11 (human oversight, review of decisions) fall within the remit of the labour inspectorate, although coordinated action by both may be necessary. The Act must establish a mandatory cooperation protocol between the DPA and the Labour Inspectorate in matters </w:t>
      </w:r>
      <w:r>
        <w:t xml:space="preserve">relating to platform </w:t>
      </w:r>
      <w:r>
        <w:t xml:space="preserve">work. A worker or trade union lodging a complaint must not be referred between authorities without the substance of the case being examined.</w:t>
      </w:r>
    </w:p>
    <w:p w:rsidR="00DC4393" w:rsidP="00750824" w:rsidRDefault="00DC4393" w14:paraId="403CEDB1" w14:textId="77777777">
      <w:pPr>
        <w:jc w:val="both"/>
      </w:pPr>
    </w:p>
    <w:p w:rsidR="00983F19" w:rsidP="00750824" w:rsidRDefault="00000000" w14:paraId="30CB4868" w14:textId="3F1E7AF9">
      <w:pPr>
        <w:pStyle w:val="Blokbesedila"/>
      </w:pPr>
      <w:r>
        <w:t xml:space="preserve">Background: The EC’s expert group has concluded that both the DPA and the labour inspectorates have jurisdiction over matters covered by Chapter III of the Directive, depending on whether the issue concerns data protection or working conditions. Without a clear demarcation</w:t>
      </w:r>
      <w:r>
        <w:t xml:space="preserve">,</w:t>
      </w:r>
      <w:r>
        <w:t xml:space="preserve"> </w:t>
      </w:r>
      <w:r>
        <w:t xml:space="preserve">an</w:t>
      </w:r>
      <w:r>
        <w:t xml:space="preserve"> institutional </w:t>
      </w:r>
      <w:r>
        <w:t xml:space="preserve">‘ping-pong’</w:t>
      </w:r>
      <w:r>
        <w:t xml:space="preserve"> will ensue</w:t>
      </w:r>
      <w:r>
        <w:t xml:space="preserve">, which </w:t>
      </w:r>
      <w:r w:rsidR="00B833F8">
        <w:t xml:space="preserve">is extremely time-consuming and inefficient</w:t>
      </w:r>
      <w:r>
        <w:t xml:space="preserve">.</w:t>
      </w:r>
    </w:p>
    <w:p w:rsidR="00DC4393" w:rsidP="00750824" w:rsidRDefault="00DC4393" w14:paraId="21DB8DD9" w14:textId="77777777">
      <w:pPr>
        <w:jc w:val="both"/>
        <w:rPr>
          <w:b/>
          <w:bCs/>
        </w:rPr>
      </w:pPr>
    </w:p>
    <w:p w:rsidR="00983F19" w:rsidP="00750824" w:rsidRDefault="00000000" w14:paraId="01A59C58" w14:textId="3905780E">
      <w:pPr>
        <w:jc w:val="both"/>
      </w:pPr>
      <w:r>
        <w:rPr>
          <w:b/>
          <w:bCs/>
        </w:rPr>
        <w:t xml:space="preserve">Note on implementation</w:t>
      </w:r>
    </w:p>
    <w:p w:rsidR="00983F19" w:rsidP="00750824" w:rsidRDefault="00000000" w14:paraId="496B9849" w14:textId="14D6614E">
      <w:pPr>
        <w:jc w:val="both"/>
      </w:pPr>
      <w:r>
        <w:rPr>
          <w:i/>
          <w:iCs/>
        </w:rPr>
        <w:t xml:space="preserve">Data protection in </w:t>
      </w:r>
      <w:r>
        <w:rPr>
          <w:i/>
          <w:iCs/>
        </w:rPr>
        <w:t xml:space="preserve">platform </w:t>
      </w:r>
      <w:r>
        <w:rPr>
          <w:i/>
          <w:iCs/>
        </w:rPr>
        <w:t xml:space="preserve">work is not a separate technical issue</w:t>
      </w:r>
      <w:r w:rsidR="00B833F8">
        <w:rPr>
          <w:i/>
          <w:iCs/>
        </w:rPr>
        <w:t xml:space="preserve">; </w:t>
      </w:r>
      <w:r>
        <w:rPr>
          <w:i/>
          <w:iCs/>
        </w:rPr>
        <w:t xml:space="preserve">it is a prerequisite for a credible social dialogue. As long as the platform controls which workers communicate with one another and which rights they exercise, trade unions do not have an equal footing in negotiations. Articles 7–11 of the Directive </w:t>
      </w:r>
      <w:r w:rsidR="00B833F8">
        <w:rPr>
          <w:i/>
          <w:iCs/>
        </w:rPr>
        <w:t xml:space="preserve">address </w:t>
      </w:r>
      <w:r w:rsidR="00B833F8">
        <w:rPr>
          <w:i/>
          <w:iCs/>
        </w:rPr>
        <w:t xml:space="preserve">this structural </w:t>
      </w:r>
      <w:r>
        <w:rPr>
          <w:i/>
          <w:iCs/>
        </w:rPr>
        <w:t xml:space="preserve">imbalance </w:t>
      </w:r>
      <w:r>
        <w:rPr>
          <w:i/>
          <w:iCs/>
        </w:rPr>
        <w:t xml:space="preserve">through requirements for transparency, portability and human oversight. Implementation must be rigorous: formal provisions without substantive standards are insufficient.</w:t>
      </w:r>
    </w:p>
    <w:p w:rsidR="00750824" w:rsidRDefault="00750824" w14:paraId="1E018822" w14:textId="77777777">
      <w:pPr>
        <w:rPr>
          <w:b/>
          <w:bCs/>
          <w:color w:val="1F3864"/>
          <w:sz w:val="36"/>
          <w:szCs w:val="36"/>
        </w:rPr>
      </w:pPr>
      <w:bookmarkStart w:name="Xeb9ad283c504020b2ba173fa22e0871cc81f3b2" w:id="46"/>
      <w:bookmarkEnd w:id="38"/>
      <w:bookmarkEnd w:id="45"/>
      <w:r>
        <w:br w:type="page"/>
      </w:r>
    </w:p>
    <w:p w:rsidR="00983F19" w:rsidP="00750824" w:rsidRDefault="00000000" w14:paraId="3FBE0AD4" w14:textId="5D4AEA0B">
      <w:pPr>
        <w:pStyle w:val="Naslov1"/>
        <w:jc w:val="both"/>
      </w:pPr>
      <w:bookmarkStart w:name="_Toc233699496" w:id="47"/>
      <w:r>
        <w:lastRenderedPageBreak/>
      </w:r>
      <w:r>
        <w:t xml:space="preserve">Chapter 6: Collective rights and social dialogue</w:t>
      </w:r>
      <w:bookmarkEnd w:id="47"/>
    </w:p>
    <w:p w:rsidR="00983F19" w:rsidP="00750824" w:rsidRDefault="00000000" w14:paraId="78B231F1" w14:textId="77777777">
      <w:pPr>
        <w:pStyle w:val="Naslov2"/>
        <w:jc w:val="both"/>
      </w:pPr>
      <w:bookmarkStart w:name="_Toc233699497" w:id="48"/>
      <w:bookmarkStart w:name="zahteve-direktive-3" w:id="49"/>
      <w:r>
        <w:t xml:space="preserve">6.1 Requirements of the Directive</w:t>
      </w:r>
      <w:bookmarkEnd w:id="48"/>
    </w:p>
    <w:p w:rsidR="00983F19" w:rsidP="00750824" w:rsidRDefault="00000000" w14:paraId="6732DCF7" w14:textId="227CD3D5">
      <w:pPr>
        <w:jc w:val="both"/>
      </w:pPr>
      <w:r>
        <w:t xml:space="preserve">EU Directive 2024/2831 on </w:t>
      </w:r>
      <w:r>
        <w:t xml:space="preserve">platform </w:t>
      </w:r>
      <w:r>
        <w:t xml:space="preserve">work </w:t>
      </w:r>
      <w:r w:rsidR="000617C4">
        <w:t xml:space="preserve">devotes </w:t>
      </w:r>
      <w:r>
        <w:t xml:space="preserve">two provisions </w:t>
      </w:r>
      <w:r w:rsidR="000617C4">
        <w:t xml:space="preserve">directly </w:t>
      </w:r>
      <w:r>
        <w:t xml:space="preserve">(Articles 25 and 29), one indirectly (Article 28) and a series of mechanisms that are a prerequisite for the functioning of social dialogue in practice </w:t>
      </w:r>
      <w:r w:rsidR="000617C4">
        <w:t xml:space="preserve">to </w:t>
      </w:r>
      <w:r>
        <w:t xml:space="preserve">collective rights and social dialogue</w:t>
      </w:r>
      <w:r>
        <w:t xml:space="preserve">: </w:t>
      </w:r>
      <w:r w:rsidR="000617C4">
        <w:t xml:space="preserve">channels of communication </w:t>
      </w:r>
      <w:r>
        <w:t xml:space="preserve">(Article 20), procedural representation (Article 19), protection against retaliation (Articles 22–23) and access to evidence (Article 21). Together, these provisions form a framework that, for the first time, provides a structural basis for social dialogue in a sector where organised worker representation has, until now, been largely prevented.</w:t>
      </w:r>
    </w:p>
    <w:p w:rsidR="00D90A18" w:rsidP="00750824" w:rsidRDefault="00D90A18" w14:paraId="2553D7A8" w14:textId="77777777">
      <w:pPr>
        <w:jc w:val="both"/>
      </w:pPr>
    </w:p>
    <w:p w:rsidR="00983F19" w:rsidP="00750824" w:rsidRDefault="005C5C0F" w14:paraId="1C851F66" w14:textId="3105EF93">
      <w:pPr>
        <w:jc w:val="both"/>
      </w:pPr>
      <w:r>
        <w:rPr>
          <w:b/>
          <w:bCs/>
        </w:rPr>
        <w:t xml:space="preserve">Article 25 </w:t>
      </w:r>
      <w:r>
        <w:rPr>
          <w:b/>
          <w:bCs/>
        </w:rPr>
        <w:t xml:space="preserve">(Promotion of collective bargaining) </w:t>
      </w:r>
      <w:r>
        <w:t xml:space="preserve">requires Member States, without prejudice to the autonomy of the social partners and taking into account the diversity of national practices, to take appropriate measures to promote the role of the social partners and the exercise of the right to collective bargaining in </w:t>
      </w:r>
      <w:r>
        <w:t xml:space="preserve">platform </w:t>
      </w:r>
      <w:r>
        <w:t xml:space="preserve">work. This includes both measures to determine the correct employment status and measures to facilitate the exercise of rights in relation to algorithmic management. The EC’s expert group has clarified that Article 25 does not require the right to collective bargaining for self-employed platform workers to be enshrined in law, but </w:t>
      </w:r>
      <w:r>
        <w:t xml:space="preserve">leaves Member States entirely free to do so. Measures under Article 25 may take the form of direct legislation, national strategies, action plans, financial support to strengthen trade union capacity, or sanctions against platforms that obstruct collective bargaining.</w:t>
      </w:r>
    </w:p>
    <w:p w:rsidR="00D90A18" w:rsidP="00750824" w:rsidRDefault="00D90A18" w14:paraId="3A125DF4" w14:textId="77777777">
      <w:pPr>
        <w:jc w:val="both"/>
      </w:pPr>
    </w:p>
    <w:p w:rsidR="00983F19" w:rsidP="00750824" w:rsidRDefault="009F3F9C" w14:paraId="6DAB2192" w14:textId="0D45D20D">
      <w:pPr>
        <w:jc w:val="both"/>
      </w:pPr>
      <w:r>
        <w:rPr>
          <w:b/>
          <w:bCs/>
        </w:rPr>
        <w:t xml:space="preserve">Article 28 (Collective agreements as an implementation mechanism) </w:t>
      </w:r>
      <w:r>
        <w:t xml:space="preserve">opens up two key possibilities. Firstly, Member States and the social partners may, by law or collective agreement, lay down specific rules to protect workers’ rights in relation to the processing of personal data (Articles 9, 10 and 11) that are stricter than the minimum standards set out in the Directive. Secondly, where Member States so permit, the social partners may, through collective agreements</w:t>
      </w:r>
      <w:r>
        <w:t xml:space="preserve">,</w:t>
      </w:r>
      <w:r>
        <w:t xml:space="preserve"> lay down arrangements that differ from Articles 12 and 13 of the Directive </w:t>
      </w:r>
      <w:r w:rsidR="00D7386B">
        <w:t xml:space="preserve">– </w:t>
      </w:r>
      <w:r>
        <w:t xml:space="preserve">but on the strict condition that the overall protection </w:t>
      </w:r>
      <w:r>
        <w:t xml:space="preserve">of </w:t>
      </w:r>
      <w:r>
        <w:t xml:space="preserve">platform </w:t>
      </w:r>
      <w:r>
        <w:t xml:space="preserve">workers remains intact and that any differences are offset by more favourable conditions in another area.</w:t>
      </w:r>
    </w:p>
    <w:p w:rsidR="00D90A18" w:rsidP="00750824" w:rsidRDefault="00D90A18" w14:paraId="5933C643" w14:textId="77777777">
      <w:pPr>
        <w:jc w:val="both"/>
      </w:pPr>
    </w:p>
    <w:p w:rsidR="00983F19" w:rsidP="00750824" w:rsidRDefault="009F3F9C" w14:paraId="3249EBA8" w14:textId="1DB2DA48">
      <w:pPr>
        <w:jc w:val="both"/>
      </w:pPr>
      <w:r>
        <w:rPr>
          <w:b/>
          <w:bCs/>
        </w:rPr>
        <w:t xml:space="preserve">Article 29(3–4) (Delegation to the social partners) </w:t>
      </w:r>
      <w:r>
        <w:t xml:space="preserve">requires Member States to ensure the effective involvement of the social partners in the implementation of the Directive. Furthermore, it allows them, at the joint request of the social partners, to entrust the implementation of the Directive to the social partners themselves </w:t>
      </w:r>
      <w:r w:rsidR="00D7386B">
        <w:t xml:space="preserve">– </w:t>
      </w:r>
      <w:r>
        <w:t xml:space="preserve">provided that the state guarantees the achievement of the Directive’s objectives. This is one of </w:t>
      </w:r>
      <w:r w:rsidR="00247A59">
        <w:t xml:space="preserve">the most important </w:t>
      </w:r>
      <w:r>
        <w:t xml:space="preserve">yet least well-known provisions of the Directive: </w:t>
      </w:r>
      <w:r w:rsidR="00247A59">
        <w:t xml:space="preserve">it</w:t>
      </w:r>
      <w:r>
        <w:t xml:space="preserve"> paves </w:t>
      </w:r>
      <w:r>
        <w:t xml:space="preserve">the way for the transposition of the Directive </w:t>
      </w:r>
      <w:r w:rsidR="00247A59">
        <w:t xml:space="preserve">through collective agreements </w:t>
      </w:r>
      <w:r>
        <w:t xml:space="preserve">rather than waiting for the legislative process.</w:t>
      </w:r>
    </w:p>
    <w:p w:rsidR="00D90A18" w:rsidP="00750824" w:rsidRDefault="00D90A18" w14:paraId="58E25469" w14:textId="77777777">
      <w:pPr>
        <w:jc w:val="both"/>
      </w:pPr>
    </w:p>
    <w:p w:rsidR="00983F19" w:rsidP="00750824" w:rsidRDefault="00247A59" w14:paraId="7DCD2BD0" w14:textId="4EE30FE3">
      <w:pPr>
        <w:jc w:val="both"/>
      </w:pPr>
      <w:r>
        <w:rPr>
          <w:b/>
          <w:bCs/>
        </w:rPr>
        <w:t xml:space="preserve">Article 20 (Communication channels) </w:t>
      </w:r>
      <w:r>
        <w:t xml:space="preserve">obliges platforms to provide workers with the infrastructure for secure and private communication amongst themselves and with workers’ representatives, whilst the platforms themselves do not have access to the content of these communications. The EC’s expert group has clarified that group messages within platform applications (e.g. a </w:t>
      </w:r>
      <w:r>
        <w:t xml:space="preserve">WhatsApp</w:t>
      </w:r>
      <w:r>
        <w:t xml:space="preserve"> group </w:t>
      </w:r>
      <w:r>
        <w:t xml:space="preserve">managed by the platform) are not sufficient: workers need a channel that is independent of the platform itself.</w:t>
      </w:r>
    </w:p>
    <w:p w:rsidR="00D90A18" w:rsidP="00750824" w:rsidRDefault="00D90A18" w14:paraId="4316CB70" w14:textId="77777777">
      <w:pPr>
        <w:jc w:val="both"/>
      </w:pPr>
    </w:p>
    <w:p w:rsidR="00D90A18" w:rsidP="00750824" w:rsidRDefault="00247A59" w14:paraId="572DF69D" w14:textId="3BD0358D">
      <w:pPr>
        <w:jc w:val="both"/>
      </w:pPr>
      <w:r w:rsidRPr="00247A59">
        <w:rPr>
          <w:b/>
          <w:bCs/>
        </w:rPr>
        <w:lastRenderedPageBreak/>
      </w:r>
      <w:r w:rsidRPr="00247A59">
        <w:rPr>
          <w:b/>
          <w:bCs/>
        </w:rPr>
        <w:t xml:space="preserve"> </w:t>
      </w:r>
      <w:r>
        <w:rPr>
          <w:b/>
          <w:bCs/>
        </w:rPr>
        <w:t xml:space="preserve">Article 19 (Procedural representation) </w:t>
      </w:r>
      <w:r>
        <w:t xml:space="preserve">ensures that workers’ representatives and legal entities with a legitimate interest may act in any judicial or administrative proceedings on behalf of, or in support of, one or more workers. The EC’s expert group has confirmed that this article also includes the right to initiate proceedings, not merely to participate in those already underway.</w:t>
      </w:r>
    </w:p>
    <w:p w:rsidR="00983F19" w:rsidP="00750824" w:rsidRDefault="00000000" w14:paraId="195AD6C7" w14:textId="77777777">
      <w:pPr>
        <w:pStyle w:val="Naslov2"/>
        <w:jc w:val="both"/>
      </w:pPr>
      <w:bookmarkStart w:name="_Toc233699498" w:id="50"/>
      <w:bookmarkStart w:name="ugotovitve-iz-prakse-3" w:id="51"/>
      <w:bookmarkEnd w:id="49"/>
      <w:r>
        <w:t xml:space="preserve">6.2 Findings from practice</w:t>
      </w:r>
      <w:bookmarkEnd w:id="50"/>
    </w:p>
    <w:p w:rsidR="00983F19" w:rsidP="00750824" w:rsidRDefault="00000000" w14:paraId="4CEE5FCB" w14:textId="77777777">
      <w:pPr>
        <w:pStyle w:val="Naslov3"/>
        <w:jc w:val="both"/>
      </w:pPr>
      <w:bookmarkStart w:name="socialni-dialog-nujnost-in-ovire" w:id="52"/>
      <w:r>
        <w:t xml:space="preserve">Social dialogue: necessity and obstacles</w:t>
      </w:r>
    </w:p>
    <w:p w:rsidR="00983F19" w:rsidP="00750824" w:rsidRDefault="00000000" w14:paraId="6FDDBDDE" w14:textId="0FAE4069">
      <w:pPr>
        <w:jc w:val="both"/>
      </w:pPr>
      <w:r>
        <w:t xml:space="preserve">The SDDP project’s interim conference (Ljubljana, May 2025) revealed a key contradiction: social dialogue is essential for addressing the challenges </w:t>
      </w:r>
      <w:r>
        <w:t xml:space="preserve">of platform </w:t>
      </w:r>
      <w:r>
        <w:t xml:space="preserve">work, yet it is precisely in this sector that it is most difficult to establish the conditions for it. Platforms treat workers as atomised self-employed individuals who have no contact with one another, share no common workplace and lack access to the information required for negotiations on an equal footing. Without </w:t>
      </w:r>
      <w:r w:rsidR="00615F18">
        <w:t xml:space="preserve">employment</w:t>
      </w:r>
      <w:r>
        <w:t xml:space="preserve">, there is no right to collective bargaining; without communication channels, there can be no organisation; without access to data, there is no basis for negotiations.</w:t>
      </w:r>
    </w:p>
    <w:p w:rsidR="00D90A18" w:rsidP="00750824" w:rsidRDefault="00D90A18" w14:paraId="28C9E6A9" w14:textId="77777777">
      <w:pPr>
        <w:jc w:val="both"/>
      </w:pPr>
    </w:p>
    <w:p w:rsidR="00983F19" w:rsidP="00750824" w:rsidRDefault="00000000" w14:paraId="64A2A25B" w14:textId="3FE479FC">
      <w:pPr>
        <w:jc w:val="both"/>
      </w:pPr>
      <w:r>
        <w:t xml:space="preserve">The joint conclusion of all partner trade unions was unequivocal: </w:t>
      </w:r>
      <w:r w:rsidR="00247A59">
        <w:rPr>
          <w:b/>
          <w:bCs/>
        </w:rPr>
        <w:t xml:space="preserve">‘Not all problems can </w:t>
      </w:r>
      <w:r>
        <w:rPr>
          <w:b/>
          <w:bCs/>
        </w:rPr>
        <w:t xml:space="preserve">be solved through employment, but not a single one can be solved without it.’ </w:t>
      </w:r>
      <w:r>
        <w:t xml:space="preserve">Employment is not a cure-all, but it is </w:t>
      </w:r>
      <w:r>
        <w:t xml:space="preserve">a</w:t>
      </w:r>
      <w:r>
        <w:t xml:space="preserve"> structural </w:t>
      </w:r>
      <w:r>
        <w:t xml:space="preserve">prerequisite for the exercise of collective rights. At the same time, social dialogue is the only mechanism that provides workers with protection before and whilst the courts and inspectorates are slowly determining </w:t>
      </w:r>
      <w:r w:rsidR="00247A59">
        <w:t xml:space="preserve">their employment status</w:t>
      </w:r>
      <w:r>
        <w:t xml:space="preserve">.</w:t>
      </w:r>
    </w:p>
    <w:p w:rsidR="00983F19" w:rsidP="00750824" w:rsidRDefault="00000000" w14:paraId="4E3B6968" w14:textId="77777777">
      <w:pPr>
        <w:pStyle w:val="Naslov3"/>
        <w:jc w:val="both"/>
      </w:pPr>
      <w:bookmarkStart w:name="izkušnje-iz-partnerskih-držav" w:id="53"/>
      <w:bookmarkEnd w:id="52"/>
      <w:r>
        <w:t xml:space="preserve">Experiences from partner countries</w:t>
      </w:r>
    </w:p>
    <w:p w:rsidR="00983F19" w:rsidP="00750824" w:rsidRDefault="00000000" w14:paraId="58478748" w14:textId="0691E266">
      <w:pPr>
        <w:jc w:val="both"/>
      </w:pPr>
      <w:r>
        <w:rPr>
          <w:b/>
          <w:bCs/>
        </w:rPr>
        <w:t xml:space="preserve">Spain </w:t>
      </w:r>
      <w:r>
        <w:t xml:space="preserve">has </w:t>
      </w:r>
      <w:r w:rsidR="00247A59">
        <w:t xml:space="preserve">come the furthest </w:t>
      </w:r>
      <w:r>
        <w:t xml:space="preserve">on the journey from protests to </w:t>
      </w:r>
      <w:r>
        <w:t xml:space="preserve">institutionalised </w:t>
      </w:r>
      <w:r>
        <w:t xml:space="preserve">social dialogue. Following the adoption of the law on delivery workers</w:t>
      </w:r>
      <w:r>
        <w:t xml:space="preserve">,</w:t>
      </w:r>
      <w:r>
        <w:t xml:space="preserve"> the CCOO and UGT trade unions reached a collective agreement with </w:t>
      </w:r>
      <w:r>
        <w:t xml:space="preserve">JustEat </w:t>
      </w:r>
      <w:r>
        <w:t xml:space="preserve">España </w:t>
      </w:r>
      <w:r w:rsidR="00D7386B">
        <w:t xml:space="preserve">– </w:t>
      </w:r>
      <w:r>
        <w:t xml:space="preserve">one of the few in Europe that not only regulates wages but also establishes a joint committee to monitor algorithms. </w:t>
      </w:r>
      <w:r w:rsidR="00247A59">
        <w:t xml:space="preserve">The combined pressure </w:t>
      </w:r>
      <w:r>
        <w:t xml:space="preserve">from the inspectorate, the media, strikes and legal proceedings created conditions that no single approach could have achieved on its own. At the same time, the Spanish experience reveals the limitations of a sector-specific approach: the law applies only to food delivery, </w:t>
      </w:r>
      <w:r>
        <w:t xml:space="preserve">whilst </w:t>
      </w:r>
      <w:r>
        <w:t xml:space="preserve">Uber </w:t>
      </w:r>
      <w:r>
        <w:t xml:space="preserve">Eats </w:t>
      </w:r>
      <w:r>
        <w:t xml:space="preserve">and </w:t>
      </w:r>
      <w:r>
        <w:t xml:space="preserve">Lieferando </w:t>
      </w:r>
      <w:r>
        <w:t xml:space="preserve">have simply switched to </w:t>
      </w:r>
      <w:r>
        <w:t xml:space="preserve">a </w:t>
      </w:r>
      <w:r>
        <w:t xml:space="preserve">subcontracting </w:t>
      </w:r>
      <w:r>
        <w:t xml:space="preserve">model.</w:t>
      </w:r>
    </w:p>
    <w:p w:rsidR="00247A59" w:rsidP="00750824" w:rsidRDefault="00247A59" w14:paraId="0359DC76" w14:textId="77777777">
      <w:pPr>
        <w:jc w:val="both"/>
      </w:pPr>
    </w:p>
    <w:p w:rsidR="00983F19" w:rsidP="00750824" w:rsidRDefault="00000000" w14:paraId="4B1DC074" w14:textId="620943DA">
      <w:pPr>
        <w:jc w:val="both"/>
      </w:pPr>
      <w:r>
        <w:t xml:space="preserve">In 2020</w:t>
      </w:r>
      <w:r w:rsidR="00247A59">
        <w:t xml:space="preserve">, </w:t>
      </w:r>
      <w:r>
        <w:rPr>
          <w:b/>
          <w:bCs/>
        </w:rPr>
        <w:t xml:space="preserve">Austria </w:t>
      </w:r>
      <w:r>
        <w:t xml:space="preserve">concluded the </w:t>
      </w:r>
      <w:r>
        <w:t xml:space="preserve">world’s </w:t>
      </w:r>
      <w:r>
        <w:t xml:space="preserve">first sector-wide collective agreement for </w:t>
      </w:r>
      <w:r>
        <w:t xml:space="preserve">platform </w:t>
      </w:r>
      <w:r>
        <w:t xml:space="preserve">delivery workers</w:t>
      </w:r>
      <w:r w:rsidR="00247A59">
        <w:t xml:space="preserve">, which represents </w:t>
      </w:r>
      <w:r>
        <w:t xml:space="preserve">a success in terms of pay, but not in terms of algorithms. </w:t>
      </w:r>
      <w:r>
        <w:t xml:space="preserve">Riders </w:t>
      </w:r>
      <w:r>
        <w:t xml:space="preserve">Collective </w:t>
      </w:r>
      <w:r>
        <w:t xml:space="preserve">supported the establishment of a workers’ council at </w:t>
      </w:r>
      <w:r>
        <w:t xml:space="preserve">Foodora </w:t>
      </w:r>
      <w:r>
        <w:t xml:space="preserve">(the first in 2017), but the company subsequently blocked the renewal of the corporate data agreement in 2021, citing management’s unwillingness. At </w:t>
      </w:r>
      <w:r w:rsidR="00247A59">
        <w:t xml:space="preserve">Lieferand</w:t>
      </w:r>
      <w:r>
        <w:t xml:space="preserve">, the workers’ council had been operating since 2019, but in 2025 the company legally blocked further attempts through mass redundancies and a shift to self-employment, citing its decentralised structure and alignment with industry standards.</w:t>
      </w:r>
    </w:p>
    <w:p w:rsidR="00247A59" w:rsidP="00750824" w:rsidRDefault="00247A59" w14:paraId="0D37FB91" w14:textId="77777777">
      <w:pPr>
        <w:jc w:val="both"/>
      </w:pPr>
    </w:p>
    <w:p w:rsidR="00983F19" w:rsidP="00750824" w:rsidRDefault="00000000" w14:paraId="4F6D002D" w14:textId="187CDC1D">
      <w:pPr>
        <w:jc w:val="both"/>
      </w:pPr>
      <w:r>
        <w:rPr>
          <w:b/>
          <w:bCs/>
        </w:rPr>
        <w:t xml:space="preserve">Italy </w:t>
      </w:r>
      <w:r>
        <w:t xml:space="preserve">is facing a dichotomy: </w:t>
      </w:r>
      <w:r>
        <w:t xml:space="preserve">JustEat </w:t>
      </w:r>
      <w:r>
        <w:t xml:space="preserve">is the only major platform that has employed its delivery riders and signed a collective agreement. The other platforms operate with self-employed workers, </w:t>
      </w:r>
      <w:r>
        <w:t xml:space="preserve">whilst the far-right government has remained completely silent on the directive. Trade unions have therefore focused on regional agreements and on building a collective identity through innovative organisational models, such as </w:t>
      </w:r>
      <w:r>
        <w:t xml:space="preserve">Casa </w:t>
      </w:r>
      <w:r>
        <w:t xml:space="preserve">Rider</w:t>
      </w:r>
      <w:r>
        <w:t xml:space="preserve">.</w:t>
      </w:r>
    </w:p>
    <w:p w:rsidR="00247A59" w:rsidP="00750824" w:rsidRDefault="00247A59" w14:paraId="5E864D0C" w14:textId="77777777">
      <w:pPr>
        <w:jc w:val="both"/>
      </w:pPr>
    </w:p>
    <w:p w:rsidR="00983F19" w:rsidP="00750824" w:rsidRDefault="00000000" w14:paraId="23AC969E" w14:textId="044D5ED6">
      <w:pPr>
        <w:jc w:val="both"/>
      </w:pPr>
      <w:r>
        <w:rPr>
          <w:b/>
          <w:bCs/>
        </w:rPr>
        <w:lastRenderedPageBreak/>
      </w:r>
      <w:r>
        <w:rPr>
          <w:b/>
          <w:bCs/>
        </w:rPr>
        <w:t xml:space="preserve">Belgium </w:t>
      </w:r>
      <w:r>
        <w:t xml:space="preserve">has the </w:t>
      </w:r>
      <w:r>
        <w:t xml:space="preserve">Takeaway</w:t>
      </w:r>
      <w:r>
        <w:t xml:space="preserve"> platform</w:t>
      </w:r>
      <w:r>
        <w:t xml:space="preserve">, registered as an advertising company</w:t>
      </w:r>
      <w:r w:rsidR="00247A59">
        <w:t xml:space="preserve">, </w:t>
      </w:r>
      <w:r>
        <w:t xml:space="preserve">which allows it to apply lower sectoral minimum standards and avoid being classified within the transport sector. Social dialogue exists, but it is contentious: trade unions believe the platform should fall within the transport sector, which has significantly higher standards. The directive should rectify this misused sectoral classification.</w:t>
      </w:r>
    </w:p>
    <w:p w:rsidR="00247A59" w:rsidP="00750824" w:rsidRDefault="00247A59" w14:paraId="18A8573A" w14:textId="77777777">
      <w:pPr>
        <w:jc w:val="both"/>
      </w:pPr>
    </w:p>
    <w:p w:rsidR="00983F19" w:rsidP="00750824" w:rsidRDefault="00000000" w14:paraId="2F1ADDD4" w14:textId="5A0E883E">
      <w:pPr>
        <w:jc w:val="both"/>
      </w:pPr>
      <w:r>
        <w:rPr>
          <w:b/>
          <w:bCs/>
        </w:rPr>
        <w:t xml:space="preserve">Germany </w:t>
      </w:r>
      <w:r>
        <w:t xml:space="preserve">faces a different problem: trade unions do not know who the workers’ employer is, as chains of subcontractors obscure the </w:t>
      </w:r>
      <w:r w:rsidR="00987363">
        <w:t xml:space="preserve">platform’s </w:t>
      </w:r>
      <w:r>
        <w:t xml:space="preserve">responsibility</w:t>
      </w:r>
      <w:r>
        <w:t xml:space="preserve">. Without a clear identification of the employer, there is no negotiating partner. </w:t>
      </w:r>
      <w:r>
        <w:t xml:space="preserve">Lieferando </w:t>
      </w:r>
      <w:r>
        <w:t xml:space="preserve">does have a workers’ council</w:t>
      </w:r>
      <w:r w:rsidR="00987363">
        <w:t xml:space="preserve">, </w:t>
      </w:r>
      <w:r>
        <w:t xml:space="preserve">but trade unions (e.g. NGG) regard </w:t>
      </w:r>
      <w:r w:rsidR="00987363">
        <w:t xml:space="preserve">the arrangements </w:t>
      </w:r>
      <w:r>
        <w:t xml:space="preserve">as too restrictive: the platform publicly supports them, but in practice hinders them and refuses to engage in serious cooperation without genuine grassroots organisation.</w:t>
      </w:r>
    </w:p>
    <w:p w:rsidR="00247A59" w:rsidP="00750824" w:rsidRDefault="00247A59" w14:paraId="1F15970F" w14:textId="77777777">
      <w:pPr>
        <w:jc w:val="both"/>
      </w:pPr>
    </w:p>
    <w:p w:rsidR="00983F19" w:rsidP="00750824" w:rsidRDefault="00000000" w14:paraId="34BCCADC" w14:textId="77777777">
      <w:pPr>
        <w:jc w:val="both"/>
      </w:pPr>
      <w:r>
        <w:rPr>
          <w:b/>
          <w:bCs/>
        </w:rPr>
        <w:t xml:space="preserve">Slovenia </w:t>
      </w:r>
      <w:r>
        <w:t xml:space="preserve">faces a characteristic ambivalence: workers recognise their subordination to the platform, but expect the problem to be resolved by the ministry and competition, rather than through collective bargaining. There is a lack of awareness regarding the role of trade unions and social dialogue. In its guidelines, the ZSSS proposes that the directive establish not only the right to collective bargaining for </w:t>
      </w:r>
      <w:r>
        <w:t xml:space="preserve">platform </w:t>
      </w:r>
      <w:r>
        <w:t xml:space="preserve">workers, but also the structural conditions for it: an annual meeting of all workers with trade unions, organised by the platform itself; the right of trade unions to distribute information material to all workers via </w:t>
      </w:r>
      <w:r>
        <w:t xml:space="preserve">the</w:t>
      </w:r>
      <w:r>
        <w:t xml:space="preserve"> platform’s </w:t>
      </w:r>
      <w:r>
        <w:t xml:space="preserve">infrastructure; and a digital space for organising, the management of which is transferred to workers’ representatives at the workers’ request.</w:t>
      </w:r>
    </w:p>
    <w:p w:rsidR="00983F19" w:rsidP="00750824" w:rsidRDefault="00000000" w14:paraId="49BF2047" w14:textId="77777777">
      <w:pPr>
        <w:pStyle w:val="Naslov3"/>
        <w:jc w:val="both"/>
      </w:pPr>
      <w:bookmarkStart w:name="Xee032679bfb18a805a02c69cf6ec84a6b09f355" w:id="54"/>
      <w:bookmarkEnd w:id="53"/>
      <w:r>
        <w:t xml:space="preserve">Employers’ associations as potential allies</w:t>
      </w:r>
    </w:p>
    <w:p w:rsidR="00983F19" w:rsidP="00750824" w:rsidRDefault="00000000" w14:paraId="44463323" w14:textId="7A8D9547">
      <w:pPr>
        <w:jc w:val="both"/>
      </w:pPr>
      <w:r>
        <w:t xml:space="preserve">One of the findings of the conference in Ljubljana was surprising: </w:t>
      </w:r>
      <w:r>
        <w:rPr>
          <w:b/>
          <w:bCs/>
        </w:rPr>
        <w:t xml:space="preserve">traditional employers’ associations are potential allies of trade unions </w:t>
      </w:r>
      <w:r>
        <w:t xml:space="preserve">in the regulation </w:t>
      </w:r>
      <w:r>
        <w:t xml:space="preserve">of platform </w:t>
      </w:r>
      <w:r>
        <w:t xml:space="preserve">work. Platforms are not members of most sectoral employers’ associations. As they operate without </w:t>
      </w:r>
      <w:r w:rsidR="00DB7748">
        <w:t xml:space="preserve">labour law </w:t>
      </w:r>
      <w:r>
        <w:t xml:space="preserve">obligations, they constitute unfair competition for traditional companies that employ and pay social security contributions </w:t>
      </w:r>
      <w:r w:rsidR="00DB7748">
        <w:t xml:space="preserve">for their workers and guarantee them other rights arising from employment</w:t>
      </w:r>
      <w:r>
        <w:t xml:space="preserve">. This creates a common interest in a </w:t>
      </w:r>
      <w:r w:rsidRPr="00016B3D">
        <w:t xml:space="preserve">level</w:t>
      </w:r>
      <w:r>
        <w:t xml:space="preserve"> </w:t>
      </w:r>
      <w:r w:rsidRPr="00016B3D">
        <w:t xml:space="preserve">playing</w:t>
      </w:r>
      <w:r>
        <w:t xml:space="preserve"> </w:t>
      </w:r>
      <w:r w:rsidRPr="00016B3D" w:rsidR="00DB7748">
        <w:t xml:space="preserve">field</w:t>
      </w:r>
      <w:r w:rsidRPr="00DB7748">
        <w:t xml:space="preserve">, </w:t>
      </w:r>
      <w:r>
        <w:t xml:space="preserve">which the directive explicitly cites as one of its objectives.</w:t>
      </w:r>
    </w:p>
    <w:p w:rsidR="00983F19" w:rsidP="00750824" w:rsidRDefault="00000000" w14:paraId="54249C68" w14:textId="77777777">
      <w:pPr>
        <w:pStyle w:val="Naslov3"/>
        <w:jc w:val="both"/>
      </w:pPr>
      <w:bookmarkStart w:name="Xa2dd5d940cabac1ded9a12db2f3ecf2d9718612" w:id="55"/>
      <w:bookmarkEnd w:id="54"/>
      <w:r>
        <w:t xml:space="preserve">Collective agreements beyond </w:t>
      </w:r>
      <w:r>
        <w:t xml:space="preserve">platform </w:t>
      </w:r>
      <w:r>
        <w:t xml:space="preserve">work</w:t>
      </w:r>
    </w:p>
    <w:p w:rsidR="00983F19" w:rsidP="00750824" w:rsidRDefault="00000000" w14:paraId="1B9121B1" w14:textId="65BCC96A">
      <w:pPr>
        <w:jc w:val="both"/>
      </w:pPr>
      <w:r>
        <w:t xml:space="preserve">Several partner countries have adopted a practice that the Directive does not prohibit and which Article 28 indirectly supports: the extension of existing sectoral collective agreements to platform workers performing comparable work. In Italy, trade unions are seeking </w:t>
      </w:r>
      <w:r>
        <w:t xml:space="preserve">to extend the </w:t>
      </w:r>
      <w:r w:rsidR="00DB7748">
        <w:t xml:space="preserve">collective </w:t>
      </w:r>
      <w:r>
        <w:t xml:space="preserve">agreement in the transport sector to delivery workers. In Austria, </w:t>
      </w:r>
      <w:r w:rsidR="00DB7748">
        <w:t xml:space="preserve">the </w:t>
      </w:r>
      <w:r>
        <w:t xml:space="preserve">couriers’ </w:t>
      </w:r>
      <w:r w:rsidR="00DB7748">
        <w:t xml:space="preserve">collective agreement </w:t>
      </w:r>
      <w:r>
        <w:t xml:space="preserve">was </w:t>
      </w:r>
      <w:r>
        <w:t xml:space="preserve">established by extending the existing postal sector agreement. This approach does not require the creation of a bargaining structure from scratch</w:t>
      </w:r>
      <w:r w:rsidR="00DB7748">
        <w:t xml:space="preserve">, but </w:t>
      </w:r>
      <w:r>
        <w:t xml:space="preserve">builds on existing and tried-and-tested frameworks.</w:t>
      </w:r>
    </w:p>
    <w:p w:rsidR="00983F19" w:rsidP="00750824" w:rsidRDefault="00000000" w14:paraId="29C649F6" w14:textId="77777777">
      <w:pPr>
        <w:pStyle w:val="Naslov3"/>
        <w:jc w:val="both"/>
      </w:pPr>
      <w:bookmarkStart w:name="platforme-ki-blokirajo-socialni-dialog" w:id="56"/>
      <w:bookmarkEnd w:id="55"/>
      <w:r>
        <w:t xml:space="preserve">Platforms that obstruct social dialogue</w:t>
      </w:r>
    </w:p>
    <w:p w:rsidR="00983F19" w:rsidP="00750824" w:rsidRDefault="00000000" w14:paraId="371020DC" w14:textId="74869D2B">
      <w:pPr>
        <w:jc w:val="both"/>
      </w:pPr>
      <w:r>
        <w:t xml:space="preserve">The conference identified typical tactics used by platforms to prevent organising: ‘PR meetings’ to which individual workers are invited (Poland </w:t>
      </w:r>
      <w:r w:rsidR="00DB7748">
        <w:t xml:space="preserve">and Slovenia</w:t>
      </w:r>
      <w:r>
        <w:t xml:space="preserve">) in order to destabilise collective organising; ‘yellow unions’ which propose a third status between that of an employee and a self-employed person (Italy, Poland); suspending access </w:t>
      </w:r>
      <w:r w:rsidR="00DB7748">
        <w:t xml:space="preserve">to </w:t>
      </w:r>
      <w:r>
        <w:t xml:space="preserve">the platform for workers who are organising or on strike (the example </w:t>
      </w:r>
      <w:r>
        <w:t xml:space="preserve">of Wolt </w:t>
      </w:r>
      <w:r>
        <w:t xml:space="preserve">in Poland, which blocked the accounts</w:t>
      </w:r>
      <w:r>
        <w:lastRenderedPageBreak/>
      </w:r>
      <w:r>
        <w:t xml:space="preserve"> of protesters </w:t>
      </w:r>
      <w:r>
        <w:t xml:space="preserve">but backed down following media pressure); and legal obstacles to workers’ councils, citing a decentralised structure (Austria).</w:t>
      </w:r>
    </w:p>
    <w:p w:rsidR="00983F19" w:rsidP="00750824" w:rsidRDefault="00000000" w14:paraId="00C95E22" w14:textId="77777777">
      <w:pPr>
        <w:pStyle w:val="Naslov2"/>
        <w:jc w:val="both"/>
      </w:pPr>
      <w:bookmarkStart w:name="_Toc233699499" w:id="57"/>
      <w:bookmarkStart w:name="priporočila-3" w:id="58"/>
      <w:bookmarkEnd w:id="51"/>
      <w:bookmarkEnd w:id="56"/>
      <w:r>
        <w:t xml:space="preserve">6.3 Recommendations</w:t>
      </w:r>
      <w:bookmarkEnd w:id="57"/>
    </w:p>
    <w:p w:rsidR="00D90A18" w:rsidP="00750824" w:rsidRDefault="00000000" w14:paraId="482CF965" w14:textId="3DA33AB7">
      <w:pPr>
        <w:pStyle w:val="Naslov3"/>
        <w:jc w:val="both"/>
      </w:pPr>
      <w:r>
        <w:t xml:space="preserve">Recommendation 6.1 [GOES BEYOND THE MINIMUM]: Active state incentives for collective bargaining for all workers, regardless of status</w:t>
      </w:r>
    </w:p>
    <w:p w:rsidR="00D90A18" w:rsidP="00750824" w:rsidRDefault="00000000" w14:paraId="006876A2" w14:textId="4D19F4F4">
      <w:pPr>
        <w:jc w:val="both"/>
      </w:pPr>
      <w:r>
        <w:t xml:space="preserve">Article 25 of the Directive requires ‘appropriate measures’ to promote collective bargaining </w:t>
      </w:r>
      <w:r w:rsidR="00D7386B">
        <w:t xml:space="preserve">– </w:t>
      </w:r>
      <w:r>
        <w:t xml:space="preserve">but does not specify their content. When implementing the Directive, Member States should go beyond mere declaratory encouragement and establish concrete mechanisms: financial support to strengthen trade union capacity in the digital sectors; sanctions against platforms that obstruct or delay collective bargaining; and incentives (e.g. in the form of a social certificate modelled on Pillar I of the SDDP social partners’ proposals) for platforms that engage in negotiations voluntarily and constructively. </w:t>
      </w:r>
    </w:p>
    <w:p w:rsidR="00D90A18" w:rsidP="00750824" w:rsidRDefault="00D90A18" w14:paraId="429BC2C0" w14:textId="77777777">
      <w:pPr>
        <w:jc w:val="both"/>
      </w:pPr>
    </w:p>
    <w:p w:rsidR="00D90A18" w:rsidP="00750824" w:rsidRDefault="00000000" w14:paraId="6C8B056F" w14:textId="11F4239B">
      <w:pPr>
        <w:jc w:val="both"/>
      </w:pPr>
      <w:r>
        <w:t xml:space="preserve">We particularly recommend the establishment of a national fund for the joint review of algorithms, to which platforms contribute a share of their revenue (0.</w:t>
      </w:r>
      <w:r>
        <w:t xml:space="preserve">5–1 per cent), modelled on </w:t>
      </w:r>
      <w:r w:rsidR="001627FA">
        <w:t xml:space="preserve">the</w:t>
      </w:r>
      <w:r>
        <w:t xml:space="preserve"> Austrian </w:t>
      </w:r>
      <w:r w:rsidR="001627FA">
        <w:t xml:space="preserve">‘Arbeiterkammer’ </w:t>
      </w:r>
      <w:r>
        <w:t xml:space="preserve">(0.5 per cent of wages) and the French vocational training system. The fund finances joint tripartite audits of AM systems: both the trade unions and the platform propose independent experts, </w:t>
      </w:r>
      <w:r w:rsidR="001627FA">
        <w:t xml:space="preserve">whilst</w:t>
      </w:r>
      <w:r>
        <w:t xml:space="preserve"> a neutral arbitrator resolves any disagreements. The purpose of the fund is to eliminate information asymmetry</w:t>
      </w:r>
      <w:r w:rsidR="001627FA">
        <w:t xml:space="preserve">, </w:t>
      </w:r>
      <w:r>
        <w:t xml:space="preserve">not to finance one party in a labour dispute at the expense of the other. The fund is managed by a tripartite committee (government, trade unions, the platform) under the supervision of the ELA.</w:t>
      </w:r>
    </w:p>
    <w:p w:rsidR="00D90A18" w:rsidP="00750824" w:rsidRDefault="00000000" w14:paraId="4C103689" w14:textId="3273A31F">
      <w:pPr>
        <w:pStyle w:val="Naslov3"/>
        <w:jc w:val="both"/>
      </w:pPr>
      <w:r>
        <w:t xml:space="preserve">Recommendation 6.2 [DIRECTIVE]: Communication infrastructure as a structural prerequisite for organisation</w:t>
      </w:r>
    </w:p>
    <w:p w:rsidR="00D90A18" w:rsidP="00750824" w:rsidRDefault="00000000" w14:paraId="25091304" w14:textId="7EB11E9A">
      <w:pPr>
        <w:jc w:val="both"/>
      </w:pPr>
      <w:r>
        <w:t xml:space="preserve">Article 20 of the Directive requires secure and private communication channels that are independent of the platform itself. The EC’s expert group has clarified that group messages within platform applications are not sufficient. </w:t>
      </w:r>
      <w:r w:rsidR="001627FA">
        <w:t xml:space="preserve">We propose </w:t>
      </w:r>
      <w:r>
        <w:t xml:space="preserve">two complementary solutions: an obligation on platforms to establish a separate digital space for workers to communicate with one another, the management of which is transferred to workers’ representatives upon request; and an obligation on platforms to distribute </w:t>
      </w:r>
      <w:r w:rsidR="001627FA">
        <w:t xml:space="preserve">trade union </w:t>
      </w:r>
      <w:r>
        <w:t xml:space="preserve">information material to all workers via </w:t>
      </w:r>
      <w:r>
        <w:t xml:space="preserve">the </w:t>
      </w:r>
      <w:r w:rsidR="001627FA">
        <w:t xml:space="preserve">platform’s </w:t>
      </w:r>
      <w:r>
        <w:t xml:space="preserve">infrastructure </w:t>
      </w:r>
      <w:r>
        <w:t xml:space="preserve">upon request by the trade union</w:t>
      </w:r>
      <w:r>
        <w:t xml:space="preserve">. In addition, platforms should organise an annual meeting of all workers, at which </w:t>
      </w:r>
      <w:r>
        <w:t xml:space="preserve">trade union representatives </w:t>
      </w:r>
      <w:r>
        <w:t xml:space="preserve">are </w:t>
      </w:r>
      <w:r>
        <w:t xml:space="preserve">also</w:t>
      </w:r>
      <w:r w:rsidR="001627FA">
        <w:t xml:space="preserve"> present</w:t>
      </w:r>
      <w:r>
        <w:t xml:space="preserve">. All these obligations should be explicitly </w:t>
      </w:r>
      <w:r w:rsidR="001627FA">
        <w:t xml:space="preserve">included </w:t>
      </w:r>
      <w:r>
        <w:t xml:space="preserve">in </w:t>
      </w:r>
      <w:r w:rsidR="001627FA">
        <w:t xml:space="preserve">the transposition measures</w:t>
      </w:r>
      <w:r>
        <w:t xml:space="preserve">, not merely implied.</w:t>
      </w:r>
    </w:p>
    <w:p w:rsidR="00D90A18" w:rsidP="00750824" w:rsidRDefault="00000000" w14:paraId="682B53D9" w14:textId="171C4444">
      <w:pPr>
        <w:pStyle w:val="Naslov3"/>
        <w:jc w:val="both"/>
      </w:pPr>
      <w:r>
        <w:t xml:space="preserve">Recommendation 6.3 [DIRECTIVE]: The collective-agreement route to implementing the Directive</w:t>
      </w:r>
    </w:p>
    <w:p w:rsidR="00D90A18" w:rsidP="00750824" w:rsidRDefault="00000000" w14:paraId="613C8C0A" w14:textId="2C1EEB0F">
      <w:pPr>
        <w:jc w:val="both"/>
      </w:pPr>
      <w:r>
        <w:t xml:space="preserve">Article 29(4) of the Directive allows the social partners, upon a joint request, to take on the implementation of the Directive (or parts thereof), provided that the state guarantees the achievement of its objectives. Where trade unions and employers are willing and able to do so, governments should actively promote this route as a faster, more tailored and legitimate alternative to the traditional legislative process. </w:t>
      </w:r>
      <w:r>
        <w:t xml:space="preserve">This mechanism is </w:t>
      </w:r>
      <w:r>
        <w:t xml:space="preserve">particularly </w:t>
      </w:r>
      <w:r>
        <w:t xml:space="preserve">valuable </w:t>
      </w:r>
      <w:r>
        <w:t xml:space="preserve">in countries </w:t>
      </w:r>
      <w:r w:rsidR="001627FA">
        <w:t xml:space="preserve">with </w:t>
      </w:r>
      <w:r>
        <w:t xml:space="preserve">a slow or politically unstable legislative process (e.g. Slovenia, Italy). The condition is that the government takes on an active role as a mediator, ensuring oversight and guaranteeing the full fulfilment of the directive’s objectives.</w:t>
      </w:r>
    </w:p>
    <w:p w:rsidR="00D90A18" w:rsidP="00750824" w:rsidRDefault="00000000" w14:paraId="6AD53E29" w14:textId="19459B81">
      <w:pPr>
        <w:pStyle w:val="Naslov3"/>
        <w:jc w:val="both"/>
      </w:pPr>
      <w:r>
        <w:lastRenderedPageBreak/>
      </w:r>
      <w:r>
        <w:t xml:space="preserve">Recommendation 6.4 [GOES BEYOND THE MINIMUM]: Extending existing sectoral collective agreements to comparable </w:t>
      </w:r>
      <w:r>
        <w:t xml:space="preserve">platform </w:t>
      </w:r>
      <w:r>
        <w:t xml:space="preserve">workers</w:t>
      </w:r>
    </w:p>
    <w:p w:rsidR="00D90A18" w:rsidP="00750824" w:rsidRDefault="00000000" w14:paraId="11BEA5A1" w14:textId="1002763B">
      <w:pPr>
        <w:jc w:val="both"/>
      </w:pPr>
      <w:r>
        <w:t xml:space="preserve">Collective agreements in related sectors </w:t>
      </w:r>
      <w:r w:rsidR="00D7386B">
        <w:t xml:space="preserve">– </w:t>
      </w:r>
      <w:r>
        <w:t xml:space="preserve">transport, logistics, postal services </w:t>
      </w:r>
      <w:r w:rsidR="00D7386B">
        <w:t xml:space="preserve">– </w:t>
      </w:r>
      <w:r>
        <w:t xml:space="preserve">often cover work that is substantively comparable to </w:t>
      </w:r>
      <w:r>
        <w:t xml:space="preserve">platform work</w:t>
      </w:r>
      <w:r>
        <w:t xml:space="preserve">. The Directive and Article 28 allow for the extension of these agreements to platform workers. Governments should establish mediation mechanisms and financial incentives for such extensions. This approach is quicker and less politically challenging than establishing entirely new collective bargaining structures </w:t>
      </w:r>
      <w:r w:rsidR="00D7386B">
        <w:t xml:space="preserve">– </w:t>
      </w:r>
      <w:r>
        <w:t xml:space="preserve">and directly addresses the problem of unfair competition perceived by traditional sectoral employers’ associations. The reference model for </w:t>
      </w:r>
      <w:r>
        <w:t xml:space="preserve">a platform-specific collective agreement is the experience </w:t>
      </w:r>
      <w:r>
        <w:t xml:space="preserve">of JustEat </w:t>
      </w:r>
      <w:r>
        <w:t xml:space="preserve">España </w:t>
      </w:r>
      <w:r w:rsidR="00D7386B">
        <w:t xml:space="preserve">– </w:t>
      </w:r>
      <w:r>
        <w:t xml:space="preserve">the only collective agreement in the sector which, in addition to wages, establishes a joint committee to oversee algorithms. The social partners </w:t>
      </w:r>
      <w:r w:rsidR="00191599">
        <w:t xml:space="preserve">should</w:t>
      </w:r>
      <w:r>
        <w:t xml:space="preserve"> </w:t>
      </w:r>
      <w:r>
        <w:t xml:space="preserve">endeavour to conclude </w:t>
      </w:r>
      <w:r>
        <w:t xml:space="preserve">platform-specific collective agreements within two years of the transposing legislation coming into force.</w:t>
      </w:r>
    </w:p>
    <w:p w:rsidR="00D90A18" w:rsidP="00750824" w:rsidRDefault="00000000" w14:paraId="59E4D958" w14:textId="791CE12D">
      <w:pPr>
        <w:pStyle w:val="Naslov3"/>
        <w:jc w:val="both"/>
      </w:pPr>
      <w:r>
        <w:t xml:space="preserve">Recommendation 6.5 [GOES BEYOND THE MINIMUM]: Social dialogue as a bridge between the adoption of the Directive and its actual implementation </w:t>
      </w:r>
      <w:r w:rsidR="00D7386B">
        <w:t xml:space="preserve">– </w:t>
      </w:r>
      <w:r>
        <w:t xml:space="preserve">temporary collective protection whilst the legal presumption </w:t>
      </w:r>
      <w:r w:rsidR="00615F18">
        <w:t xml:space="preserve">of employment </w:t>
      </w:r>
      <w:r>
        <w:t xml:space="preserve">is being challenged</w:t>
      </w:r>
    </w:p>
    <w:p w:rsidR="005D1CAF" w:rsidP="00750824" w:rsidRDefault="00000000" w14:paraId="4BA1000A" w14:textId="7642267F">
      <w:pPr>
        <w:jc w:val="both"/>
      </w:pPr>
      <w:r>
        <w:t xml:space="preserve">Based on the experience of all partner countries, the implementation of the Directive will trigger protracted judicial and administrative challenges by platforms. During this period</w:t>
      </w:r>
      <w:r w:rsidR="005D1CAF">
        <w:t xml:space="preserve">, </w:t>
      </w:r>
      <w:r>
        <w:t xml:space="preserve">which in some countries will last for years</w:t>
      </w:r>
      <w:r w:rsidR="005D1CAF">
        <w:t xml:space="preserve">, </w:t>
      </w:r>
      <w:r>
        <w:t xml:space="preserve">workers</w:t>
      </w:r>
      <w:r w:rsidR="005D1CAF">
        <w:t xml:space="preserve"> will </w:t>
      </w:r>
      <w:r w:rsidR="005D1CAF">
        <w:t xml:space="preserve">remain </w:t>
      </w:r>
      <w:r>
        <w:t xml:space="preserve">unprotected. We propose that, when transposing the Directive, Member States establish a mechanism for temporary collective protection: as soon as the competent inspectorate issues a decision establishing that the platform is an employer, a tripartite dialogue between the trade unions, the platform and </w:t>
      </w:r>
      <w:r w:rsidR="005D1CAF">
        <w:t xml:space="preserve">the competent ministry </w:t>
      </w:r>
      <w:r>
        <w:t xml:space="preserve">must be initiated</w:t>
      </w:r>
      <w:r>
        <w:t xml:space="preserve">. Within this framework, the social partners shall conclude a provisional collective agreement covering all workers on the platform in question, which regulates key rights (minimum pay, working hours, annual leave, health and safety, and social security contributions) and remains in force until a final decision on the platform’s status is reached. The platform must enter into negotiations within 15 days at the latest</w:t>
      </w:r>
      <w:r>
        <w:t xml:space="preserve">, or within a shorter timeframe permitted by national law. Refusal or delay shall constitute aggravating circumstances in any legal proceedings concerning employment status </w:t>
      </w:r>
      <w:r>
        <w:t xml:space="preserve">and shall trigger progressively increasing daily financial penalties. A ban on operations is imposed only as </w:t>
      </w:r>
      <w:r w:rsidRPr="00016B3D">
        <w:rPr>
          <w:i/>
          <w:iCs/>
        </w:rPr>
        <w:t xml:space="preserve">a </w:t>
      </w:r>
      <w:r w:rsidRPr="00016B3D">
        <w:rPr>
          <w:i/>
          <w:iCs/>
        </w:rPr>
        <w:t xml:space="preserve">last </w:t>
      </w:r>
      <w:r w:rsidRPr="00016B3D">
        <w:rPr>
          <w:i/>
          <w:iCs/>
        </w:rPr>
        <w:t xml:space="preserve">resort </w:t>
      </w:r>
      <w:r>
        <w:t xml:space="preserve">following judicial confirmation of persistent refusal to cooperate. Payments for work performed and contributions paid remain with the workers; if the court finally determines that the relationship </w:t>
      </w:r>
      <w:r w:rsidR="00615F18">
        <w:t xml:space="preserve">was</w:t>
      </w:r>
      <w:r>
        <w:t xml:space="preserve"> not </w:t>
      </w:r>
      <w:r w:rsidR="00615F18">
        <w:t xml:space="preserve">one of employment</w:t>
      </w:r>
      <w:r>
        <w:t xml:space="preserve">, the platform acquires the right to limited </w:t>
      </w:r>
      <w:r w:rsidR="005D1CAF">
        <w:t xml:space="preserve">reimbursement </w:t>
      </w:r>
      <w:r>
        <w:t xml:space="preserve">of </w:t>
      </w:r>
      <w:r w:rsidR="005D1CAF">
        <w:t xml:space="preserve">only </w:t>
      </w:r>
      <w:r>
        <w:t xml:space="preserve">that part of the payments which exceeds the remuneration </w:t>
      </w:r>
      <w:r>
        <w:t xml:space="preserve">to which</w:t>
      </w:r>
      <w:r>
        <w:t xml:space="preserve"> the self-employed are entitled for the same period </w:t>
      </w:r>
      <w:r w:rsidR="00D7386B">
        <w:t xml:space="preserve">– </w:t>
      </w:r>
      <w:r>
        <w:t xml:space="preserve">without interest and within a reasonable timeframe set by the legislator (proposed: up to 24 months), whilst remuneration for work performed, contributions and expense allowances are not refunded. </w:t>
      </w:r>
    </w:p>
    <w:p w:rsidR="005D1CAF" w:rsidP="00750824" w:rsidRDefault="005D1CAF" w14:paraId="0EAF7B61" w14:textId="77777777">
      <w:pPr>
        <w:jc w:val="both"/>
      </w:pPr>
    </w:p>
    <w:p w:rsidR="00D90A18" w:rsidP="00750824" w:rsidRDefault="00000000" w14:paraId="3B72E63A" w14:textId="019D19BF">
      <w:pPr>
        <w:jc w:val="both"/>
      </w:pPr>
      <w:r>
        <w:t xml:space="preserve">The state assumes the risk of an incorrect determination of employment status: if </w:t>
      </w:r>
      <w:r>
        <w:t xml:space="preserve">the</w:t>
      </w:r>
      <w:r w:rsidR="005D1CAF">
        <w:t xml:space="preserve"> inspector’s </w:t>
      </w:r>
      <w:r>
        <w:t xml:space="preserve">decision proves to be incorrect, the burden of reimbursing the payments lies with the state, not the worker and not the platform. In this way</w:t>
      </w:r>
      <w:r>
        <w:t xml:space="preserve">,</w:t>
      </w:r>
      <w:r>
        <w:t xml:space="preserve"> the state guarantees the credibility of </w:t>
      </w:r>
      <w:r>
        <w:t xml:space="preserve">the</w:t>
      </w:r>
      <w:r w:rsidR="005D1CAF">
        <w:t xml:space="preserve"> inspectorate’s </w:t>
      </w:r>
      <w:r>
        <w:t xml:space="preserve">decision, whilst at the same time creating an economic incentive for high-quality work by the inspectorate </w:t>
      </w:r>
      <w:r w:rsidR="00D7386B">
        <w:t xml:space="preserve">– </w:t>
      </w:r>
      <w:r>
        <w:t xml:space="preserve">if the state has to pay when the inspectorate makes a mistake, it will invest in staff, training and algorithmic expertise </w:t>
      </w:r>
      <w:r w:rsidR="005D1CAF">
        <w:t xml:space="preserve">to prevent errors</w:t>
      </w:r>
      <w:r>
        <w:t xml:space="preserve">.</w:t>
      </w:r>
    </w:p>
    <w:p w:rsidR="00D90A18" w:rsidP="00750824" w:rsidRDefault="00000000" w14:paraId="41F71011" w14:textId="5DB7C7EE">
      <w:pPr>
        <w:pStyle w:val="Naslov3"/>
        <w:jc w:val="both"/>
      </w:pPr>
      <w:r>
        <w:t xml:space="preserve">Recommendation 6.6 [DIRECTIVE]: Collective enforcement of rights and group proceedings</w:t>
      </w:r>
    </w:p>
    <w:p w:rsidR="00983F19" w:rsidP="00750824" w:rsidRDefault="00000000" w14:paraId="3E304394" w14:textId="5EE2445E">
      <w:pPr>
        <w:jc w:val="both"/>
      </w:pPr>
      <w:r>
        <w:lastRenderedPageBreak/>
      </w:r>
      <w:r>
        <w:t xml:space="preserve">See Recommendation 3.5 in full. Chapter V </w:t>
      </w:r>
      <w:r w:rsidR="005D1CAF">
        <w:t xml:space="preserve">of the Directive </w:t>
      </w:r>
      <w:r>
        <w:t xml:space="preserve">reinforces </w:t>
      </w:r>
      <w:r w:rsidR="005D1CAF">
        <w:t xml:space="preserve">this </w:t>
      </w:r>
      <w:r>
        <w:t xml:space="preserve">requirement: Member States should, when transposing the Directive, explicitly lay down procedural rules for the collective enforcement of trade union rights, as in several countries </w:t>
      </w:r>
      <w:r w:rsidR="00D7386B">
        <w:t xml:space="preserve">– </w:t>
      </w:r>
      <w:r>
        <w:t xml:space="preserve">including Germany and Slovenia </w:t>
      </w:r>
      <w:r w:rsidR="00D7386B">
        <w:t xml:space="preserve">– </w:t>
      </w:r>
      <w:r>
        <w:t xml:space="preserve">the law does not recognise class actions in labour matters at all. This is the only realistic path to systemic change in a sector where workers, for fear of losing access to the platform, will not initiate proceedings individually.</w:t>
      </w:r>
    </w:p>
    <w:p w:rsidR="00D90A18" w:rsidP="00750824" w:rsidRDefault="00D90A18" w14:paraId="5C9D51B7" w14:textId="77777777">
      <w:pPr>
        <w:jc w:val="both"/>
      </w:pPr>
    </w:p>
    <w:p w:rsidR="00983F19" w:rsidP="00750824" w:rsidRDefault="00000000" w14:paraId="1A54C83A" w14:textId="08861689">
      <w:pPr>
        <w:jc w:val="both"/>
      </w:pPr>
      <w:r>
        <w:rPr>
          <w:i/>
          <w:iCs/>
        </w:rPr>
        <w:t xml:space="preserve">Sources: Report of the expert group on the transposition of Directive (EU) 2024/2831 (January 2026); Minutes of the SDDP interim conference, Ljubljana, May 2025; ZSSS guidelines for the implementation of Directive (EU) 2024/2831 (April 2025); Joint framework of the social partners for the implementation of the Directive </w:t>
      </w:r>
      <w:r w:rsidR="00D7386B">
        <w:rPr>
          <w:i/>
          <w:iCs/>
        </w:rPr>
        <w:t xml:space="preserve">– </w:t>
      </w:r>
      <w:r>
        <w:rPr>
          <w:i/>
          <w:iCs/>
        </w:rPr>
        <w:t xml:space="preserve">SDDP proposal (2026).</w:t>
      </w:r>
    </w:p>
    <w:p w:rsidR="00D90A18" w:rsidP="00750824" w:rsidRDefault="00000000" w14:paraId="41921E61" w14:textId="6E7DDB49">
      <w:pPr>
        <w:pStyle w:val="Naslov3"/>
        <w:jc w:val="both"/>
      </w:pPr>
      <w:r>
        <w:t xml:space="preserve">Recommendation 6.7 [AMBITIOUS]: ESG/financial pressure as a parallel mechanism to encourage compliance by platforms</w:t>
      </w:r>
    </w:p>
    <w:p w:rsidR="00D90A18" w:rsidP="00750824" w:rsidRDefault="00000000" w14:paraId="1DA449C1" w14:textId="2BFCEEB4">
      <w:pPr>
        <w:jc w:val="both"/>
      </w:pPr>
      <w:r>
        <w:t xml:space="preserve">Ministries should </w:t>
      </w:r>
      <w:r>
        <w:t xml:space="preserve">coordinate with capital markets regulators (ESMA) and </w:t>
      </w:r>
      <w:r>
        <w:t xml:space="preserve">sustainability</w:t>
      </w:r>
      <w:r>
        <w:t xml:space="preserve"> reporting bodies </w:t>
      </w:r>
      <w:r>
        <w:t xml:space="preserve">to </w:t>
      </w:r>
      <w:r w:rsidR="005D1CAF">
        <w:t xml:space="preserve">ensure </w:t>
      </w:r>
      <w:r>
        <w:t xml:space="preserve">that the absence of a social certificate constitutes a measurable negative social disclosure for platforms listed on stock exchanges. Platforms required to report under CSRD standards (ESRS S1 for employees, ESRS S2 for workers in the value chain) must disclose the employment status and working conditions of </w:t>
      </w:r>
      <w:r>
        <w:t xml:space="preserve">platform </w:t>
      </w:r>
      <w:r>
        <w:t xml:space="preserve">workers </w:t>
      </w:r>
      <w:r w:rsidR="00D7386B">
        <w:t xml:space="preserve">– </w:t>
      </w:r>
      <w:r>
        <w:t xml:space="preserve">the absence of a social certificate is a documented negative social indicator. Under the SFDR (2019/2088/EU), funds with an ESG mandate (state pension funds, insurance companies) must </w:t>
      </w:r>
      <w:r>
        <w:t xml:space="preserve">disclose </w:t>
      </w:r>
      <w:r>
        <w:t xml:space="preserve">non-compliance with the </w:t>
      </w:r>
      <w:r>
        <w:t xml:space="preserve">Platform </w:t>
      </w:r>
      <w:r>
        <w:t xml:space="preserve">Work </w:t>
      </w:r>
      <w:r>
        <w:t xml:space="preserve">Directive </w:t>
      </w:r>
      <w:r>
        <w:t xml:space="preserve">as </w:t>
      </w:r>
      <w:r w:rsidR="00016B3D">
        <w:t xml:space="preserve">a</w:t>
      </w:r>
      <w:r>
        <w:t xml:space="preserve"> ‘Principal </w:t>
      </w:r>
      <w:r>
        <w:t xml:space="preserve">Adverse </w:t>
      </w:r>
      <w:r w:rsidR="00016B3D">
        <w:t xml:space="preserve">Impact’</w:t>
      </w:r>
      <w:r w:rsidR="005D1CAF">
        <w:t xml:space="preserve">, </w:t>
      </w:r>
      <w:r>
        <w:t xml:space="preserve">which increases the platform’s cost of capital and restricts access to institutional investors. Ministries should ensure that the competent authorities systematically inform ESG agencies (MSCI ESG, </w:t>
      </w:r>
      <w:r>
        <w:t xml:space="preserve">Sustainalytics</w:t>
      </w:r>
      <w:r>
        <w:t xml:space="preserve">, ISS) of any identified breaches of the directive, as a downgraded ESG rating for global platforms (e.g. </w:t>
      </w:r>
      <w:r>
        <w:t xml:space="preserve">Delivery </w:t>
      </w:r>
      <w:r>
        <w:t xml:space="preserve">Hero/DAX, </w:t>
      </w:r>
      <w:r>
        <w:t xml:space="preserve">Uber/NYSE) has a direct financial impact that is </w:t>
      </w:r>
      <w:r w:rsidR="005D1CAF">
        <w:t xml:space="preserve">more severe </w:t>
      </w:r>
      <w:r>
        <w:t xml:space="preserve">for such entities </w:t>
      </w:r>
      <w:r>
        <w:t xml:space="preserve">than national fines.</w:t>
      </w:r>
    </w:p>
    <w:p w:rsidR="005D1CAF" w:rsidP="00750824" w:rsidRDefault="005D1CAF" w14:paraId="3ACF0DE9" w14:textId="77777777">
      <w:pPr>
        <w:jc w:val="both"/>
      </w:pPr>
    </w:p>
    <w:p w:rsidR="00D90A18" w:rsidP="00750824" w:rsidRDefault="00000000" w14:paraId="42AE34C6" w14:textId="13C5A036">
      <w:pPr>
        <w:pStyle w:val="Blokbesedila"/>
      </w:pPr>
      <w:r>
        <w:t xml:space="preserve">Background: Pillar I of the SDDP Protocol establishes a social certificate as a public attestation of compliance, with an impact on financial markets via a multi-stage causal chain: (1) non-compliance is documented (by a labour inspectorate or a court ruling) </w:t>
      </w:r>
      <w:r w:rsidR="00D7386B">
        <w:t xml:space="preserve">– </w:t>
      </w:r>
      <w:r>
        <w:t xml:space="preserve">(2) the platform discloses this under the CSRD (Directive 2022/2464/EU) in accordance with ESRS S1/S2 standards </w:t>
      </w:r>
      <w:r w:rsidR="00D7386B">
        <w:t xml:space="preserve">– </w:t>
      </w:r>
      <w:r>
        <w:t xml:space="preserve">(3) ESG agencies (MSCI ESG, </w:t>
      </w:r>
      <w:r>
        <w:t xml:space="preserve">Sustainalytics</w:t>
      </w:r>
      <w:r>
        <w:t xml:space="preserve">, ISS) lower their rating </w:t>
      </w:r>
      <w:r w:rsidR="00D7386B">
        <w:t xml:space="preserve">– </w:t>
      </w:r>
      <w:r>
        <w:t xml:space="preserve">(4) institutional investors </w:t>
      </w:r>
      <w:r>
        <w:t xml:space="preserve">publicly </w:t>
      </w:r>
      <w:r>
        <w:t xml:space="preserve">disclose</w:t>
      </w:r>
      <w:r>
        <w:t xml:space="preserve"> this </w:t>
      </w:r>
      <w:r>
        <w:t xml:space="preserve">through reporting on ‘principal </w:t>
      </w:r>
      <w:r>
        <w:t xml:space="preserve">adverse </w:t>
      </w:r>
      <w:r>
        <w:t xml:space="preserve">impact’ under the SFDR (Regulation (EU) 2019/2088) </w:t>
      </w:r>
      <w:r w:rsidR="00D7386B">
        <w:t xml:space="preserve">– </w:t>
      </w:r>
      <w:r>
        <w:t xml:space="preserve">(5) financing costs rise. There is a lag of 1–2 years, but the effect is lasting. </w:t>
      </w:r>
      <w:r>
        <w:t xml:space="preserve">Delivery </w:t>
      </w:r>
      <w:r>
        <w:t xml:space="preserve">Hero </w:t>
      </w:r>
      <w:r>
        <w:t xml:space="preserve">is listed on the DAX, </w:t>
      </w:r>
      <w:r>
        <w:t xml:space="preserve">Uber </w:t>
      </w:r>
      <w:r>
        <w:t xml:space="preserve">on the NYSE </w:t>
      </w:r>
      <w:r w:rsidR="00D7386B">
        <w:t xml:space="preserve">– </w:t>
      </w:r>
      <w:r>
        <w:t xml:space="preserve">a downgraded ESG rating translates into a higher risk premium and a lower market capitalisation. This financial pressure is far more damaging to a global platform than the loss of a single public contract.</w:t>
      </w:r>
    </w:p>
    <w:p w:rsidR="00750824" w:rsidRDefault="00750824" w14:paraId="101D57FD" w14:textId="77777777">
      <w:pPr>
        <w:rPr>
          <w:b/>
          <w:bCs/>
          <w:color w:val="1F3864"/>
          <w:sz w:val="36"/>
          <w:szCs w:val="36"/>
        </w:rPr>
      </w:pPr>
      <w:bookmarkStart w:name="X2e90f431d41461f94a17746c4d41698b0106f03" w:id="59"/>
      <w:bookmarkEnd w:id="46"/>
      <w:bookmarkEnd w:id="58"/>
      <w:r>
        <w:br w:type="page"/>
      </w:r>
    </w:p>
    <w:p w:rsidR="00983F19" w:rsidP="00750824" w:rsidRDefault="00000000" w14:paraId="302B6A98" w14:textId="6D5279F3">
      <w:pPr>
        <w:pStyle w:val="Naslov1"/>
        <w:jc w:val="both"/>
      </w:pPr>
      <w:bookmarkStart w:name="_Toc233699500" w:id="60"/>
      <w:r>
        <w:lastRenderedPageBreak/>
      </w:r>
      <w:r>
        <w:t xml:space="preserve">Chapter 7: Enforcement and legal remedies</w:t>
      </w:r>
      <w:bookmarkEnd w:id="60"/>
    </w:p>
    <w:p w:rsidR="00983F19" w:rsidP="00750824" w:rsidRDefault="00000000" w14:paraId="0CA51AD2" w14:textId="31318C20">
      <w:pPr>
        <w:jc w:val="both"/>
      </w:pPr>
      <w:r>
        <w:t xml:space="preserve">The rights guaranteed by the Directive are </w:t>
      </w:r>
      <w:r w:rsidR="009C0D64">
        <w:t xml:space="preserve">only </w:t>
      </w:r>
      <w:r>
        <w:t xml:space="preserve">as </w:t>
      </w:r>
      <w:r>
        <w:t xml:space="preserve">valuable </w:t>
      </w:r>
      <w:r>
        <w:t xml:space="preserve">as the likelihood that they can actually be enforced </w:t>
      </w:r>
      <w:r w:rsidR="009C0D64">
        <w:t xml:space="preserve">in practice</w:t>
      </w:r>
      <w:r>
        <w:t xml:space="preserve">. This is the fundamental problem with Chapter V of the Directive: </w:t>
      </w:r>
      <w:r w:rsidR="009C0D64">
        <w:t xml:space="preserve">whilst</w:t>
      </w:r>
      <w:r>
        <w:t xml:space="preserve"> Articles 18 to 24 </w:t>
      </w:r>
      <w:r>
        <w:t xml:space="preserve">establish a framework for enforcement, without adequate funding for inspectorates, without </w:t>
      </w:r>
      <w:r w:rsidR="009C0D64">
        <w:t xml:space="preserve">the possibility </w:t>
      </w:r>
      <w:r>
        <w:t xml:space="preserve">of collective actions and without </w:t>
      </w:r>
      <w:r>
        <w:t xml:space="preserve">dissuasive penalties </w:t>
      </w:r>
      <w:r w:rsidR="009C0D64">
        <w:t xml:space="preserve">for platforms, </w:t>
      </w:r>
      <w:r>
        <w:t xml:space="preserve">this framework remains largely formal. Platforms are well-funded legal entities that can afford protracted legal disputes</w:t>
      </w:r>
      <w:r w:rsidR="009C0D64">
        <w:t xml:space="preserve">, </w:t>
      </w:r>
      <w:r w:rsidR="009C0D64">
        <w:t xml:space="preserve">whereas</w:t>
      </w:r>
      <w:r>
        <w:t xml:space="preserve"> workers and trade unions </w:t>
      </w:r>
      <w:r>
        <w:t xml:space="preserve">generally cannot. The central theme of this chapter is therefore that enforcement without collective proceedings and without sufficiently severe sanctions is </w:t>
      </w:r>
      <w:r w:rsidR="009C0D64">
        <w:t xml:space="preserve">merely </w:t>
      </w:r>
      <w:r>
        <w:t xml:space="preserve">illusory.</w:t>
      </w:r>
    </w:p>
    <w:p w:rsidR="00983F19" w:rsidP="00750824" w:rsidRDefault="00000000" w14:paraId="35029659" w14:textId="77777777">
      <w:pPr>
        <w:pStyle w:val="Naslov2"/>
        <w:jc w:val="both"/>
      </w:pPr>
      <w:bookmarkStart w:name="_Toc233699501" w:id="61"/>
      <w:bookmarkStart w:name="zahteve-direktive-4" w:id="62"/>
      <w:r>
        <w:t xml:space="preserve">7.1 Requirements of the Directive</w:t>
      </w:r>
      <w:bookmarkEnd w:id="61"/>
    </w:p>
    <w:p w:rsidR="00983F19" w:rsidP="00750824" w:rsidRDefault="00000000" w14:paraId="3F4EA6AE" w14:textId="306C1FBE">
      <w:pPr>
        <w:jc w:val="both"/>
      </w:pPr>
      <w:r>
        <w:t xml:space="preserve">Article 18 </w:t>
      </w:r>
      <w:r w:rsidR="009C0D64">
        <w:t xml:space="preserve">guarantees </w:t>
      </w:r>
      <w:r>
        <w:t xml:space="preserve">everyone who carries out </w:t>
      </w:r>
      <w:r>
        <w:t xml:space="preserve">platform </w:t>
      </w:r>
      <w:r>
        <w:t xml:space="preserve">work </w:t>
      </w:r>
      <w:r>
        <w:t xml:space="preserve">the right to access timely, effective and impartial dispute resolution procedures, as well as to appropriate compensation for damage resulting from a breach of any right set out in the Directive. The right to judicial redress is retained even after the termination of the contractual relationship with the platform </w:t>
      </w:r>
      <w:r w:rsidR="00D7386B">
        <w:t xml:space="preserve">– </w:t>
      </w:r>
      <w:r>
        <w:t xml:space="preserve">the platform cannot, therefore, </w:t>
      </w:r>
      <w:r>
        <w:t xml:space="preserve">close the door to legal redress </w:t>
      </w:r>
      <w:r>
        <w:t xml:space="preserve">by </w:t>
      </w:r>
      <w:r>
        <w:t xml:space="preserve">terminating the relationship. An expert group of the European Commission has clarified that proceedings may be administrative or judicial, including </w:t>
      </w:r>
      <w:r w:rsidR="0030041A">
        <w:t xml:space="preserve">out-of-court </w:t>
      </w:r>
      <w:r w:rsidR="0030041A">
        <w:t xml:space="preserve">settlements; </w:t>
      </w:r>
      <w:r>
        <w:t xml:space="preserve">however, regardless of the type of proceedings, the worker must always retain access to the courts</w:t>
      </w:r>
      <w:r w:rsidR="0030041A">
        <w:t xml:space="preserve">.</w:t>
      </w:r>
    </w:p>
    <w:p w:rsidR="00D90A18" w:rsidP="00750824" w:rsidRDefault="00D90A18" w14:paraId="475D2C97" w14:textId="77777777">
      <w:pPr>
        <w:jc w:val="both"/>
      </w:pPr>
    </w:p>
    <w:p w:rsidR="00983F19" w:rsidP="00750824" w:rsidRDefault="00000000" w14:paraId="5C846C5A" w14:textId="60DF7432">
      <w:pPr>
        <w:jc w:val="both"/>
      </w:pPr>
      <w:r>
        <w:t xml:space="preserve">Article 19 is one of the most significant procedural gains of the Directive for trade unions: trade unions and other legal entities with a legitimate interest may initiate judicial or administrative proceedings on behalf of, or in support of, one or more persons engaged in </w:t>
      </w:r>
      <w:r>
        <w:t xml:space="preserve">platform </w:t>
      </w:r>
      <w:r>
        <w:t xml:space="preserve">work in respect of infringements of any right set out in the Directive. </w:t>
      </w:r>
      <w:r w:rsidR="0030041A">
        <w:t xml:space="preserve">The EC’s </w:t>
      </w:r>
      <w:r>
        <w:t xml:space="preserve">expert group </w:t>
      </w:r>
      <w:r>
        <w:t xml:space="preserve">has confirmed that this provision includes the right to initiate proceedings, not merely to join proceedings already in progress. It has also confirmed </w:t>
      </w:r>
      <w:r w:rsidR="0030041A">
        <w:t xml:space="preserve">that </w:t>
      </w:r>
      <w:r w:rsidR="0030041A">
        <w:t xml:space="preserve">such proceedings </w:t>
      </w:r>
      <w:r>
        <w:t xml:space="preserve">may </w:t>
      </w:r>
      <w:r>
        <w:t xml:space="preserve">be </w:t>
      </w:r>
      <w:r>
        <w:t xml:space="preserve">collective. National law determines the details regarding representation and consent, but the Directive requires Member States to ensure at least one of the following forms: acting on behalf of the worker or acting in support of the worker. Both are possible.</w:t>
      </w:r>
    </w:p>
    <w:p w:rsidR="00D90A18" w:rsidP="00750824" w:rsidRDefault="00D90A18" w14:paraId="5F3DAE2E" w14:textId="77777777">
      <w:pPr>
        <w:jc w:val="both"/>
      </w:pPr>
    </w:p>
    <w:p w:rsidR="00983F19" w:rsidP="00750824" w:rsidRDefault="00000000" w14:paraId="5C5013B8" w14:textId="23235FF1">
      <w:pPr>
        <w:jc w:val="both"/>
      </w:pPr>
      <w:r>
        <w:t xml:space="preserve">Article 20 regulates communication channels for persons carrying out </w:t>
      </w:r>
      <w:r>
        <w:t xml:space="preserve">platform </w:t>
      </w:r>
      <w:r>
        <w:t xml:space="preserve">work. The platform must provide a digital infrastructure that enables workers to communicate with one another privately and securely, and to contact trade union representatives. The platform must not access the content of these communications </w:t>
      </w:r>
      <w:r w:rsidR="00A14D12">
        <w:t xml:space="preserve">or </w:t>
      </w:r>
      <w:r>
        <w:t xml:space="preserve">monitor them. The expert group was clear: </w:t>
      </w:r>
      <w:r>
        <w:t xml:space="preserve">a</w:t>
      </w:r>
      <w:r>
        <w:t xml:space="preserve"> group </w:t>
      </w:r>
      <w:r>
        <w:t xml:space="preserve">chat on an external platform, such as </w:t>
      </w:r>
      <w:r>
        <w:t xml:space="preserve">WhatsApp</w:t>
      </w:r>
      <w:r>
        <w:t xml:space="preserve">, does not meet this condition </w:t>
      </w:r>
      <w:r w:rsidR="00D7386B">
        <w:t xml:space="preserve">– </w:t>
      </w:r>
      <w:r>
        <w:t xml:space="preserve">the channels must be individually accessible to trade union representatives, and secure privacy must be technically guaranteed. Any </w:t>
      </w:r>
      <w:r>
        <w:t xml:space="preserve">content </w:t>
      </w:r>
      <w:r>
        <w:t xml:space="preserve">moderation </w:t>
      </w:r>
      <w:r>
        <w:t xml:space="preserve">(for example, in the case of abusive messages) must be entrusted to an independent third party, not to the platform’s employees.</w:t>
      </w:r>
    </w:p>
    <w:p w:rsidR="00D90A18" w:rsidP="00750824" w:rsidRDefault="00D90A18" w14:paraId="07116119" w14:textId="77777777">
      <w:pPr>
        <w:jc w:val="both"/>
      </w:pPr>
    </w:p>
    <w:p w:rsidR="00983F19" w:rsidP="00750824" w:rsidRDefault="00000000" w14:paraId="40C6BB19" w14:textId="7290A77D">
      <w:pPr>
        <w:jc w:val="both"/>
      </w:pPr>
      <w:r>
        <w:t xml:space="preserve">Article 21 governs access to evidence. Courts and competent authorities must have the power to require the platform to disclose any relevant evidence in its possession </w:t>
      </w:r>
      <w:r w:rsidR="00D7386B">
        <w:t xml:space="preserve">– </w:t>
      </w:r>
      <w:r>
        <w:t xml:space="preserve">including confidential information, provided that appropriate confidentiality safeguards are in place. The expert group has pointed out that key evidence regarding instructions and supervision via algorithms is, as a rule, held by the platform and </w:t>
      </w:r>
      <w:r>
        <w:t xml:space="preserve">is not accessible to </w:t>
      </w:r>
      <w:r>
        <w:t xml:space="preserve">workers </w:t>
      </w:r>
      <w:r w:rsidR="00A14D12">
        <w:t xml:space="preserve">or their representatives</w:t>
      </w:r>
      <w:r>
        <w:t xml:space="preserve">. Invoking trade secrets is not an absolute barrier to disclosure </w:t>
      </w:r>
      <w:r w:rsidR="00D7386B">
        <w:t xml:space="preserve">– </w:t>
      </w:r>
      <w:r>
        <w:t xml:space="preserve">the court is empowered to order disclosure subject to appropriate safeguards.</w:t>
      </w:r>
    </w:p>
    <w:p w:rsidR="00D90A18" w:rsidP="00750824" w:rsidRDefault="00D90A18" w14:paraId="23047EB5" w14:textId="77777777">
      <w:pPr>
        <w:jc w:val="both"/>
      </w:pPr>
    </w:p>
    <w:p w:rsidR="00983F19" w:rsidP="00750824" w:rsidRDefault="00000000" w14:paraId="7E7DAA4F" w14:textId="3A2E838B">
      <w:pPr>
        <w:jc w:val="both"/>
      </w:pPr>
      <w:r>
        <w:t xml:space="preserve">Article 22 </w:t>
      </w:r>
      <w:r w:rsidR="00016B3D">
        <w:t xml:space="preserve">protects </w:t>
      </w:r>
      <w:r>
        <w:t xml:space="preserve">all persons carrying out </w:t>
      </w:r>
      <w:r>
        <w:t xml:space="preserve">platform </w:t>
      </w:r>
      <w:r>
        <w:t xml:space="preserve">work </w:t>
      </w:r>
      <w:r>
        <w:t xml:space="preserve">from </w:t>
      </w:r>
      <w:r w:rsidR="00A14D12">
        <w:t xml:space="preserve">retaliatory measures </w:t>
      </w:r>
      <w:r>
        <w:t xml:space="preserve">in response to the exercise of rights under the Directive. The Directive explicitly states that lower ratings, fewer assignments and any other form of covert penalty are prohibited. The expert group added: the allocation of fewer tasks or increased monitoring following the exercise of rights are typical examples of prohibited retaliatory measures </w:t>
      </w:r>
      <w:r w:rsidR="00D7386B">
        <w:t xml:space="preserve">– </w:t>
      </w:r>
      <w:r>
        <w:t xml:space="preserve">it is only necessary to prove a causal link between the exercise of rights and the harmful measure, with the burden of proof falling on the platform. Article 23 extends this protection specifically to termination or equivalent measures: the platform must not terminate the contractual relationship with a worker or block their account simply because they have exercised their rights under the Directive. It must also, at the worker’s request, state in writing the reasons for the termination. The burden of proof is shifted to the platform </w:t>
      </w:r>
      <w:r w:rsidR="00D7386B">
        <w:t xml:space="preserve">– </w:t>
      </w:r>
      <w:r>
        <w:t xml:space="preserve">it must prove that the termination was not a consequence of the exercise of rights.</w:t>
      </w:r>
    </w:p>
    <w:p w:rsidR="00D90A18" w:rsidP="00750824" w:rsidRDefault="00D90A18" w14:paraId="35FBA09F" w14:textId="77777777">
      <w:pPr>
        <w:jc w:val="both"/>
      </w:pPr>
    </w:p>
    <w:p w:rsidR="00983F19" w:rsidP="00750824" w:rsidRDefault="00000000" w14:paraId="114DBA6C" w14:textId="17261AE2">
      <w:pPr>
        <w:jc w:val="both"/>
      </w:pPr>
      <w:r>
        <w:t xml:space="preserve">Article 24 governs supervision and penalties. Data protection authorities are responsible for </w:t>
      </w:r>
      <w:r w:rsidR="00A14D12">
        <w:t xml:space="preserve">supervising Articles</w:t>
      </w:r>
      <w:r>
        <w:t xml:space="preserve"> 7 to 11 </w:t>
      </w:r>
      <w:r w:rsidR="00A14D12">
        <w:t xml:space="preserve">where </w:t>
      </w:r>
      <w:r>
        <w:t xml:space="preserve">data protection issues are concerned; labour inspectorates and other competent authorities are responsible for the remaining provisions of the Directive. Article 24(2) establishes mandatory cooperation between them, including the exchange of information arising </w:t>
      </w:r>
      <w:r w:rsidR="00A14D12">
        <w:t xml:space="preserve">from inspections </w:t>
      </w:r>
      <w:r>
        <w:t xml:space="preserve">and investigations. Article 24(5) requires that penalties for infringements of the provisions of the Directive be effective, proportionate and dissuasive </w:t>
      </w:r>
      <w:r w:rsidR="00D7386B">
        <w:t xml:space="preserve">– </w:t>
      </w:r>
      <w:r>
        <w:t xml:space="preserve">proportionality is measured in relation to the size of the platform and the number of workers affected. The provision in Article 24(6) is key: if a platform fails to comply with the first final judicial or administrative decision on the employment status of workers, Member States must ensure additional penalties, which may be financial.</w:t>
      </w:r>
    </w:p>
    <w:p w:rsidR="00983F19" w:rsidP="00750824" w:rsidRDefault="00000000" w14:paraId="6DF57FB9" w14:textId="77777777">
      <w:pPr>
        <w:pStyle w:val="Naslov2"/>
        <w:jc w:val="both"/>
      </w:pPr>
      <w:bookmarkStart w:name="_Toc233699502" w:id="63"/>
      <w:bookmarkStart w:name="ugotovitve-iz-prakse-4" w:id="64"/>
      <w:bookmarkEnd w:id="62"/>
      <w:r>
        <w:t xml:space="preserve">7.2 Findings from practice</w:t>
      </w:r>
      <w:bookmarkEnd w:id="63"/>
    </w:p>
    <w:p w:rsidR="00983F19" w:rsidP="00750824" w:rsidRDefault="00000000" w14:paraId="7E31C8C6" w14:textId="2AF82EC0">
      <w:pPr>
        <w:jc w:val="both"/>
      </w:pPr>
      <w:r>
        <w:t xml:space="preserve">The joint finding of all SDDP project partners is unequivocal: the enforcement of </w:t>
      </w:r>
      <w:r>
        <w:t xml:space="preserve">platform </w:t>
      </w:r>
      <w:r>
        <w:t xml:space="preserve">workers’ </w:t>
      </w:r>
      <w:r>
        <w:t xml:space="preserve">rights </w:t>
      </w:r>
      <w:r>
        <w:t xml:space="preserve">in all five partner countries faces </w:t>
      </w:r>
      <w:r>
        <w:t xml:space="preserve">the</w:t>
      </w:r>
      <w:r>
        <w:t xml:space="preserve"> </w:t>
      </w:r>
      <w:r w:rsidR="00A14D12">
        <w:t xml:space="preserve">same </w:t>
      </w:r>
      <w:r>
        <w:t xml:space="preserve">structural barriers. These are not specific to any particular legal framework</w:t>
      </w:r>
      <w:r w:rsidR="00A14D12">
        <w:t xml:space="preserve">, but </w:t>
      </w:r>
      <w:r>
        <w:t xml:space="preserve">result from the </w:t>
      </w:r>
      <w:r w:rsidR="00A14D12">
        <w:t xml:space="preserve">power</w:t>
      </w:r>
      <w:r>
        <w:t xml:space="preserve"> asymmetry </w:t>
      </w:r>
      <w:r>
        <w:t xml:space="preserve">between well-funded platforms and workers who lack the resources for protracted </w:t>
      </w:r>
      <w:r w:rsidR="00A14D12">
        <w:t xml:space="preserve">legal </w:t>
      </w:r>
      <w:r>
        <w:t xml:space="preserve">disputes.</w:t>
      </w:r>
    </w:p>
    <w:p w:rsidR="00D90A18" w:rsidP="00750824" w:rsidRDefault="00D90A18" w14:paraId="56F05BC6" w14:textId="77777777">
      <w:pPr>
        <w:jc w:val="both"/>
      </w:pPr>
    </w:p>
    <w:p w:rsidR="00983F19" w:rsidP="00750824" w:rsidRDefault="00B11C0F" w14:paraId="5DFDA0E8" w14:textId="763582A7">
      <w:pPr>
        <w:jc w:val="both"/>
      </w:pPr>
      <w:r>
        <w:rPr>
          <w:b/>
          <w:bCs/>
        </w:rPr>
        <w:t xml:space="preserve">Financial attrition as a platform strategy. </w:t>
      </w:r>
      <w:r>
        <w:t xml:space="preserve">Platforms systematically exploit this cost asymmetry: they employ teams of legal advisers who take cases to higher courts and </w:t>
      </w:r>
      <w:r>
        <w:t xml:space="preserve">opt for </w:t>
      </w:r>
      <w:r>
        <w:t xml:space="preserve">protracted </w:t>
      </w:r>
      <w:r>
        <w:t xml:space="preserve">appeals </w:t>
      </w:r>
      <w:r w:rsidR="00D7386B">
        <w:t xml:space="preserve">– </w:t>
      </w:r>
      <w:r>
        <w:t xml:space="preserve">a strategy that wears down individual workers before they receive a final, binding decision. A case from Spain is well documented: following a 2020 Supreme Court ruling that </w:t>
      </w:r>
      <w:r>
        <w:t xml:space="preserve">recognised</w:t>
      </w:r>
      <w:r>
        <w:t xml:space="preserve"> </w:t>
      </w:r>
      <w:r>
        <w:t xml:space="preserve">Glovo</w:t>
      </w:r>
      <w:r>
        <w:t xml:space="preserve"> delivery riders </w:t>
      </w:r>
      <w:r>
        <w:t xml:space="preserve">as workers, the platform continued with individual proceedings challenging each case separately, rather than adopting a systemic solution. Individual workers, without free legal aid and without a collective procedure, have no realistic chance of asserting their rights.</w:t>
      </w:r>
    </w:p>
    <w:p w:rsidR="00D90A18" w:rsidP="00750824" w:rsidRDefault="00D90A18" w14:paraId="6612C649" w14:textId="77777777">
      <w:pPr>
        <w:jc w:val="both"/>
      </w:pPr>
    </w:p>
    <w:p w:rsidR="00983F19" w:rsidP="00750824" w:rsidRDefault="00000000" w14:paraId="794DCED5" w14:textId="18537679">
      <w:pPr>
        <w:jc w:val="both"/>
      </w:pPr>
      <w:r>
        <w:rPr>
          <w:b/>
          <w:bCs/>
        </w:rPr>
        <w:t xml:space="preserve">Class actions: a structural gap in Germany and Slovenia. </w:t>
      </w:r>
      <w:r>
        <w:t xml:space="preserve">In both countries, existing procedural law does not provide for class actions in labour law matters in the manner envisaged by the Directive. Trade unions cannot initiate proceedings on behalf of a group of workers without individual authorisations from each of them</w:t>
      </w:r>
      <w:r w:rsidR="00B11C0F">
        <w:t xml:space="preserve">, </w:t>
      </w:r>
      <w:r>
        <w:t xml:space="preserve">which is often impracticable in practice, as workers are scattered, anonymous and fear reprisals. Article 19 of the Directive </w:t>
      </w:r>
      <w:r w:rsidR="00B11C0F">
        <w:t xml:space="preserve">requires </w:t>
      </w:r>
      <w:r>
        <w:t xml:space="preserve">this gap </w:t>
      </w:r>
      <w:r w:rsidR="00B11C0F">
        <w:t xml:space="preserve">to be </w:t>
      </w:r>
      <w:r w:rsidR="00B11C0F">
        <w:t xml:space="preserve">filled</w:t>
      </w:r>
      <w:r>
        <w:t xml:space="preserve">: the ministries must ensure a procedural mechanism that enables a trade union to act on behalf of or in support of a group of workers without the individual consent of each one.</w:t>
      </w:r>
    </w:p>
    <w:p w:rsidR="00D90A18" w:rsidP="00750824" w:rsidRDefault="00D90A18" w14:paraId="3904CC4C" w14:textId="77777777">
      <w:pPr>
        <w:jc w:val="both"/>
      </w:pPr>
    </w:p>
    <w:p w:rsidR="00983F19" w:rsidP="00750824" w:rsidRDefault="00000000" w14:paraId="081E5076" w14:textId="740C1670">
      <w:pPr>
        <w:jc w:val="both"/>
      </w:pPr>
      <w:r>
        <w:rPr>
          <w:b/>
          <w:bCs/>
        </w:rPr>
        <w:lastRenderedPageBreak/>
      </w:r>
      <w:r>
        <w:rPr>
          <w:b/>
          <w:bCs/>
        </w:rPr>
        <w:t xml:space="preserve">Operators in the fleet system: the criminal liability of directors in Spanish practice. </w:t>
      </w:r>
      <w:r>
        <w:t xml:space="preserve">The Spanish experience following the introduction of the Delivery Workers Act in 2021 shows how, following regulation, platforms are switching en masse to the fleet system and how shell companies are becoming a tool for evading liability. When a subcontractor closes down, workers are left without pay and with no one to whom they can assert their rights. In some cases, the Spanish authorities have initiated criminal proceedings against the directors of shell companies that acted as intermediaries </w:t>
      </w:r>
      <w:r>
        <w:t xml:space="preserve">for</w:t>
      </w:r>
      <w:r w:rsidR="00B11C0F">
        <w:t xml:space="preserve"> platforms </w:t>
      </w:r>
      <w:r>
        <w:t xml:space="preserve">seeking to evade labour law obligations. This is a model </w:t>
      </w:r>
      <w:r w:rsidR="00B11C0F">
        <w:t xml:space="preserve">worth </w:t>
      </w:r>
      <w:r>
        <w:t xml:space="preserve">considering when transposing the directive.</w:t>
      </w:r>
      <w:r>
        <w:br/>
      </w:r>
      <w:r>
        <w:br/>
      </w:r>
      <w:r>
        <w:rPr>
          <w:b/>
          <w:bCs/>
        </w:rPr>
        <w:t xml:space="preserve">Funding for labour inspectorates: a common demand from all partners. </w:t>
      </w:r>
      <w:r>
        <w:t xml:space="preserve">Each of the five national contributions to the SDDP project highlights the under-resourcing of labour inspectorates: too few inspectors, insufficient training to </w:t>
      </w:r>
      <w:r w:rsidR="00E11794">
        <w:t xml:space="preserve">monitor algorithmic systems</w:t>
      </w:r>
      <w:r>
        <w:t xml:space="preserve">, and a lack of tools for analysing data on platform work. Inspectorates that are unable to interpret an algorithmic monitoring system cannot identify infringements. The funding and training of inspectorates are a prerequisite for any effective implementation of the Directive</w:t>
      </w:r>
      <w:r w:rsidR="00E11794">
        <w:t xml:space="preserve">, </w:t>
      </w:r>
      <w:r>
        <w:t xml:space="preserve">not merely a recommendation.</w:t>
      </w:r>
    </w:p>
    <w:p w:rsidR="00D90A18" w:rsidP="00750824" w:rsidRDefault="00D90A18" w14:paraId="0E0171F9" w14:textId="77777777">
      <w:pPr>
        <w:jc w:val="both"/>
      </w:pPr>
    </w:p>
    <w:p w:rsidR="00983F19" w:rsidP="00750824" w:rsidRDefault="00000000" w14:paraId="687E0C49" w14:textId="68113A75">
      <w:pPr>
        <w:jc w:val="both"/>
      </w:pPr>
      <w:r>
        <w:rPr>
          <w:b/>
          <w:bCs/>
        </w:rPr>
        <w:t xml:space="preserve">Retaliatory measures via algorithms: proving them is difficult.</w:t>
      </w:r>
      <w:r>
        <w:t xml:space="preserve"> At the SDDP project conference in Ljubljana in May 2025, trade union representatives from all partner countries described the same pattern: following the lodging of a complaint or trade union activity</w:t>
      </w:r>
      <w:r w:rsidR="00E11794">
        <w:t xml:space="preserve">,</w:t>
      </w:r>
      <w:r>
        <w:t xml:space="preserve"> a worker receives significantly fewer assignments in the weeks that follow</w:t>
      </w:r>
      <w:r>
        <w:t xml:space="preserve">, yet the platform explains this as the result of objective algorithmic parameters, not as a sanction. Proving a causal link without access to algorithmic data is practically impossible. Article 21 of the Directive (access to evidence) and Article 22 (reversal of the burden of proof) together address this asymmetry </w:t>
      </w:r>
      <w:r w:rsidR="00D7386B">
        <w:t xml:space="preserve">– </w:t>
      </w:r>
      <w:r>
        <w:t xml:space="preserve">but only if courts and inspectorates are </w:t>
      </w:r>
      <w:r w:rsidR="00E11794">
        <w:t xml:space="preserve">equipped to carry out a proper analysis of the data. </w:t>
      </w:r>
    </w:p>
    <w:p w:rsidR="00D90A18" w:rsidP="00750824" w:rsidRDefault="00D90A18" w14:paraId="46AA3A84" w14:textId="77777777">
      <w:pPr>
        <w:jc w:val="both"/>
      </w:pPr>
    </w:p>
    <w:p w:rsidR="00983F19" w:rsidP="00750824" w:rsidRDefault="00000000" w14:paraId="0B93A64F" w14:textId="15418CB2">
      <w:pPr>
        <w:jc w:val="both"/>
      </w:pPr>
      <w:r>
        <w:rPr>
          <w:b/>
          <w:bCs/>
        </w:rPr>
        <w:t xml:space="preserve">Foodora’s</w:t>
      </w:r>
      <w:r>
        <w:rPr>
          <w:b/>
          <w:bCs/>
        </w:rPr>
        <w:t xml:space="preserve"> ‘Excellence Score’ </w:t>
      </w:r>
      <w:r>
        <w:rPr>
          <w:b/>
          <w:bCs/>
        </w:rPr>
        <w:t xml:space="preserve">as an example of automatic termination. </w:t>
      </w:r>
      <w:r>
        <w:t xml:space="preserve">Foodora </w:t>
      </w:r>
      <w:r>
        <w:t xml:space="preserve">and Bolt </w:t>
      </w:r>
      <w:r>
        <w:t xml:space="preserve">Food </w:t>
      </w:r>
      <w:r>
        <w:t xml:space="preserve">use a scoring system in some countries known </w:t>
      </w:r>
      <w:r w:rsidR="00E11794">
        <w:t xml:space="preserve">as</w:t>
      </w:r>
      <w:r>
        <w:t xml:space="preserve"> </w:t>
      </w:r>
      <w:r w:rsidR="00E11794">
        <w:t xml:space="preserve">the</w:t>
      </w:r>
      <w:r w:rsidR="00E11794">
        <w:t xml:space="preserve"> </w:t>
      </w:r>
      <w:r w:rsidR="00E11794">
        <w:t xml:space="preserve">‘Excellence </w:t>
      </w:r>
      <w:r w:rsidR="00E11794">
        <w:t xml:space="preserve">Score’</w:t>
      </w:r>
      <w:r>
        <w:t xml:space="preserve">, which ranks workers based on order acceptance rates, punctuality, customer ratings and other algorithmic parameters. When the score falls below a certain threshold, the system automatically sends a notice of termination of the contract without any </w:t>
      </w:r>
      <w:r w:rsidR="00E11794">
        <w:t xml:space="preserve">human </w:t>
      </w:r>
      <w:r>
        <w:t xml:space="preserve">intervention and without prior explanation. This practice is in direct contravention of Article 10(5) of the Directive, which requires that any decision to terminate a contractual relationship be taken by a human being, and of Article 11, which guarantees the right to a written statement of reasons and to a review. However, as the trade unions only identified this practice whilst reviewing the contracts, it is precisely this system that represents one of the most important levers of control for the platforms </w:t>
      </w:r>
      <w:r w:rsidR="00D7386B">
        <w:t xml:space="preserve">– </w:t>
      </w:r>
      <w:r>
        <w:t xml:space="preserve">and it is precisely this that they are unwilling to negotiate on. The Directive explicitly prohibits this</w:t>
      </w:r>
      <w:r w:rsidR="00E11794">
        <w:t xml:space="preserve">. </w:t>
      </w:r>
      <w:r w:rsidR="00E11794">
        <w:t xml:space="preserve">Implementation </w:t>
      </w:r>
      <w:r>
        <w:t xml:space="preserve">must operationalise this prohibition through an explicit provision in the law.</w:t>
      </w:r>
    </w:p>
    <w:p w:rsidR="00983F19" w:rsidP="00750824" w:rsidRDefault="00000000" w14:paraId="3A5FDBB2" w14:textId="77777777">
      <w:pPr>
        <w:pStyle w:val="Naslov2"/>
        <w:jc w:val="both"/>
      </w:pPr>
      <w:bookmarkStart w:name="_Toc233699503" w:id="65"/>
      <w:bookmarkStart w:name="priporočila-4" w:id="66"/>
      <w:bookmarkEnd w:id="64"/>
      <w:r>
        <w:t xml:space="preserve">7.3 Recommendations</w:t>
      </w:r>
      <w:bookmarkEnd w:id="65"/>
    </w:p>
    <w:p w:rsidR="00D90A18" w:rsidP="00750824" w:rsidRDefault="00000000" w14:paraId="0A7C21F2" w14:textId="4E601750">
      <w:pPr>
        <w:jc w:val="both"/>
      </w:pPr>
      <w:r>
        <w:t xml:space="preserve">The following recommendations are addressed to </w:t>
      </w:r>
      <w:r>
        <w:t xml:space="preserve">the</w:t>
      </w:r>
      <w:r w:rsidR="00E11794">
        <w:t xml:space="preserve"> relevant </w:t>
      </w:r>
      <w:r>
        <w:t xml:space="preserve">ministries and competent authorities of EU Member States.</w:t>
      </w:r>
    </w:p>
    <w:p w:rsidR="00983F19" w:rsidP="00750824" w:rsidRDefault="00000000" w14:paraId="71346B44" w14:textId="50C5505D">
      <w:pPr>
        <w:pStyle w:val="Naslov3"/>
        <w:jc w:val="both"/>
      </w:pPr>
      <w:r>
        <w:t xml:space="preserve">Recommendation 7.1 [GOES BEYOND THE MINIMUM]: Penalties that are genuinely dissuasive </w:t>
      </w:r>
      <w:r w:rsidR="00D7386B">
        <w:t xml:space="preserve">– </w:t>
      </w:r>
      <w:r>
        <w:t xml:space="preserve">linked to the platform’s revenue</w:t>
      </w:r>
    </w:p>
    <w:p w:rsidR="00983F19" w:rsidP="00750824" w:rsidRDefault="00000000" w14:paraId="0303FBE7" w14:textId="511A8E4D">
      <w:pPr>
        <w:jc w:val="both"/>
      </w:pPr>
      <w:r>
        <w:t xml:space="preserve">Ministries must stipulate in law that the upper limit of penalties for infringements </w:t>
      </w:r>
      <w:r w:rsidR="00E11794">
        <w:t xml:space="preserve">of the rights guaranteed by the Directive </w:t>
      </w:r>
      <w:r>
        <w:t xml:space="preserve">is </w:t>
      </w:r>
      <w:r>
        <w:t xml:space="preserve">linked to the platform’s annual turnover in the country concerned</w:t>
      </w:r>
      <w:r w:rsidR="00E11794">
        <w:t xml:space="preserve">, </w:t>
      </w:r>
      <w:r>
        <w:t xml:space="preserve">rather than to </w:t>
      </w:r>
      <w:r w:rsidR="00E11794">
        <w:t xml:space="preserve">some </w:t>
      </w:r>
      <w:r>
        <w:t xml:space="preserve">abstract </w:t>
      </w:r>
      <w:r w:rsidR="00E11794">
        <w:t xml:space="preserve">amount set by</w:t>
      </w:r>
      <w:r>
        <w:lastRenderedPageBreak/>
      </w:r>
      <w:r>
        <w:t xml:space="preserve"> </w:t>
      </w:r>
      <w:r>
        <w:t xml:space="preserve">. We recommend </w:t>
      </w:r>
      <w:r>
        <w:t xml:space="preserve">the</w:t>
      </w:r>
      <w:r w:rsidR="00E11794">
        <w:t xml:space="preserve"> following </w:t>
      </w:r>
      <w:r>
        <w:t xml:space="preserve">model: for breaches relating to algorithmic management, up to 2 per cent of the platform’s annual revenue in the country concerned; for breaches relating to employment status and termination of employment, up to 4 per cent of annual revenue; for systemic breaches (a pattern of breaches by the same platform), an additional multiplier of up to 1.5x. The penalty for failure to comply with the first final court decision (Article 24(6)) must be financially significant and mandatory. An appeal against a prohibition on operating has suspensive effect; an appeal against a financial penalty does not have suspensive effect, except where there is a proven risk of insolvency.</w:t>
      </w:r>
    </w:p>
    <w:p w:rsidR="00E11794" w:rsidP="00750824" w:rsidRDefault="00E11794" w14:paraId="1699B101" w14:textId="77777777">
      <w:pPr>
        <w:jc w:val="both"/>
      </w:pPr>
    </w:p>
    <w:p w:rsidR="00983F19" w:rsidP="00750824" w:rsidRDefault="00000000" w14:paraId="4AE38B7C" w14:textId="3A924E9D">
      <w:pPr>
        <w:pStyle w:val="Blokbesedila"/>
      </w:pPr>
      <w:r>
        <w:rPr>
          <w:b/>
          <w:bCs/>
        </w:rPr>
        <w:t xml:space="preserve">Background: </w:t>
      </w:r>
      <w:r>
        <w:t xml:space="preserve">Article 24(5) of the Directive requires penalties that are effective, proportionate and dissuasive; proportionality is measured in relation to the size of the platform and the number of workers affected. The EC’s expert group confirmed that Article 24(6) must be implemented as a matter of obligation: failure to comply with the first court ruling must have financial consequences. Revenue-based penalties are established under the GDPR (Article 83: up to 4 per cent of annual global turnover) </w:t>
      </w:r>
      <w:r w:rsidR="00D7386B">
        <w:t xml:space="preserve">– </w:t>
      </w:r>
      <w:r>
        <w:t xml:space="preserve">the </w:t>
      </w:r>
      <w:r>
        <w:t xml:space="preserve">Platform</w:t>
      </w:r>
      <w:r>
        <w:t xml:space="preserve"> </w:t>
      </w:r>
      <w:r>
        <w:t xml:space="preserve">Work</w:t>
      </w:r>
      <w:r>
        <w:t xml:space="preserve"> Directive </w:t>
      </w:r>
      <w:r>
        <w:t xml:space="preserve">does not set a uniform threshold, but this makes it all the more urgent for national laws to define it appropriately.</w:t>
      </w:r>
    </w:p>
    <w:p w:rsidR="00983F19" w:rsidP="00750824" w:rsidRDefault="00000000" w14:paraId="166AE13A" w14:textId="0B64A2D1">
      <w:pPr>
        <w:pStyle w:val="Naslov3"/>
        <w:jc w:val="both"/>
      </w:pPr>
      <w:r>
        <w:t xml:space="preserve">Recommendation 7.2 [DIRECTIVE]: Protection against retaliatory measures: lower ratings and fewer orders </w:t>
      </w:r>
      <w:r w:rsidR="00EB5A7D">
        <w:t xml:space="preserve">as a retaliatory measure </w:t>
      </w:r>
      <w:r>
        <w:t xml:space="preserve">constitute a breach </w:t>
      </w:r>
    </w:p>
    <w:p w:rsidR="00983F19" w:rsidP="00750824" w:rsidRDefault="00000000" w14:paraId="1D4F3C00" w14:textId="3DDD9244">
      <w:pPr>
        <w:jc w:val="both"/>
      </w:pPr>
      <w:r>
        <w:t xml:space="preserve">Ministries must </w:t>
      </w:r>
      <w:r>
        <w:t xml:space="preserve">stipulate </w:t>
      </w:r>
      <w:r>
        <w:t xml:space="preserve">in </w:t>
      </w:r>
      <w:r w:rsidR="00EB5A7D">
        <w:t xml:space="preserve">law </w:t>
      </w:r>
      <w:r>
        <w:t xml:space="preserve">that any </w:t>
      </w:r>
      <w:r>
        <w:t xml:space="preserve">form of</w:t>
      </w:r>
      <w:r w:rsidR="00EB5A7D">
        <w:t xml:space="preserve"> retaliation </w:t>
      </w:r>
      <w:r>
        <w:t xml:space="preserve">following the exercise of rights </w:t>
      </w:r>
      <w:r w:rsidR="00D7386B">
        <w:t xml:space="preserve">– </w:t>
      </w:r>
      <w:r>
        <w:t xml:space="preserve">lower ratings, fewer assignments, changes to working hours, increased monitoring </w:t>
      </w:r>
      <w:r w:rsidR="00D7386B">
        <w:t xml:space="preserve">– </w:t>
      </w:r>
      <w:r>
        <w:t xml:space="preserve">is </w:t>
      </w:r>
      <w:r>
        <w:t xml:space="preserve">prohibited and shall be deemed to constitute retaliation unless the platform proves otherwise. The law must explicitly provide for a reversal of the burden of proof: the worker must demonstrate the likelihood of a causal link between the exercise of their rights and the detrimental measure</w:t>
      </w:r>
      <w:r w:rsidR="00EB5A7D">
        <w:t xml:space="preserve">, </w:t>
      </w:r>
      <w:r w:rsidR="00EB5A7D">
        <w:t xml:space="preserve">whilst </w:t>
      </w:r>
      <w:r>
        <w:t xml:space="preserve">the platform </w:t>
      </w:r>
      <w:r>
        <w:t xml:space="preserve">must prove that the measure is the result of objective factors </w:t>
      </w:r>
      <w:r w:rsidR="00EB5A7D">
        <w:t xml:space="preserve">and not a retaliatory measure</w:t>
      </w:r>
      <w:r>
        <w:t xml:space="preserve">. As these factors are embedded in algorithmic systems, courts and inspectorates must have the power to require the disclosure of algorithmic data for the relevant period.</w:t>
      </w:r>
    </w:p>
    <w:p w:rsidR="00EB5A7D" w:rsidP="00750824" w:rsidRDefault="00EB5A7D" w14:paraId="35B841F0" w14:textId="77777777">
      <w:pPr>
        <w:jc w:val="both"/>
      </w:pPr>
    </w:p>
    <w:p w:rsidR="00983F19" w:rsidP="00750824" w:rsidRDefault="00000000" w14:paraId="03BD7BE2" w14:textId="64F60027">
      <w:pPr>
        <w:pStyle w:val="Blokbesedila"/>
      </w:pPr>
      <w:r>
        <w:rPr>
          <w:b/>
          <w:bCs/>
        </w:rPr>
        <w:t xml:space="preserve">Background: </w:t>
      </w:r>
      <w:r>
        <w:t xml:space="preserve">Articles 22 and 23 of the Directive establish protection and the reversal of the burden of proof. The EC’s expert group has confirmed that assigning fewer tasks or imposing increased supervision following the exercise of rights are typical examples of prohibited retaliatory measures. However, without access to algorithmic data (Article 21)</w:t>
      </w:r>
      <w:r w:rsidR="00EB5A7D">
        <w:t xml:space="preserve">,</w:t>
      </w:r>
      <w:r>
        <w:t xml:space="preserve"> proving a causal link is practically impossible</w:t>
      </w:r>
      <w:r w:rsidR="00EB5A7D">
        <w:t xml:space="preserve">; </w:t>
      </w:r>
      <w:r>
        <w:t xml:space="preserve">therefore</w:t>
      </w:r>
      <w:r w:rsidR="00EB5A7D">
        <w:t xml:space="preserve">,</w:t>
      </w:r>
      <w:r>
        <w:t xml:space="preserve"> Articles 21 and 22 must be implemented together, not separately.</w:t>
      </w:r>
    </w:p>
    <w:p w:rsidR="00983F19" w:rsidP="00750824" w:rsidRDefault="00000000" w14:paraId="17464334" w14:textId="49D0FA40">
      <w:pPr>
        <w:pStyle w:val="Naslov3"/>
        <w:jc w:val="both"/>
      </w:pPr>
      <w:r>
        <w:t xml:space="preserve">Recommendation 7.3 [DIRECTIVE]: Communication channels under independent supervision </w:t>
      </w:r>
      <w:r w:rsidR="00EB5A7D">
        <w:t xml:space="preserve">and </w:t>
      </w:r>
      <w:r>
        <w:t xml:space="preserve">not within the platform’s infrastructure</w:t>
      </w:r>
    </w:p>
    <w:p w:rsidR="00D90A18" w:rsidP="00750824" w:rsidRDefault="00000000" w14:paraId="7D8CDAE8" w14:textId="77777777">
      <w:pPr>
        <w:jc w:val="both"/>
      </w:pPr>
      <w:r>
        <w:t xml:space="preserve">Ministries must stipulate in legislation that the obligation under Article 20 is fulfilled only by digital infrastructure which:</w:t>
      </w:r>
    </w:p>
    <w:p w:rsidR="00D90A18" w:rsidP="00750824" w:rsidRDefault="00000000" w14:paraId="1FB6FF41" w14:textId="77777777">
      <w:pPr>
        <w:pStyle w:val="Odstavekseznama"/>
        <w:numPr>
          <w:ilvl w:val="0"/>
          <w:numId w:val="6"/>
        </w:numPr>
        <w:jc w:val="both"/>
      </w:pPr>
      <w:r>
        <w:t xml:space="preserve">(a) ensures the technical privacy of communications, </w:t>
      </w:r>
    </w:p>
    <w:p w:rsidR="00D90A18" w:rsidP="00750824" w:rsidRDefault="00000000" w14:paraId="4A6B1596" w14:textId="77777777">
      <w:pPr>
        <w:pStyle w:val="Odstavekseznama"/>
        <w:numPr>
          <w:ilvl w:val="0"/>
          <w:numId w:val="6"/>
        </w:numPr>
        <w:jc w:val="both"/>
      </w:pPr>
      <w:r>
        <w:t xml:space="preserve">(b) does not store metadata on the platform’s servers; and </w:t>
      </w:r>
    </w:p>
    <w:p w:rsidR="00D90A18" w:rsidP="00750824" w:rsidRDefault="00000000" w14:paraId="09280572" w14:textId="77777777">
      <w:pPr>
        <w:pStyle w:val="Odstavekseznama"/>
        <w:numPr>
          <w:ilvl w:val="0"/>
          <w:numId w:val="6"/>
        </w:numPr>
        <w:jc w:val="both"/>
      </w:pPr>
      <w:r>
        <w:t xml:space="preserve">(c) is accessible to trade union representatives for individual contact with workers. </w:t>
      </w:r>
    </w:p>
    <w:p w:rsidR="00983F19" w:rsidP="00750824" w:rsidRDefault="00000000" w14:paraId="5F6593BE" w14:textId="22F823DC">
      <w:pPr>
        <w:jc w:val="both"/>
      </w:pPr>
      <w:r>
        <w:t xml:space="preserve">Group </w:t>
      </w:r>
      <w:r w:rsidR="00583744">
        <w:t xml:space="preserve">communication </w:t>
      </w:r>
      <w:r>
        <w:t xml:space="preserve">on external services does not meet these conditions. We recommend that the legislation provide for the possibility for a trade union to lodge a formal complaint with the inspectorate if it assesses that the channel provided does not meet these conditions</w:t>
      </w:r>
      <w:r w:rsidR="00583744">
        <w:t xml:space="preserve">, </w:t>
      </w:r>
      <w:r>
        <w:t xml:space="preserve">with the inspectorate being obliged to investigate this within 30 days.</w:t>
      </w:r>
    </w:p>
    <w:p w:rsidR="00D90A18" w:rsidP="00750824" w:rsidRDefault="00D90A18" w14:paraId="56E1DC1B" w14:textId="77777777">
      <w:pPr>
        <w:jc w:val="both"/>
      </w:pPr>
    </w:p>
    <w:p w:rsidR="00D90A18" w:rsidP="00750824" w:rsidRDefault="00000000" w14:paraId="31C5C9DB" w14:textId="46D01427">
      <w:pPr>
        <w:pStyle w:val="Blokbesedila"/>
      </w:pPr>
      <w:r>
        <w:rPr>
          <w:b/>
          <w:bCs/>
        </w:rPr>
        <w:t xml:space="preserve">Background: </w:t>
      </w:r>
      <w:r>
        <w:t xml:space="preserve">The EC’s expert group was clear: </w:t>
      </w:r>
      <w:r w:rsidR="00583744">
        <w:t xml:space="preserve">group chat </w:t>
      </w:r>
      <w:r>
        <w:t xml:space="preserve">on an external platform is insufficient because it does not ensure individual contact between the trade union representative and each worker. The channels must be technically private </w:t>
      </w:r>
      <w:r w:rsidR="00D7386B">
        <w:t xml:space="preserve">– </w:t>
      </w:r>
      <w:r>
        <w:t xml:space="preserve">the platform must not have access to the content of communications.</w:t>
      </w:r>
    </w:p>
    <w:p w:rsidR="00983F19" w:rsidP="00750824" w:rsidRDefault="00000000" w14:paraId="0BDDAC6E" w14:textId="77777777">
      <w:pPr>
        <w:pStyle w:val="Naslov3"/>
        <w:jc w:val="both"/>
      </w:pPr>
      <w:r>
        <w:lastRenderedPageBreak/>
      </w:r>
      <w:r>
        <w:t xml:space="preserve">Recommendation 7.4 [DIRECTIVE]: Disclosure of algorithms as a legal obligation in judicial and inspection proceedings</w:t>
      </w:r>
    </w:p>
    <w:p w:rsidR="00983F19" w:rsidP="00750824" w:rsidRDefault="00000000" w14:paraId="522CB194" w14:textId="68588E60">
      <w:pPr>
        <w:jc w:val="both"/>
      </w:pPr>
      <w:r>
        <w:t xml:space="preserve">Ministries must clearly stipulate in law that courts and labour inspectorates are authorised to request the disclosure of any relevant algorithmic evidence </w:t>
      </w:r>
      <w:r w:rsidR="00D7386B">
        <w:t xml:space="preserve">– </w:t>
      </w:r>
      <w:r>
        <w:t xml:space="preserve">including parameters, decision history and monitoring data </w:t>
      </w:r>
      <w:r w:rsidR="00D7386B">
        <w:t xml:space="preserve">– </w:t>
      </w:r>
      <w:r>
        <w:t xml:space="preserve">held by the platform. Invoking trade secrets must not constitute grounds for an absolute refusal to disclose</w:t>
      </w:r>
      <w:r w:rsidR="00583744">
        <w:t xml:space="preserve">. </w:t>
      </w:r>
      <w:r>
        <w:t xml:space="preserve">The court or inspectorate must have mechanisms in place to protect confidentiality (review in closed proceedings, </w:t>
      </w:r>
      <w:r>
        <w:t xml:space="preserve">anonymisation </w:t>
      </w:r>
      <w:r>
        <w:t xml:space="preserve">in the public part of the decision). We recommend that the law stipulate that a refusal to disclose relevant data without a valid reason should be regarded by the court as an aggravating circumstance when assessing the dispute.</w:t>
      </w:r>
    </w:p>
    <w:p w:rsidR="00583744" w:rsidP="00750824" w:rsidRDefault="00583744" w14:paraId="3D9F7CFD" w14:textId="77777777">
      <w:pPr>
        <w:jc w:val="both"/>
      </w:pPr>
    </w:p>
    <w:p w:rsidR="00583744" w:rsidP="00750824" w:rsidRDefault="00000000" w14:paraId="4148CC07" w14:textId="3CA8D641">
      <w:pPr>
        <w:pStyle w:val="Blokbesedila"/>
      </w:pPr>
      <w:r>
        <w:rPr>
          <w:b/>
          <w:bCs/>
        </w:rPr>
        <w:t xml:space="preserve">Background: </w:t>
      </w:r>
      <w:r>
        <w:t xml:space="preserve">Article 21 of the Directive requires that courts and competent authorities be empowered to order the disclosure </w:t>
      </w:r>
      <w:r>
        <w:t xml:space="preserve">of</w:t>
      </w:r>
      <w:r>
        <w:t xml:space="preserve"> evidence </w:t>
      </w:r>
      <w:r w:rsidR="00D7386B">
        <w:t xml:space="preserve">– </w:t>
      </w:r>
      <w:r>
        <w:t xml:space="preserve">including confidential information. The EC’s expert group has confirmed that invoking trade secrets does not constitute an absolute barrier. In Case C-634/21, the Court of Justice of the European Union explained that at least a minimum amount of information must be provided, regardless of business confidentiality requirements.</w:t>
      </w:r>
    </w:p>
    <w:p w:rsidR="00983F19" w:rsidP="00750824" w:rsidRDefault="00000000" w14:paraId="4096C2D9" w14:textId="34BD8053">
      <w:pPr>
        <w:pStyle w:val="Naslov3"/>
        <w:jc w:val="both"/>
      </w:pPr>
      <w:r>
        <w:t xml:space="preserve">Recommendation 7.5 [GOES BEYOND THE MINIMUM]: </w:t>
      </w:r>
      <w:r w:rsidR="00583744">
        <w:t xml:space="preserve">Criminal liability </w:t>
      </w:r>
      <w:r>
        <w:t xml:space="preserve">of directors in shell companies: liability must extend beyond the legal person</w:t>
      </w:r>
    </w:p>
    <w:p w:rsidR="00983F19" w:rsidP="00750824" w:rsidRDefault="00000000" w14:paraId="72BDC569" w14:textId="216FC185">
      <w:pPr>
        <w:jc w:val="both"/>
      </w:pPr>
      <w:r>
        <w:t xml:space="preserve">Ministries must include a provision in the law establishing the personal liability of directors or owners </w:t>
      </w:r>
      <w:r>
        <w:t xml:space="preserve">of </w:t>
      </w:r>
      <w:r>
        <w:t xml:space="preserve">subcontracting </w:t>
      </w:r>
      <w:r>
        <w:t xml:space="preserve">firms where it is established that these firms operated exclusively or predominantly as a means of circumventing the platform’s obligations under labour law and where, upon closure, they owed workers wages, contributions or compensation. </w:t>
      </w:r>
      <w:r>
        <w:t xml:space="preserve">The platform’s </w:t>
      </w:r>
      <w:r w:rsidR="00A25A76">
        <w:t xml:space="preserve">joint and several </w:t>
      </w:r>
      <w:r>
        <w:t xml:space="preserve">liability in such cases must be unconditional. We recommend that the law introduce a presumption that the platform was aware of the conduct of the shell company where it </w:t>
      </w:r>
      <w:r w:rsidR="00583744">
        <w:t xml:space="preserve">had a contractual relationship </w:t>
      </w:r>
      <w:r>
        <w:t xml:space="preserve">with it </w:t>
      </w:r>
      <w:r>
        <w:t xml:space="preserve">lasting longer </w:t>
      </w:r>
      <w:r w:rsidR="00583744">
        <w:t xml:space="preserve">than three months</w:t>
      </w:r>
      <w:r>
        <w:t xml:space="preserve">.</w:t>
      </w:r>
    </w:p>
    <w:p w:rsidR="00583744" w:rsidP="00750824" w:rsidRDefault="00583744" w14:paraId="37A93A4C" w14:textId="77777777">
      <w:pPr>
        <w:jc w:val="both"/>
      </w:pPr>
    </w:p>
    <w:p w:rsidR="00583744" w:rsidP="00750824" w:rsidRDefault="00000000" w14:paraId="081FCAED" w14:textId="3430469E">
      <w:pPr>
        <w:pStyle w:val="Blokbesedila"/>
      </w:pPr>
      <w:r>
        <w:rPr>
          <w:b/>
          <w:bCs/>
        </w:rPr>
        <w:t xml:space="preserve">Background: </w:t>
      </w:r>
      <w:r>
        <w:t xml:space="preserve">The Spanish experience following the 2021 Delivery Workers Act documents how, following the introduction of regulation, platforms systematically began setting up shell companies that assumed the role of formal employer. When these companies close down, workers are left without pay and without a liable party. In some cases, the Spanish authorities have initiated criminal proceedings against the directors of such companies. An analysis of 91 platforms shows that this pattern is present in at least 41 cases.</w:t>
      </w:r>
    </w:p>
    <w:p w:rsidR="00D90A18" w:rsidP="00750824" w:rsidRDefault="00000000" w14:paraId="360D6B61" w14:textId="3B11EE6B">
      <w:pPr>
        <w:pStyle w:val="Naslov3"/>
        <w:jc w:val="both"/>
      </w:pPr>
      <w:r>
        <w:t xml:space="preserve">Recommendation 7.6 [EXCEEDS THE MINIMUM]: Cross-border blocking of applications via the DSA and ELA in cases of systemic infringements</w:t>
      </w:r>
    </w:p>
    <w:p w:rsidR="00D90A18" w:rsidP="00750824" w:rsidRDefault="00000000" w14:paraId="3BDD30EC" w14:textId="462A1AE6">
      <w:pPr>
        <w:jc w:val="both"/>
      </w:pPr>
      <w:r>
        <w:t xml:space="preserve">Ministries should establish a formal protocol for cross-border notification via the European Labour Authority (ELA) and </w:t>
      </w:r>
      <w:r>
        <w:t xml:space="preserve">the </w:t>
      </w:r>
      <w:r>
        <w:t xml:space="preserve">Internal </w:t>
      </w:r>
      <w:r>
        <w:t xml:space="preserve">Market </w:t>
      </w:r>
      <w:r>
        <w:t xml:space="preserve">Information </w:t>
      </w:r>
      <w:r>
        <w:t xml:space="preserve">System</w:t>
      </w:r>
      <w:r>
        <w:t xml:space="preserve"> (IMI</w:t>
      </w:r>
      <w:r>
        <w:t xml:space="preserve">) whenever a competent national authority identifies a serious or systemic breach of the Directive by a platform. On the basis of this protocol, the ELA coordinates joint inspections and proposes coordinated measures. In </w:t>
      </w:r>
      <w:r>
        <w:t xml:space="preserve">the case of</w:t>
      </w:r>
      <w:r>
        <w:t xml:space="preserve"> systemic infringements </w:t>
      </w:r>
      <w:r>
        <w:t xml:space="preserve">recurring across several Member States</w:t>
      </w:r>
      <w:r w:rsidR="00B357A5">
        <w:t xml:space="preserve">, </w:t>
      </w:r>
      <w:r>
        <w:t xml:space="preserve">the ELA shall compile documentation and report to </w:t>
      </w:r>
      <w:r>
        <w:t xml:space="preserve">the</w:t>
      </w:r>
      <w:r w:rsidR="00B357A5">
        <w:t xml:space="preserve"> European </w:t>
      </w:r>
      <w:r>
        <w:t xml:space="preserve">Commission, which may initiate infringement proceedings against Member States that fail to implement the Directive. A platform found to be in systemic breach is excluded from public procurement in the EU in accordance with Directive 2014/24/EU (Article 57). An appeal against financial penalties has no suspensive effect; an appeal against a ban on operating has suspensive effect until the appeal body has reached a decision.</w:t>
      </w:r>
    </w:p>
    <w:p w:rsidR="00B357A5" w:rsidP="00750824" w:rsidRDefault="00B357A5" w14:paraId="0F065822" w14:textId="77777777">
      <w:pPr>
        <w:jc w:val="both"/>
      </w:pPr>
    </w:p>
    <w:p w:rsidR="00D90A18" w:rsidP="00750824" w:rsidRDefault="00000000" w14:paraId="2FAA9F8F" w14:textId="33AF4758">
      <w:pPr>
        <w:pStyle w:val="Blokbesedila"/>
      </w:pPr>
      <w:r>
        <w:lastRenderedPageBreak/>
      </w:r>
      <w:r>
        <w:t xml:space="preserve">Background: The SDDP Protocol (Pillar I, revised) provides for coordination via the ELA and IMI, and exclusion from public procurement in the event of systemic infringements. The DSA (Digital Services Act) regulates unlawful online content </w:t>
      </w:r>
      <w:r w:rsidR="00D7386B">
        <w:t xml:space="preserve">– </w:t>
      </w:r>
      <w:r>
        <w:t xml:space="preserve">not labour law disputes </w:t>
      </w:r>
      <w:r w:rsidR="00D7386B">
        <w:t xml:space="preserve">– </w:t>
      </w:r>
      <w:r>
        <w:t xml:space="preserve">and does not provide a legal basis for blocking applications due to breaches of labour law. Article 24(4) of the Directive establishes a framework for cross-border cooperation; Directive 2014/24/EU (Article 57) permits exclusion from public procurement in the event of serious breaches of the law. This is a realistic and legally sound combination.</w:t>
      </w:r>
    </w:p>
    <w:p w:rsidR="00D90A18" w:rsidP="00750824" w:rsidRDefault="00D90A18" w14:paraId="3FB7F1EA" w14:textId="77777777">
      <w:pPr>
        <w:jc w:val="both"/>
        <w:rPr>
          <w:b/>
          <w:bCs/>
        </w:rPr>
      </w:pPr>
    </w:p>
    <w:p w:rsidR="00983F19" w:rsidP="00750824" w:rsidRDefault="00000000" w14:paraId="0EC863FF" w14:textId="77777777">
      <w:pPr>
        <w:jc w:val="both"/>
      </w:pPr>
      <w:r>
        <w:rPr>
          <w:b/>
          <w:bCs/>
        </w:rPr>
        <w:t xml:space="preserve">Note on implementation</w:t>
      </w:r>
    </w:p>
    <w:p w:rsidR="00983F19" w:rsidP="00750824" w:rsidRDefault="00000000" w14:paraId="38B0D3C7" w14:textId="14DDC68A">
      <w:pPr>
        <w:jc w:val="both"/>
      </w:pPr>
      <w:r>
        <w:rPr>
          <w:i/>
          <w:iCs/>
        </w:rPr>
        <w:t xml:space="preserve">Enforcement of the Directive is a chain: there are two weak links. Collective proceedings without dissuasive penalties do not solve the problem </w:t>
      </w:r>
      <w:r w:rsidR="00D7386B">
        <w:rPr>
          <w:i/>
          <w:iCs/>
        </w:rPr>
        <w:t xml:space="preserve">– </w:t>
      </w:r>
      <w:r>
        <w:rPr>
          <w:i/>
          <w:iCs/>
        </w:rPr>
        <w:t xml:space="preserve">platforms will lose individual disputes but continue with systemic practices as long as this is financially more advantageous than complying </w:t>
      </w:r>
      <w:r w:rsidR="00B357A5">
        <w:rPr>
          <w:i/>
          <w:iCs/>
        </w:rPr>
        <w:t xml:space="preserve">with the law</w:t>
      </w:r>
      <w:r>
        <w:rPr>
          <w:i/>
          <w:iCs/>
        </w:rPr>
        <w:t xml:space="preserve">. Deterrent penalties without collective proceedings do not solve the problem </w:t>
      </w:r>
      <w:r w:rsidR="00D7386B">
        <w:rPr>
          <w:i/>
          <w:iCs/>
        </w:rPr>
        <w:t xml:space="preserve">– </w:t>
      </w:r>
      <w:r>
        <w:rPr>
          <w:i/>
          <w:iCs/>
        </w:rPr>
        <w:t xml:space="preserve">workers will not initiate proceedings they cannot afford. Both elements are essential at the same time. A third essential condition </w:t>
      </w:r>
      <w:r w:rsidR="00B357A5">
        <w:rPr>
          <w:i/>
          <w:iCs/>
        </w:rPr>
        <w:t xml:space="preserve">is that </w:t>
      </w:r>
      <w:r w:rsidR="00B357A5">
        <w:rPr>
          <w:i/>
          <w:iCs/>
        </w:rPr>
        <w:t xml:space="preserve">inspectorates</w:t>
      </w:r>
      <w:r>
        <w:rPr>
          <w:i/>
          <w:iCs/>
        </w:rPr>
        <w:t xml:space="preserve"> are</w:t>
      </w:r>
      <w:r w:rsidR="00B357A5">
        <w:rPr>
          <w:i/>
          <w:iCs/>
        </w:rPr>
        <w:t xml:space="preserve"> adequately </w:t>
      </w:r>
      <w:r>
        <w:rPr>
          <w:i/>
          <w:iCs/>
        </w:rPr>
        <w:t xml:space="preserve">funded and trained</w:t>
      </w:r>
      <w:r>
        <w:rPr>
          <w:i/>
          <w:iCs/>
        </w:rPr>
        <w:t xml:space="preserve">.</w:t>
      </w:r>
    </w:p>
    <w:p w:rsidR="00750824" w:rsidRDefault="00750824" w14:paraId="6F777EB7" w14:textId="77777777">
      <w:pPr>
        <w:rPr>
          <w:b/>
          <w:bCs/>
          <w:color w:val="1F3864"/>
          <w:sz w:val="36"/>
          <w:szCs w:val="36"/>
        </w:rPr>
      </w:pPr>
      <w:bookmarkStart w:name="X01c0a85e2beae09c886a0133721a09d77e9ac5a" w:id="67"/>
      <w:bookmarkEnd w:id="59"/>
      <w:bookmarkEnd w:id="66"/>
      <w:r>
        <w:br w:type="page"/>
      </w:r>
    </w:p>
    <w:p w:rsidR="00983F19" w:rsidP="00750824" w:rsidRDefault="00000000" w14:paraId="72B93E39" w14:textId="39F4629A">
      <w:pPr>
        <w:pStyle w:val="Naslov1"/>
        <w:jc w:val="both"/>
      </w:pPr>
      <w:bookmarkStart w:name="_Toc233699504" w:id="68"/>
      <w:r>
        <w:lastRenderedPageBreak/>
      </w:r>
      <w:r>
        <w:t xml:space="preserve">Chapter 8: The wider application of the Directive beyond </w:t>
      </w:r>
      <w:r>
        <w:t xml:space="preserve">platform </w:t>
      </w:r>
      <w:r>
        <w:t xml:space="preserve">work</w:t>
      </w:r>
      <w:bookmarkEnd w:id="68"/>
    </w:p>
    <w:p w:rsidR="00983F19" w:rsidP="00750824" w:rsidRDefault="00000000" w14:paraId="4795151B" w14:textId="602D88D5">
      <w:pPr>
        <w:jc w:val="both"/>
      </w:pPr>
      <w:r>
        <w:t xml:space="preserve">EU Directive 2024/2831 was adopted in response to </w:t>
      </w:r>
      <w:r>
        <w:t xml:space="preserve">the </w:t>
      </w:r>
      <w:r>
        <w:t xml:space="preserve">platform </w:t>
      </w:r>
      <w:r>
        <w:t xml:space="preserve">economy</w:t>
      </w:r>
      <w:r w:rsidR="00E923E8">
        <w:t xml:space="preserve">, </w:t>
      </w:r>
      <w:r>
        <w:t xml:space="preserve">but </w:t>
      </w:r>
      <w:r>
        <w:t xml:space="preserve">the</w:t>
      </w:r>
      <w:r w:rsidR="00E923E8">
        <w:t xml:space="preserve"> problems </w:t>
      </w:r>
      <w:r>
        <w:t xml:space="preserve">it addresses are not </w:t>
      </w:r>
      <w:r w:rsidR="00E923E8">
        <w:t xml:space="preserve">specific </w:t>
      </w:r>
      <w:r>
        <w:t xml:space="preserve">to </w:t>
      </w:r>
      <w:r>
        <w:t xml:space="preserve">Uber </w:t>
      </w:r>
      <w:r>
        <w:t xml:space="preserve">or </w:t>
      </w:r>
      <w:r>
        <w:t xml:space="preserve">Wolt</w:t>
      </w:r>
      <w:r>
        <w:t xml:space="preserve">. False self-employment, </w:t>
      </w:r>
      <w:r>
        <w:t xml:space="preserve">subcontracting </w:t>
      </w:r>
      <w:r>
        <w:t xml:space="preserve">chains designed to circumvent labour law obligations, and algorithmic management (AM) have </w:t>
      </w:r>
      <w:r w:rsidR="00E923E8">
        <w:t xml:space="preserve">simply </w:t>
      </w:r>
      <w:r>
        <w:t xml:space="preserve">manifested </w:t>
      </w:r>
      <w:r>
        <w:t xml:space="preserve">themselves </w:t>
      </w:r>
      <w:r>
        <w:t xml:space="preserve">in </w:t>
      </w:r>
      <w:r>
        <w:t xml:space="preserve">the</w:t>
      </w:r>
      <w:r w:rsidR="00E923E8">
        <w:t xml:space="preserve"> most obvious </w:t>
      </w:r>
      <w:r>
        <w:t xml:space="preserve">form </w:t>
      </w:r>
      <w:r>
        <w:t xml:space="preserve">in </w:t>
      </w:r>
      <w:r>
        <w:t xml:space="preserve">platform </w:t>
      </w:r>
      <w:r>
        <w:t xml:space="preserve">work</w:t>
      </w:r>
      <w:r>
        <w:t xml:space="preserve">. In sectors such as logistics and delivery, </w:t>
      </w:r>
      <w:r w:rsidR="00E923E8">
        <w:t xml:space="preserve">similar </w:t>
      </w:r>
      <w:r>
        <w:t xml:space="preserve">patterns </w:t>
      </w:r>
      <w:r>
        <w:t xml:space="preserve">are </w:t>
      </w:r>
      <w:r>
        <w:t xml:space="preserve">present, albeit without an app at the forefront. The Directive is therefore not merely a sector-specific regulation </w:t>
      </w:r>
      <w:r w:rsidR="00D7386B">
        <w:t xml:space="preserve">– </w:t>
      </w:r>
      <w:r>
        <w:t xml:space="preserve">it is a blueprint for a broader reform of labour law in the digital age.</w:t>
      </w:r>
    </w:p>
    <w:p w:rsidR="00983F19" w:rsidP="00750824" w:rsidRDefault="00000000" w14:paraId="3D578526" w14:textId="77777777">
      <w:pPr>
        <w:pStyle w:val="Naslov2"/>
        <w:jc w:val="both"/>
      </w:pPr>
      <w:bookmarkStart w:name="_Toc233699505" w:id="69"/>
      <w:bookmarkStart w:name="X09750c65b21f891164a18d50f383bfaf4ab216f" w:id="70"/>
      <w:r>
        <w:t xml:space="preserve">8.1 What the Directive allows beyond </w:t>
      </w:r>
      <w:r>
        <w:t xml:space="preserve">platform </w:t>
      </w:r>
      <w:r>
        <w:t xml:space="preserve">work</w:t>
      </w:r>
      <w:bookmarkEnd w:id="69"/>
    </w:p>
    <w:p w:rsidR="00983F19" w:rsidP="00750824" w:rsidRDefault="00000000" w14:paraId="619BE290" w14:textId="77777777">
      <w:pPr>
        <w:jc w:val="both"/>
      </w:pPr>
      <w:r>
        <w:t xml:space="preserve">Article 26(2) of the Directive is an explicit invitation to adopt a more ambitious transposition. The Directive does not affect the right of Member States to apply or introduce laws that are </w:t>
      </w:r>
      <w:r>
        <w:t xml:space="preserve">more favourable </w:t>
      </w:r>
      <w:r>
        <w:t xml:space="preserve">to </w:t>
      </w:r>
      <w:r>
        <w:t xml:space="preserve">platform </w:t>
      </w:r>
      <w:r>
        <w:t xml:space="preserve">workers,</w:t>
      </w:r>
      <w:r>
        <w:t xml:space="preserve"> in accordance with the objectives of the Directive</w:t>
      </w:r>
      <w:r>
        <w:t xml:space="preserve">, or to promote collective agreements that go beyond the minimum requirements. The Directive sets a floor, not a ceiling.</w:t>
      </w:r>
      <w:r>
        <w:rPr>
          <w:rStyle w:val="Sprotnaopomba-sklic"/>
        </w:rPr>
        <w:footnoteReference w:id="6"/>
      </w:r>
    </w:p>
    <w:p w:rsidR="00D90A18" w:rsidP="00750824" w:rsidRDefault="00D90A18" w14:paraId="344F8D66" w14:textId="77777777">
      <w:pPr>
        <w:jc w:val="both"/>
      </w:pPr>
    </w:p>
    <w:p w:rsidR="00983F19" w:rsidP="00750824" w:rsidRDefault="00000000" w14:paraId="6AF048C9" w14:textId="3A4CC47E">
      <w:pPr>
        <w:jc w:val="both"/>
      </w:pPr>
      <w:r>
        <w:t xml:space="preserve">Article 25 requires Member States to actively promote the role of the social partners and to enforce the right to collective bargaining in </w:t>
      </w:r>
      <w:r>
        <w:t xml:space="preserve">platform </w:t>
      </w:r>
      <w:r>
        <w:t xml:space="preserve">work </w:t>
      </w:r>
      <w:r w:rsidR="00D7386B">
        <w:t xml:space="preserve">– </w:t>
      </w:r>
      <w:r>
        <w:t xml:space="preserve">including the determination of the correct employment status and the enforcement of rights relating to algorithmic management (AM) and artificial intelligence (</w:t>
      </w:r>
      <w:r>
        <w:t xml:space="preserve">artificial </w:t>
      </w:r>
      <w:r>
        <w:t xml:space="preserve">intelligence</w:t>
      </w:r>
      <w:r>
        <w:t xml:space="preserve">, AI). The European Commission’s expert group has confirmed that these measures do not </w:t>
      </w:r>
      <w:r w:rsidR="00D17094">
        <w:t xml:space="preserve">need </w:t>
      </w:r>
      <w:r>
        <w:t xml:space="preserve">to be enshrined in separate legal provisions </w:t>
      </w:r>
      <w:r w:rsidR="00D7386B">
        <w:t xml:space="preserve">– </w:t>
      </w:r>
      <w:r>
        <w:t xml:space="preserve">it is sufficient for them to form part of broader policies or action plans.</w:t>
      </w:r>
    </w:p>
    <w:p w:rsidR="00D17094" w:rsidP="00750824" w:rsidRDefault="00D17094" w14:paraId="35B312B6" w14:textId="77777777">
      <w:pPr>
        <w:jc w:val="both"/>
      </w:pPr>
    </w:p>
    <w:p w:rsidR="00983F19" w:rsidP="00750824" w:rsidRDefault="00000000" w14:paraId="1F2532D8" w14:textId="26D37833">
      <w:pPr>
        <w:jc w:val="both"/>
      </w:pPr>
      <w:r>
        <w:t xml:space="preserve">The key argument for extending the directive beyond </w:t>
      </w:r>
      <w:r>
        <w:t xml:space="preserve">platform </w:t>
      </w:r>
      <w:r>
        <w:t xml:space="preserve">work stems from the nature of the problem itself: platforms have become </w:t>
      </w:r>
      <w:r w:rsidR="00D17094">
        <w:t xml:space="preserve">merely </w:t>
      </w:r>
      <w:r>
        <w:t xml:space="preserve">the most visible example, but not the only example</w:t>
      </w:r>
      <w:r>
        <w:t xml:space="preserve">, of </w:t>
      </w:r>
      <w:r>
        <w:t xml:space="preserve">subcontracting </w:t>
      </w:r>
      <w:r>
        <w:t xml:space="preserve">chains where it is unclear who the actual employer is and who bears responsibility for </w:t>
      </w:r>
      <w:r w:rsidR="00D17094">
        <w:t xml:space="preserve">ensuring workers’ labour and social rights</w:t>
      </w:r>
      <w:r>
        <w:t xml:space="preserve">. </w:t>
      </w:r>
      <w:r w:rsidR="00D17094">
        <w:t xml:space="preserve">Algorithmic management is not limited to platforms; </w:t>
      </w:r>
      <w:r>
        <w:t xml:space="preserve">it is </w:t>
      </w:r>
      <w:r w:rsidR="00D17094">
        <w:t xml:space="preserve">also</w:t>
      </w:r>
      <w:r>
        <w:t xml:space="preserve"> at work </w:t>
      </w:r>
      <w:r>
        <w:t xml:space="preserve">in warehouses</w:t>
      </w:r>
      <w:r w:rsidR="00D17094">
        <w:t xml:space="preserve">, </w:t>
      </w:r>
      <w:r>
        <w:t xml:space="preserve">call centres </w:t>
      </w:r>
      <w:r w:rsidR="00D17094">
        <w:t xml:space="preserve">and elsewhere</w:t>
      </w:r>
      <w:r>
        <w:t xml:space="preserve">.</w:t>
      </w:r>
    </w:p>
    <w:p w:rsidR="00983F19" w:rsidP="00750824" w:rsidRDefault="00000000" w14:paraId="711C4AA1" w14:textId="77777777">
      <w:pPr>
        <w:pStyle w:val="Naslov2"/>
        <w:jc w:val="both"/>
      </w:pPr>
      <w:bookmarkStart w:name="_Toc233699506" w:id="71"/>
      <w:bookmarkStart w:name="ugotovitve-iz-prakse-5" w:id="72"/>
      <w:bookmarkEnd w:id="70"/>
      <w:r>
        <w:t xml:space="preserve">8.2 Findings from practice</w:t>
      </w:r>
      <w:bookmarkEnd w:id="71"/>
    </w:p>
    <w:p w:rsidR="00983F19" w:rsidP="00750824" w:rsidRDefault="00000000" w14:paraId="6567EB3C" w14:textId="583FA04F">
      <w:pPr>
        <w:jc w:val="both"/>
      </w:pPr>
      <w:r>
        <w:rPr>
          <w:b/>
          <w:bCs/>
        </w:rPr>
        <w:t xml:space="preserve">Subcontracting </w:t>
      </w:r>
      <w:r>
        <w:rPr>
          <w:b/>
          <w:bCs/>
        </w:rPr>
        <w:t xml:space="preserve">chains and the obscuring of employer responsibility. </w:t>
      </w:r>
      <w:r>
        <w:t xml:space="preserve">A contribution to the SDDP project on intermediation in </w:t>
      </w:r>
      <w:r>
        <w:t xml:space="preserve">platform </w:t>
      </w:r>
      <w:r>
        <w:t xml:space="preserve">work documents that</w:t>
      </w:r>
      <w:r>
        <w:t xml:space="preserve">,</w:t>
      </w:r>
      <w:r>
        <w:t xml:space="preserve"> in almost half of the platforms analysed (see Chapter 2)</w:t>
      </w:r>
      <w:r>
        <w:t xml:space="preserve">,</w:t>
      </w:r>
      <w:r>
        <w:t xml:space="preserve"> </w:t>
      </w:r>
      <w:r>
        <w:t xml:space="preserve">subcontracting </w:t>
      </w:r>
      <w:r>
        <w:t xml:space="preserve">chains are not an anomaly but a structural component </w:t>
      </w:r>
      <w:r w:rsidR="000F63BC">
        <w:t xml:space="preserve">of their </w:t>
      </w:r>
      <w:r>
        <w:t xml:space="preserve">business model. The problem is not limited to platforms: in Germany, intermediary chains in the meat-processing industry were so complex that it was impossible to determine who the actual employer was and who bore legal responsibility for </w:t>
      </w:r>
      <w:r>
        <w:t xml:space="preserve">workers’ rights. In 2021, </w:t>
      </w:r>
      <w:r w:rsidR="000F63BC">
        <w:t xml:space="preserve">in response to the systematic obscuring of employer responsibility, </w:t>
      </w:r>
      <w:r>
        <w:t xml:space="preserve">Germany </w:t>
      </w:r>
      <w:r>
        <w:t xml:space="preserve">introduced a requirement for direct employment in this sector.</w:t>
      </w:r>
      <w:r>
        <w:rPr>
          <w:rStyle w:val="Sprotnaopomba-sklic"/>
        </w:rPr>
        <w:footnoteReference w:id="7"/>
      </w:r>
    </w:p>
    <w:p w:rsidR="00D90A18" w:rsidP="00750824" w:rsidRDefault="00D90A18" w14:paraId="5EB85A9A" w14:textId="77777777">
      <w:pPr>
        <w:jc w:val="both"/>
      </w:pPr>
    </w:p>
    <w:p w:rsidR="00983F19" w:rsidP="00750824" w:rsidRDefault="00000000" w14:paraId="61789ECF" w14:textId="385552FF">
      <w:pPr>
        <w:jc w:val="both"/>
      </w:pPr>
      <w:r>
        <w:rPr>
          <w:b/>
          <w:bCs/>
        </w:rPr>
        <w:lastRenderedPageBreak/>
      </w:r>
      <w:r>
        <w:rPr>
          <w:b/>
          <w:bCs/>
        </w:rPr>
        <w:t xml:space="preserve">Algorithmic management in warehouses and call centres. </w:t>
      </w:r>
      <w:r>
        <w:t xml:space="preserve">The Austrian contribution to the SDDP project documents that algorithmic management is not limited to platforms: systems for measuring productivity, algorithmic work allocation and automatic sanctions for deviations from the norm </w:t>
      </w:r>
      <w:r w:rsidR="000F63BC">
        <w:t xml:space="preserve">also </w:t>
      </w:r>
      <w:r>
        <w:t xml:space="preserve">operate </w:t>
      </w:r>
      <w:r>
        <w:t xml:space="preserve">in warehouses and call centres. The Directive regulates these practices in relation to platforms, but not in relation to all other employers</w:t>
      </w:r>
      <w:r w:rsidR="000F63BC">
        <w:t xml:space="preserve">, </w:t>
      </w:r>
      <w:r>
        <w:t xml:space="preserve">which creates an asymmetry between sectors.</w:t>
      </w:r>
    </w:p>
    <w:p w:rsidR="00D90A18" w:rsidP="00750824" w:rsidRDefault="00D90A18" w14:paraId="6B71555F" w14:textId="77777777">
      <w:pPr>
        <w:jc w:val="both"/>
      </w:pPr>
    </w:p>
    <w:p w:rsidR="00983F19" w:rsidP="00750824" w:rsidRDefault="00000000" w14:paraId="75E5061C" w14:textId="4B833C24">
      <w:pPr>
        <w:jc w:val="both"/>
      </w:pPr>
      <w:r>
        <w:rPr>
          <w:b/>
          <w:bCs/>
        </w:rPr>
        <w:t xml:space="preserve">False self-employment beyond platforms. </w:t>
      </w:r>
      <w:r>
        <w:t xml:space="preserve">In its guidelines for the implementation of the Directive (April 2025), the ZSSS notes that false self-employment in the Republic of Slovenia is widespread far beyond </w:t>
      </w:r>
      <w:r>
        <w:t xml:space="preserve">platform </w:t>
      </w:r>
      <w:r>
        <w:t xml:space="preserve">work. The ZSSS proposes that Slovenia adopt the principle whereby all work is deemed to be carried out under </w:t>
      </w:r>
      <w:r w:rsidR="00615F18">
        <w:t xml:space="preserve">an</w:t>
      </w:r>
      <w:r>
        <w:t xml:space="preserve"> employment relationship</w:t>
      </w:r>
      <w:r>
        <w:t xml:space="preserve">, unless the employer proves otherwise in advance. In this regard, the ZSSS proposes the establishment of a register recording all cases of atypical forms of work, together with the reasons for their use.</w:t>
      </w:r>
    </w:p>
    <w:p w:rsidR="00D90A18" w:rsidP="00750824" w:rsidRDefault="00D90A18" w14:paraId="6E284FE3" w14:textId="77777777">
      <w:pPr>
        <w:jc w:val="both"/>
      </w:pPr>
    </w:p>
    <w:p w:rsidR="00D90A18" w:rsidP="00750824" w:rsidRDefault="00000000" w14:paraId="1B8DB113" w14:textId="7EA14F35">
      <w:pPr>
        <w:jc w:val="both"/>
      </w:pPr>
      <w:r>
        <w:rPr>
          <w:b/>
          <w:bCs/>
        </w:rPr>
        <w:t xml:space="preserve">A collective agreement without provisions on working time is not sufficient protection. </w:t>
      </w:r>
      <w:r>
        <w:t xml:space="preserve">Two examples from partner countries clearly confirm this. The Austrian collective agreement for delivery workers (</w:t>
      </w:r>
      <w:r>
        <w:t xml:space="preserve">Gewerkschaft </w:t>
      </w:r>
      <w:r>
        <w:t xml:space="preserve">vida, valid 2023–2025) addressed </w:t>
      </w:r>
      <w:r w:rsidR="001E67F7">
        <w:t xml:space="preserve">issues of pay</w:t>
      </w:r>
      <w:r>
        <w:t xml:space="preserve">, </w:t>
      </w:r>
      <w:r w:rsidR="001E67F7">
        <w:t xml:space="preserve">working </w:t>
      </w:r>
      <w:r w:rsidR="001E67F7">
        <w:t xml:space="preserve">hours </w:t>
      </w:r>
      <w:r>
        <w:t xml:space="preserve">and </w:t>
      </w:r>
      <w:r w:rsidR="001E67F7">
        <w:t xml:space="preserve">reimbursement of expenses, </w:t>
      </w:r>
      <w:r w:rsidR="001E67F7">
        <w:t xml:space="preserve">but </w:t>
      </w:r>
      <w:r>
        <w:t xml:space="preserve">did not tackle </w:t>
      </w:r>
      <w:r>
        <w:t xml:space="preserve">algorithmic management</w:t>
      </w:r>
      <w:r>
        <w:t xml:space="preserve">. The trade union terminated the agreement in June 2025. The Italian collective agreement for Just </w:t>
      </w:r>
      <w:r>
        <w:t xml:space="preserve">Eat </w:t>
      </w:r>
      <w:r>
        <w:t xml:space="preserve">Takeaway </w:t>
      </w:r>
      <w:r>
        <w:t xml:space="preserve">/ </w:t>
      </w:r>
      <w:r>
        <w:t xml:space="preserve">Scoober </w:t>
      </w:r>
      <w:r>
        <w:t xml:space="preserve">couriers </w:t>
      </w:r>
      <w:r>
        <w:t xml:space="preserve">(in force from January 2025 to December 2027) goes a step further: couriers are </w:t>
      </w:r>
      <w:r w:rsidR="00615F18">
        <w:t xml:space="preserve">employed, </w:t>
      </w:r>
      <w:r>
        <w:t xml:space="preserve">and the agreement refers to </w:t>
      </w:r>
      <w:r w:rsidR="001E67F7">
        <w:t xml:space="preserve">the </w:t>
      </w:r>
      <w:r>
        <w:t xml:space="preserve">national </w:t>
      </w:r>
      <w:r w:rsidR="001E67F7">
        <w:t xml:space="preserve">collective agreement </w:t>
      </w:r>
      <w:r>
        <w:t xml:space="preserve">for logistics and transport (CCNL </w:t>
      </w:r>
      <w:r>
        <w:t xml:space="preserve">Logistics</w:t>
      </w:r>
      <w:r>
        <w:t xml:space="preserve">). </w:t>
      </w:r>
    </w:p>
    <w:p w:rsidR="00D90A18" w:rsidP="00750824" w:rsidRDefault="00D90A18" w14:paraId="25CEF840" w14:textId="77777777">
      <w:pPr>
        <w:jc w:val="both"/>
      </w:pPr>
    </w:p>
    <w:p w:rsidR="00983F19" w:rsidP="00750824" w:rsidRDefault="00000000" w14:paraId="10167AA2" w14:textId="5AD59B41">
      <w:pPr>
        <w:jc w:val="both"/>
      </w:pPr>
      <w:r>
        <w:t xml:space="preserve">Nevertheless, the contract contains no provisions on the transparency of algorithmic parameters, even though </w:t>
      </w:r>
      <w:r w:rsidR="001E67F7">
        <w:t xml:space="preserve">the performance bonus </w:t>
      </w:r>
      <w:r>
        <w:t xml:space="preserve">(PDR) depends on algorithmic criteria </w:t>
      </w:r>
      <w:r w:rsidR="00D7386B">
        <w:t xml:space="preserve">– </w:t>
      </w:r>
      <w:r>
        <w:t xml:space="preserve">an availability rate of over 93 per cent and productivity of over 1.85 orders per hour </w:t>
      </w:r>
      <w:r w:rsidR="00D7386B">
        <w:t xml:space="preserve">– </w:t>
      </w:r>
      <w:r>
        <w:t xml:space="preserve">without any provisions on how these criteria are calculated or who can challenge them</w:t>
      </w:r>
      <w:r>
        <w:t xml:space="preserve">.</w:t>
      </w:r>
      <w:r>
        <w:t xml:space="preserve"> The common lesson from both cases: a collective agreement that does not regulate </w:t>
      </w:r>
      <w:r w:rsidR="001E67F7">
        <w:t xml:space="preserve">algorithmic management </w:t>
      </w:r>
      <w:r>
        <w:t xml:space="preserve">does not ensure comprehensive protection in </w:t>
      </w:r>
      <w:r>
        <w:t xml:space="preserve">the </w:t>
      </w:r>
      <w:r>
        <w:t xml:space="preserve">platform </w:t>
      </w:r>
      <w:r>
        <w:t xml:space="preserve">economy</w:t>
      </w:r>
      <w:r w:rsidR="00645F58">
        <w:t xml:space="preserve">.</w:t>
      </w:r>
      <w:r>
        <w:rPr>
          <w:rStyle w:val="Sprotnaopomba-sklic"/>
        </w:rPr>
        <w:footnoteReference w:id="8"/>
      </w:r>
      <w:r w:rsidR="00645F58">
        <w:t xml:space="preserve"> </w:t>
      </w:r>
      <w:r>
        <w:rPr>
          <w:rStyle w:val="Sprotnaopomba-sklic"/>
        </w:rPr>
        <w:footnoteReference w:id="9"/>
      </w:r>
    </w:p>
    <w:p w:rsidR="00D90A18" w:rsidP="00750824" w:rsidRDefault="00D90A18" w14:paraId="496B41FD" w14:textId="77777777">
      <w:pPr>
        <w:jc w:val="both"/>
      </w:pPr>
    </w:p>
    <w:p w:rsidR="00983F19" w:rsidP="00750824" w:rsidRDefault="00000000" w14:paraId="32CF5609" w14:textId="04E24715">
      <w:pPr>
        <w:jc w:val="both"/>
      </w:pPr>
      <w:r>
        <w:rPr>
          <w:b/>
          <w:bCs/>
        </w:rPr>
        <w:t xml:space="preserve">Non-disclosure agreements as a tool of pressure. </w:t>
      </w:r>
      <w:r>
        <w:t xml:space="preserve">When negotiating </w:t>
      </w:r>
      <w:r>
        <w:t xml:space="preserve">collective agreements with</w:t>
      </w:r>
      <w:r>
        <w:t xml:space="preserve"> </w:t>
      </w:r>
      <w:r>
        <w:t xml:space="preserve">platform </w:t>
      </w:r>
      <w:r>
        <w:t xml:space="preserve">corporations and when demanding data on algorithmic management</w:t>
      </w:r>
      <w:r w:rsidR="00645F58">
        <w:t xml:space="preserve">, </w:t>
      </w:r>
      <w:r>
        <w:t xml:space="preserve">platforms require trade unions to sign a </w:t>
      </w:r>
      <w:r>
        <w:t xml:space="preserve">non-disclosure</w:t>
      </w:r>
      <w:r>
        <w:t xml:space="preserve"> </w:t>
      </w:r>
      <w:r>
        <w:t xml:space="preserve">agreement</w:t>
      </w:r>
      <w:r>
        <w:t xml:space="preserve"> </w:t>
      </w:r>
      <w:r w:rsidR="00645F58">
        <w:t xml:space="preserve">(</w:t>
      </w:r>
      <w:r>
        <w:t xml:space="preserve">NDA</w:t>
      </w:r>
      <w:r>
        <w:t xml:space="preserve">). In doing so, they not only restrict trade unions’ ability to engage in public debate, but also intimidate them into refraining from lodging complaints and exercising the rights explicitly guaranteed by the Directive. Article 9 of the Directive imposes a proactive obligation on platforms to inform trade union representatives about AM/AI systems </w:t>
      </w:r>
      <w:r w:rsidR="00D7386B">
        <w:t xml:space="preserve">– </w:t>
      </w:r>
      <w:r>
        <w:t xml:space="preserve">this obligation cannot be made conditional on the signing of an agreement. Article 22 of the Directive prohibits any detrimental treatment of individuals and their representatives who exercise the rights set out in the Directive.</w:t>
      </w:r>
    </w:p>
    <w:p w:rsidR="00D90A18" w:rsidP="00750824" w:rsidRDefault="00D90A18" w14:paraId="572469EA" w14:textId="77777777">
      <w:pPr>
        <w:jc w:val="both"/>
      </w:pPr>
    </w:p>
    <w:p w:rsidR="00983F19" w:rsidP="00750824" w:rsidRDefault="00000000" w14:paraId="2B001D43" w14:textId="74333029">
      <w:pPr>
        <w:jc w:val="both"/>
      </w:pPr>
      <w:r>
        <w:rPr>
          <w:b/>
          <w:bCs/>
        </w:rPr>
        <w:t xml:space="preserve">The benefits of AM for workers, not just for employers. </w:t>
      </w:r>
      <w:r>
        <w:t xml:space="preserve">In its guidelines, the ZSSS points out that the introduction of AM and AI systems must also bring benefits to workers </w:t>
      </w:r>
      <w:r w:rsidR="00D7386B">
        <w:t xml:space="preserve">– </w:t>
      </w:r>
      <w:r>
        <w:t xml:space="preserve">through better organisation of work, higher wages, a reduction in repetitive tasks and the possibility of a reduction</w:t>
      </w:r>
      <w:r>
        <w:lastRenderedPageBreak/>
      </w:r>
      <w:r>
        <w:t xml:space="preserve"> in working hours. Regulating AM solely as a matter of supervision, without requiring a fair distribution of benefits, is insufficient.</w:t>
      </w:r>
    </w:p>
    <w:p w:rsidR="00983F19" w:rsidP="00750824" w:rsidRDefault="00000000" w14:paraId="3E6F525B" w14:textId="77777777">
      <w:pPr>
        <w:pStyle w:val="Naslov2"/>
        <w:jc w:val="both"/>
      </w:pPr>
      <w:bookmarkStart w:name="_Toc233699507" w:id="73"/>
      <w:bookmarkStart w:name="priporočila-5" w:id="74"/>
      <w:bookmarkEnd w:id="72"/>
      <w:r>
        <w:t xml:space="preserve">8.3 Recommendations</w:t>
      </w:r>
      <w:bookmarkEnd w:id="73"/>
    </w:p>
    <w:p w:rsidRPr="00D90A18" w:rsidR="00983F19" w:rsidP="00750824" w:rsidRDefault="00000000" w14:paraId="4FB73DAE" w14:textId="77777777">
      <w:pPr>
        <w:jc w:val="both"/>
        <w:rPr>
          <w:i/>
          <w:iCs/>
        </w:rPr>
      </w:pPr>
      <w:r>
        <w:rPr>
          <w:rStyle w:val="Poudarek"/>
        </w:rPr>
        <w:t xml:space="preserve">The following recommendations are addressed to the ministries of labour and social partners in all EU Member States, as well as to the ETUC.</w:t>
      </w:r>
    </w:p>
    <w:p w:rsidRPr="00D90A18" w:rsidR="00983F19" w:rsidP="00750824" w:rsidRDefault="00000000" w14:paraId="44040075" w14:textId="77777777">
      <w:pPr>
        <w:pStyle w:val="Naslov3"/>
        <w:jc w:val="both"/>
      </w:pPr>
      <w:r>
        <w:t xml:space="preserve">Recommendation 8.1 [GOES BEYOND THE MINIMUM]: Prohibition of the misuse of confidentiality agreements in relation to trade union representatives</w:t>
      </w:r>
    </w:p>
    <w:p w:rsidR="00983F19" w:rsidP="00750824" w:rsidRDefault="00000000" w14:paraId="68926663" w14:textId="7D7DDDE1">
      <w:pPr>
        <w:jc w:val="both"/>
      </w:pPr>
      <w:r>
        <w:t xml:space="preserve">The requirement to sign a confidentiality agreement as a condition for access to information to which trade union representatives are already entitled under the Directive is </w:t>
      </w:r>
      <w:r w:rsidR="00885168">
        <w:t xml:space="preserve">prohibited </w:t>
      </w:r>
      <w:r>
        <w:t xml:space="preserve">under Article 22 of the Directive.</w:t>
      </w:r>
    </w:p>
    <w:p w:rsidRPr="00D90A18" w:rsidR="00D90A18" w:rsidP="00750824" w:rsidRDefault="00D90A18" w14:paraId="536ED4A8" w14:textId="77777777">
      <w:pPr>
        <w:jc w:val="both"/>
      </w:pPr>
    </w:p>
    <w:p w:rsidR="00983F19" w:rsidP="00750824" w:rsidRDefault="00000000" w14:paraId="5DE11210" w14:textId="1875A5AC">
      <w:pPr>
        <w:jc w:val="both"/>
      </w:pPr>
      <w:r>
        <w:t xml:space="preserve">Ministries </w:t>
      </w:r>
      <w:r w:rsidR="00885168">
        <w:t xml:space="preserve">should </w:t>
      </w:r>
      <w:r>
        <w:t xml:space="preserve">implement this prohibition in the transposition legislation: a confidentiality agreement must not prevent a trade union from lodging complaints or submitting information to the courts. Furthermore, any contractual clauses prohibiting workers from disclosing their working conditions are invalid </w:t>
      </w:r>
      <w:r w:rsidR="00D7386B">
        <w:t xml:space="preserve">– </w:t>
      </w:r>
      <w:r>
        <w:t xml:space="preserve">in accordance </w:t>
      </w:r>
      <w:r w:rsidR="00885168">
        <w:t xml:space="preserve">with </w:t>
      </w:r>
      <w:r>
        <w:t xml:space="preserve">Pillar III of the Protocol and Articles 14 and 22 of the Directive. A breach by a platform company is deemed to be a breach of the Directive and is subject to sanctions under Article 24.</w:t>
      </w:r>
    </w:p>
    <w:p w:rsidRPr="00D90A18" w:rsidR="00885168" w:rsidP="00750824" w:rsidRDefault="00885168" w14:paraId="07CA53AF" w14:textId="77777777">
      <w:pPr>
        <w:jc w:val="both"/>
      </w:pPr>
    </w:p>
    <w:p w:rsidRPr="00D90A18" w:rsidR="00983F19" w:rsidP="00750824" w:rsidRDefault="00000000" w14:paraId="1E7ED245" w14:textId="77777777">
      <w:pPr>
        <w:pStyle w:val="Blokbesedila"/>
      </w:pPr>
      <w:r>
        <w:t xml:space="preserve">Background: Article 9: proactive obligation to inform trade union representatives about AM/AI. Article 22: prohibition of detriment against persons exercising their rights under the Directive.</w:t>
      </w:r>
    </w:p>
    <w:p w:rsidRPr="00D90A18" w:rsidR="00983F19" w:rsidP="00750824" w:rsidRDefault="00000000" w14:paraId="02556E79" w14:textId="77777777">
      <w:pPr>
        <w:jc w:val="both"/>
      </w:pPr>
      <w:r>
        <w:t xml:space="preserve"> </w:t>
      </w:r>
    </w:p>
    <w:p w:rsidRPr="00D90A18" w:rsidR="00983F19" w:rsidP="00750824" w:rsidRDefault="00000000" w14:paraId="227BBD6C" w14:textId="77777777">
      <w:pPr>
        <w:pStyle w:val="Naslov3"/>
        <w:jc w:val="both"/>
      </w:pPr>
      <w:r>
        <w:t xml:space="preserve">Recommendation 8.2 [AMBITIOUS]: Equal regulation of subcontracting chains in sectors with a high degree of intermediation</w:t>
      </w:r>
    </w:p>
    <w:p w:rsidR="00983F19" w:rsidP="00750824" w:rsidRDefault="00885168" w14:paraId="001EAB30" w14:textId="31B7457E">
      <w:pPr>
        <w:jc w:val="both"/>
      </w:pPr>
      <w:r w:rsidR="00A25A76">
        <w:t xml:space="preserve">Joint </w:t>
      </w:r>
      <w:r>
        <w:t xml:space="preserve">and</w:t>
      </w:r>
      <w:r w:rsidR="00A25A76">
        <w:t xml:space="preserve"> several </w:t>
      </w:r>
      <w:r>
        <w:t xml:space="preserve">liability and the recording of subcontracting chains must not be limited to the platform sector.</w:t>
      </w:r>
    </w:p>
    <w:p w:rsidRPr="00D90A18" w:rsidR="00D90A18" w:rsidP="00750824" w:rsidRDefault="00D90A18" w14:paraId="3399F77A" w14:textId="77777777">
      <w:pPr>
        <w:jc w:val="both"/>
      </w:pPr>
    </w:p>
    <w:p w:rsidR="00983F19" w:rsidP="00750824" w:rsidRDefault="00000000" w14:paraId="34B7CF26" w14:textId="77777777">
      <w:pPr>
        <w:jc w:val="both"/>
      </w:pPr>
      <w:r>
        <w:t xml:space="preserve">Ministries, in partnership with inspectorates, should examine the extent of subcontracting chains in sectors with a documented high level of intermediation and propose legislative measures to clearly define employer liability throughout the entire chain. We call on the ETUC to support its own proposal for a directive on subcontracting and agency work from November 2025.</w:t>
      </w:r>
    </w:p>
    <w:p w:rsidRPr="00D90A18" w:rsidR="00885168" w:rsidP="00750824" w:rsidRDefault="00885168" w14:paraId="01947D24" w14:textId="77777777">
      <w:pPr>
        <w:jc w:val="both"/>
      </w:pPr>
    </w:p>
    <w:p w:rsidRPr="00D90A18" w:rsidR="00983F19" w:rsidP="00750824" w:rsidRDefault="00000000" w14:paraId="0A92C624" w14:textId="1F93BCCD">
      <w:pPr>
        <w:pStyle w:val="Blokbesedila"/>
      </w:pPr>
      <w:r>
        <w:t xml:space="preserve">Background: Germany 2021: a demand for direct employment in the meat processing industry in response to the systematic obscuring of employer liability. ETUC November 2025: </w:t>
      </w:r>
      <w:r w:rsidR="00A25A76">
        <w:t xml:space="preserve">joint and several </w:t>
      </w:r>
      <w:r>
        <w:t xml:space="preserve">liability for wages, social security contributions and the right to organise.</w:t>
      </w:r>
    </w:p>
    <w:p w:rsidRPr="00D90A18" w:rsidR="00983F19" w:rsidP="00750824" w:rsidRDefault="00000000" w14:paraId="3BC804AE" w14:textId="77777777">
      <w:pPr>
        <w:jc w:val="both"/>
      </w:pPr>
      <w:r>
        <w:t xml:space="preserve"> </w:t>
      </w:r>
    </w:p>
    <w:p w:rsidRPr="00D90A18" w:rsidR="00983F19" w:rsidP="00750824" w:rsidRDefault="00000000" w14:paraId="03686A7F" w14:textId="77777777">
      <w:pPr>
        <w:pStyle w:val="Naslov3"/>
        <w:jc w:val="both"/>
      </w:pPr>
      <w:r>
        <w:t xml:space="preserve">Recommendation 8.3 [EXCEEDS THE MINIMUM]: The digital workplace as a legal standard for trade union rights</w:t>
      </w:r>
    </w:p>
    <w:p w:rsidR="00983F19" w:rsidP="00750824" w:rsidRDefault="00000000" w14:paraId="57CA3119" w14:textId="77777777">
      <w:pPr>
        <w:jc w:val="both"/>
      </w:pPr>
      <w:r>
        <w:t xml:space="preserve">The Transfer Act defines the digital workplace as equivalent to a physical workplace for the purposes of exercising trade union rights.</w:t>
      </w:r>
    </w:p>
    <w:p w:rsidRPr="00D90A18" w:rsidR="00D90A18" w:rsidP="00750824" w:rsidRDefault="00D90A18" w14:paraId="02CA774F" w14:textId="77777777">
      <w:pPr>
        <w:jc w:val="both"/>
      </w:pPr>
    </w:p>
    <w:p w:rsidR="00983F19" w:rsidP="00750824" w:rsidRDefault="00000000" w14:paraId="2C4FC267" w14:textId="62D52123">
      <w:pPr>
        <w:jc w:val="both"/>
      </w:pPr>
      <w:r>
        <w:t xml:space="preserve">A trade union representative whose account has been deactivated by a platform for exercising trade union rights enjoys the same protection as a worker whose </w:t>
      </w:r>
      <w:r w:rsidR="00885168">
        <w:t xml:space="preserve">employment </w:t>
      </w:r>
      <w:r>
        <w:t xml:space="preserve">contract has been terminated by their employer</w:t>
      </w:r>
      <w:r w:rsidR="00885168">
        <w:lastRenderedPageBreak/>
      </w:r>
      <w:r w:rsidR="00885168">
        <w:t xml:space="preserve"> </w:t>
      </w:r>
      <w:r>
        <w:t xml:space="preserve">. The prohibition of discrimination on the grounds of trade union membership applies to all those who carry out work via a digital platform, regardless of their formal status.</w:t>
      </w:r>
    </w:p>
    <w:p w:rsidRPr="00D90A18" w:rsidR="00885168" w:rsidP="00750824" w:rsidRDefault="00885168" w14:paraId="3D85F254" w14:textId="77777777">
      <w:pPr>
        <w:jc w:val="both"/>
      </w:pPr>
    </w:p>
    <w:p w:rsidRPr="00D90A18" w:rsidR="00983F19" w:rsidP="00750824" w:rsidRDefault="00000000" w14:paraId="0AE1C5CF" w14:textId="77777777">
      <w:pPr>
        <w:pStyle w:val="Blokbesedila"/>
      </w:pPr>
      <w:r>
        <w:t xml:space="preserve">Background: Wolt’s draft collective agreement (ZSSS and Sindikat Mladi plus, 2025), Article 17: the app is considered a digital workplace. ZSSS guidelines 2025.</w:t>
      </w:r>
    </w:p>
    <w:p w:rsidRPr="00D90A18" w:rsidR="00983F19" w:rsidP="00750824" w:rsidRDefault="00000000" w14:paraId="126E5F42" w14:textId="77777777">
      <w:pPr>
        <w:pStyle w:val="Naslov3"/>
        <w:jc w:val="both"/>
      </w:pPr>
      <w:r>
        <w:t xml:space="preserve">Recommendation 8.4 [EXCEEDS THE MINIMUM]: Trade union noticeboard in the app: a right, not a favour</w:t>
      </w:r>
    </w:p>
    <w:p w:rsidR="00983F19" w:rsidP="00750824" w:rsidRDefault="00000000" w14:paraId="2F491E46" w14:textId="61A4F5E9">
      <w:pPr>
        <w:jc w:val="both"/>
      </w:pPr>
      <w:r>
        <w:t xml:space="preserve">The platform </w:t>
      </w:r>
      <w:r w:rsidR="00885168">
        <w:t xml:space="preserve">within the app </w:t>
      </w:r>
      <w:r>
        <w:t xml:space="preserve">provides a space where the trade union is free to post messages to workers </w:t>
      </w:r>
      <w:r w:rsidR="00D7386B">
        <w:t xml:space="preserve">– </w:t>
      </w:r>
      <w:r>
        <w:t xml:space="preserve">without prior approval from the platform.</w:t>
      </w:r>
    </w:p>
    <w:p w:rsidRPr="00D90A18" w:rsidR="00D90A18" w:rsidP="00750824" w:rsidRDefault="00D90A18" w14:paraId="231B3F38" w14:textId="77777777">
      <w:pPr>
        <w:jc w:val="both"/>
      </w:pPr>
    </w:p>
    <w:p w:rsidR="00983F19" w:rsidP="00750824" w:rsidRDefault="00000000" w14:paraId="67550E60" w14:textId="41B328D0">
      <w:pPr>
        <w:jc w:val="both"/>
      </w:pPr>
      <w:r>
        <w:t xml:space="preserve">The trade union has the right </w:t>
      </w:r>
      <w:r w:rsidR="00FA3434">
        <w:t xml:space="preserve">to communicate</w:t>
      </w:r>
      <w:r>
        <w:t xml:space="preserve"> directly </w:t>
      </w:r>
      <w:r w:rsidR="00FA3434">
        <w:t xml:space="preserve">with </w:t>
      </w:r>
      <w:r>
        <w:t xml:space="preserve">all workers via the app </w:t>
      </w:r>
      <w:r>
        <w:t xml:space="preserve">at least twice a month</w:t>
      </w:r>
      <w:r>
        <w:t xml:space="preserve">. The platform must not monitor the content of these messages or restrict workers’ access to them. Article 20 of the Directive requires the platform to provide digital communication channels that enable workers and their representatives to communicate privately and securely, whilst the platform must refrain from accessing or monitoring these communications.</w:t>
      </w:r>
      <w:r w:rsidRPr="00016B3D">
        <w:rPr>
          <w:rStyle w:val="Sprotnaopomba-sklic"/>
          <w:sz w:val="16"/>
          <w:szCs w:val="16"/>
          <w:vertAlign w:val="baseline"/>
        </w:rPr>
        <w:footnoteReference w:id="10"/>
      </w:r>
    </w:p>
    <w:p w:rsidRPr="00D90A18" w:rsidR="00885168" w:rsidP="00750824" w:rsidRDefault="00885168" w14:paraId="0186C3AD" w14:textId="77777777">
      <w:pPr>
        <w:jc w:val="both"/>
      </w:pPr>
    </w:p>
    <w:p w:rsidRPr="00D90A18" w:rsidR="00983F19" w:rsidP="00750824" w:rsidRDefault="00000000" w14:paraId="45155A35" w14:textId="77777777">
      <w:pPr>
        <w:pStyle w:val="Blokbesedila"/>
      </w:pPr>
      <w:r>
        <w:t xml:space="preserve">Background: Wolt’s draft collective agreement, Article 14: a tab in the app for trade union notices, a push notification twice a month, a ban on covert monitoring of trade union groups. ZSSS guidelines 2025.</w:t>
      </w:r>
    </w:p>
    <w:p w:rsidR="00983F19" w:rsidP="00750824" w:rsidRDefault="00000000" w14:paraId="5F327B38" w14:textId="77777777">
      <w:pPr>
        <w:jc w:val="both"/>
      </w:pPr>
      <w:r>
        <w:t xml:space="preserve"> </w:t>
      </w:r>
    </w:p>
    <w:p w:rsidRPr="00D90A18" w:rsidR="00983F19" w:rsidP="00750824" w:rsidRDefault="00000000" w14:paraId="2EADF6A0" w14:textId="4B93A713">
      <w:pPr>
        <w:jc w:val="both"/>
        <w:rPr>
          <w:rStyle w:val="Poudarek"/>
        </w:rPr>
      </w:pPr>
      <w:r>
        <w:rPr>
          <w:rStyle w:val="Poudarek"/>
        </w:rPr>
        <w:t xml:space="preserve">From a legal perspective, the Platform Work Directive is sector-specific legislation. From a political perspective, it is a prototype. It is not </w:t>
      </w:r>
      <w:r w:rsidR="00FA3434">
        <w:rPr>
          <w:rStyle w:val="Poudarek"/>
        </w:rPr>
        <w:t xml:space="preserve">merely </w:t>
      </w:r>
      <w:r>
        <w:rPr>
          <w:rStyle w:val="Poudarek"/>
        </w:rPr>
        <w:t xml:space="preserve">a matter of protecting </w:t>
      </w:r>
      <w:r w:rsidR="00FA3434">
        <w:rPr>
          <w:rStyle w:val="Poudarek"/>
        </w:rPr>
        <w:t xml:space="preserve">workers </w:t>
      </w:r>
      <w:r>
        <w:rPr>
          <w:rStyle w:val="Poudarek"/>
        </w:rPr>
        <w:t xml:space="preserve">from </w:t>
      </w:r>
      <w:r w:rsidR="00FA3434">
        <w:rPr>
          <w:rStyle w:val="Poudarek"/>
        </w:rPr>
        <w:t xml:space="preserve">platforms</w:t>
      </w:r>
      <w:r>
        <w:rPr>
          <w:rStyle w:val="Poudarek"/>
        </w:rPr>
        <w:t xml:space="preserve">, but of establishing a standard whereby </w:t>
      </w:r>
      <w:r w:rsidR="00FA3434">
        <w:rPr>
          <w:rStyle w:val="Poudarek"/>
        </w:rPr>
        <w:t xml:space="preserve">platform operators</w:t>
      </w:r>
      <w:r>
        <w:rPr>
          <w:rStyle w:val="Poudarek"/>
        </w:rPr>
        <w:t xml:space="preserve">, </w:t>
      </w:r>
      <w:r>
        <w:rPr>
          <w:rStyle w:val="Poudarek"/>
        </w:rPr>
        <w:t xml:space="preserve">subcontracting </w:t>
      </w:r>
      <w:r>
        <w:rPr>
          <w:rStyle w:val="Poudarek"/>
        </w:rPr>
        <w:t xml:space="preserve">chains and bogus self-employment cannot be legitimate tools for circumventing labour law obligations in any </w:t>
      </w:r>
      <w:r w:rsidR="00FA3434">
        <w:rPr>
          <w:rStyle w:val="Poudarek"/>
        </w:rPr>
        <w:t xml:space="preserve">industry or sector</w:t>
      </w:r>
      <w:r>
        <w:rPr>
          <w:rStyle w:val="Poudarek"/>
        </w:rPr>
        <w:t xml:space="preserve">. Article 26(2) of the Directive provides the legal basis for this step. It is the will of the social partners and governments that will determine whether or not it is implemented.</w:t>
      </w:r>
    </w:p>
    <w:p w:rsidR="00983F19" w:rsidP="00750824" w:rsidRDefault="00000000" w14:paraId="62DB2573" w14:textId="77777777">
      <w:pPr>
        <w:jc w:val="both"/>
      </w:pPr>
      <w:r>
        <w:t xml:space="preserve"> </w:t>
      </w:r>
    </w:p>
    <w:p w:rsidR="00983F19" w:rsidP="00750824" w:rsidRDefault="00000000" w14:paraId="0C389801" w14:textId="77777777">
      <w:pPr>
        <w:jc w:val="both"/>
      </w:pPr>
      <w:r>
        <w:rPr>
          <w:rStyle w:val="Sprotnaopomba-sklic"/>
        </w:rPr>
        <w:footnoteReference w:id="11"/>
      </w:r>
      <w:r>
        <w:t xml:space="preserve"> EU Directive 2024/2831, Article 20, original text in Slovenian (abridged): </w:t>
      </w:r>
      <w:r>
        <w:rPr>
          <w:i/>
          <w:iCs/>
        </w:rPr>
        <w:t xml:space="preserve">‘Member States shall take the necessary measures to ensure that digital labour platforms provide persons performing platform work with the opportunity to establish contact and communicate privately and securely with one another via digital infrastructure or similarly effective means, and to contact representatives. Member States shall require digital labour platforms to refrain from accessing or monitoring such contacts and communications</w:t>
      </w:r>
      <w:r>
        <w:t xml:space="preserve">.”</w:t>
      </w:r>
    </w:p>
    <w:p w:rsidR="00750824" w:rsidRDefault="00750824" w14:paraId="369C81FF" w14:textId="77777777">
      <w:pPr>
        <w:rPr>
          <w:b/>
          <w:bCs/>
          <w:color w:val="1F3864"/>
          <w:sz w:val="36"/>
          <w:szCs w:val="36"/>
        </w:rPr>
      </w:pPr>
      <w:bookmarkStart w:name="X76a8c6d7513e997c1970b7e156028d704c0f862" w:id="75"/>
      <w:bookmarkEnd w:id="67"/>
      <w:bookmarkEnd w:id="74"/>
      <w:r>
        <w:br w:type="page"/>
      </w:r>
    </w:p>
    <w:p w:rsidR="00983F19" w:rsidP="00750824" w:rsidRDefault="00000000" w14:paraId="722C0F10" w14:textId="56452B57">
      <w:pPr>
        <w:pStyle w:val="Naslov1"/>
        <w:jc w:val="both"/>
      </w:pPr>
      <w:bookmarkStart w:name="_Toc233699508" w:id="76"/>
      <w:r>
        <w:lastRenderedPageBreak/>
      </w:r>
      <w:r>
        <w:t xml:space="preserve">Chapter 9: Implementation challenges and avoidance strategies</w:t>
      </w:r>
      <w:bookmarkEnd w:id="76"/>
    </w:p>
    <w:p w:rsidR="00983F19" w:rsidP="00750824" w:rsidRDefault="00000000" w14:paraId="1F4ADB91" w14:textId="1621F7E7">
      <w:pPr>
        <w:jc w:val="both"/>
      </w:pPr>
      <w:r>
        <w:t xml:space="preserve">The Directive has been adopted. The deadline for transposition is December 2026. However, the adoption of the Directive and its actual implementation are two separate matters. Experience from partner countries shows that the challenges of implementation are predictable </w:t>
      </w:r>
      <w:r w:rsidR="00D7386B">
        <w:t xml:space="preserve">– </w:t>
      </w:r>
      <w:r>
        <w:t xml:space="preserve">platform </w:t>
      </w:r>
      <w:r>
        <w:t xml:space="preserve">corporations are studying them intensively, whilst trade unions and ministries must prepare for them before </w:t>
      </w:r>
      <w:r>
        <w:t xml:space="preserve">they arise. </w:t>
      </w:r>
      <w:r>
        <w:t xml:space="preserve">This chapter systematises the documented challenges and proposes a preventive measure for each one.</w:t>
      </w:r>
    </w:p>
    <w:p w:rsidR="00D90A18" w:rsidP="00750824" w:rsidRDefault="00D90A18" w14:paraId="15D5FBCE" w14:textId="77777777">
      <w:pPr>
        <w:jc w:val="both"/>
      </w:pPr>
    </w:p>
    <w:p w:rsidR="00983F19" w:rsidP="00750824" w:rsidRDefault="00000000" w14:paraId="4D29D52B" w14:textId="3A60F30B">
      <w:pPr>
        <w:jc w:val="both"/>
      </w:pPr>
      <w:r>
        <w:t xml:space="preserve">The common thread: </w:t>
      </w:r>
      <w:r>
        <w:rPr>
          <w:b/>
          <w:bCs/>
        </w:rPr>
        <w:t xml:space="preserve">the challenges are predictable. </w:t>
      </w:r>
      <w:r>
        <w:t xml:space="preserve">Avoidance strategies have been </w:t>
      </w:r>
      <w:r w:rsidR="008C7863">
        <w:t xml:space="preserve">observed </w:t>
      </w:r>
      <w:r>
        <w:t xml:space="preserve">in Spain following </w:t>
      </w:r>
      <w:r>
        <w:t xml:space="preserve">the Delivery Workers</w:t>
      </w:r>
      <w:r w:rsidR="008C7863">
        <w:t xml:space="preserve"> Act</w:t>
      </w:r>
      <w:r>
        <w:t xml:space="preserve">, as well as in Germany, Poland and Italy. Ministries must address them proactively, not reactively.</w:t>
      </w:r>
    </w:p>
    <w:p w:rsidR="00983F19" w:rsidP="00750824" w:rsidRDefault="00000000" w14:paraId="58E3A976" w14:textId="77777777">
      <w:pPr>
        <w:pStyle w:val="Naslov2"/>
        <w:jc w:val="both"/>
      </w:pPr>
      <w:bookmarkStart w:name="_Toc233699509" w:id="77"/>
      <w:bookmarkStart w:name="strukturni-izzivi-implementacije" w:id="78"/>
      <w:r>
        <w:t xml:space="preserve">9.1 Structural challenges of implementation</w:t>
      </w:r>
      <w:bookmarkEnd w:id="77"/>
    </w:p>
    <w:p w:rsidR="00983F19" w:rsidP="00750824" w:rsidRDefault="00000000" w14:paraId="30E901B7" w14:textId="77777777">
      <w:pPr>
        <w:pStyle w:val="RedBlock"/>
      </w:pPr>
      <w:r>
        <w:rPr>
          <w:b/>
          <w:bCs/>
        </w:rPr>
        <w:t xml:space="preserve">Challenge 9.1: The political calendar: elections, caretaker governments and delays</w:t>
      </w:r>
    </w:p>
    <w:p w:rsidR="00983F19" w:rsidP="00750824" w:rsidRDefault="00000000" w14:paraId="75F387E5" w14:textId="45EFB64B">
      <w:pPr>
        <w:pStyle w:val="RedBlock"/>
      </w:pPr>
      <w:r>
        <w:t xml:space="preserve">The transposition of the Directive into national law must be completed by 2 December 2026. In the Republic of Slovenia, the March 2026 elections will create a political vacuum at precisely the time when </w:t>
      </w:r>
      <w:r w:rsidR="008C7863">
        <w:t xml:space="preserve">the transposition of the Directive </w:t>
      </w:r>
      <w:r>
        <w:t xml:space="preserve">should be </w:t>
      </w:r>
      <w:r>
        <w:t xml:space="preserve">in full swing. Experience shows that Slovenia generally waits until the last minute to deal with EU directives. In Italy, the government remained completely </w:t>
      </w:r>
      <w:r w:rsidR="008C7863">
        <w:t xml:space="preserve">silent </w:t>
      </w:r>
      <w:r>
        <w:t xml:space="preserve">on implementation </w:t>
      </w:r>
      <w:r>
        <w:t xml:space="preserve">until mid-2025</w:t>
      </w:r>
      <w:r>
        <w:t xml:space="preserve">; the opposition is in favour, but lacks a parliamentary majority. In Germany, trade unions have remained on the sidelines of the debate because it was unclear which sector or which trade union is responsible for platform workers.</w:t>
      </w:r>
    </w:p>
    <w:p w:rsidR="00983F19" w:rsidP="00750824" w:rsidRDefault="00000000" w14:paraId="1AB141CC" w14:textId="77777777">
      <w:pPr>
        <w:pStyle w:val="RedBlock"/>
      </w:pPr>
      <w:r>
        <w:rPr>
          <w:b/>
          <w:bCs/>
        </w:rPr>
        <w:t xml:space="preserve">Risk: </w:t>
      </w:r>
      <w:r>
        <w:t xml:space="preserve">the directive will be transposed in a minimalist manner, without ambition, under pressure from the platforms.</w:t>
      </w:r>
    </w:p>
    <w:p w:rsidR="00983F19" w:rsidP="00750824" w:rsidRDefault="00000000" w14:paraId="1D35EE47" w14:textId="77777777">
      <w:pPr>
        <w:jc w:val="both"/>
      </w:pPr>
      <w:r>
        <w:t xml:space="preserve"> </w:t>
      </w:r>
    </w:p>
    <w:p w:rsidR="00983F19" w:rsidP="00750824" w:rsidRDefault="00000000" w14:paraId="3902D1FD" w14:textId="0C2DC1A9">
      <w:pPr>
        <w:pStyle w:val="RedBlock"/>
      </w:pPr>
      <w:r>
        <w:rPr>
          <w:b/>
          <w:bCs/>
        </w:rPr>
        <w:t xml:space="preserve">Challenge 9.2: </w:t>
      </w:r>
      <w:r w:rsidR="008C7863">
        <w:rPr>
          <w:b/>
          <w:bCs/>
        </w:rPr>
        <w:t xml:space="preserve">The duration of legal proceedings </w:t>
      </w:r>
      <w:r>
        <w:rPr>
          <w:b/>
          <w:bCs/>
        </w:rPr>
        <w:t xml:space="preserve">and the legal vacuum whilst </w:t>
      </w:r>
      <w:r w:rsidR="008C7863">
        <w:rPr>
          <w:b/>
          <w:bCs/>
        </w:rPr>
        <w:t xml:space="preserve">the presumption </w:t>
      </w:r>
      <w:r w:rsidR="00615F18">
        <w:rPr>
          <w:b/>
          <w:bCs/>
        </w:rPr>
        <w:t xml:space="preserve">of employment </w:t>
      </w:r>
      <w:r>
        <w:rPr>
          <w:b/>
          <w:bCs/>
        </w:rPr>
        <w:t xml:space="preserve">is being challenged</w:t>
      </w:r>
    </w:p>
    <w:p w:rsidR="00983F19" w:rsidP="00750824" w:rsidRDefault="00000000" w14:paraId="3C3EB997" w14:textId="647BD448">
      <w:pPr>
        <w:pStyle w:val="RedBlock"/>
      </w:pPr>
      <w:r>
        <w:t xml:space="preserve">Once the directive has been transposed, there will be a period during which the legal presumption </w:t>
      </w:r>
      <w:r w:rsidR="00615F18">
        <w:t xml:space="preserve">of employment</w:t>
      </w:r>
      <w:r>
        <w:t xml:space="preserve"> will be challenged </w:t>
      </w:r>
      <w:r>
        <w:t xml:space="preserve">in the courts. Courts in partner countries take between one and five years to deal with such proceedings. During this period, workers have no guaranteed protection </w:t>
      </w:r>
      <w:r w:rsidR="00D7386B">
        <w:t xml:space="preserve">– </w:t>
      </w:r>
      <w:r>
        <w:t xml:space="preserve">platforms will continue with existing contractual relationships and await individual court rulings.</w:t>
      </w:r>
    </w:p>
    <w:p w:rsidR="00983F19" w:rsidP="00750824" w:rsidRDefault="00000000" w14:paraId="4D62B829" w14:textId="3EFAB04B">
      <w:pPr>
        <w:pStyle w:val="RedBlock"/>
      </w:pPr>
      <w:r>
        <w:rPr>
          <w:b/>
          <w:bCs/>
        </w:rPr>
        <w:t xml:space="preserve">Risk: </w:t>
      </w:r>
      <w:r>
        <w:t xml:space="preserve">the legal vacuum between the adoption of the directive and the actual provision of protection lasts for years. This is precisely the rationale behind recommendation 6.5 of this document </w:t>
      </w:r>
      <w:r w:rsidR="00D7386B">
        <w:t xml:space="preserve">– </w:t>
      </w:r>
      <w:r>
        <w:t xml:space="preserve">temporary collective protection whilst the legal presumption </w:t>
      </w:r>
      <w:r w:rsidR="00615F18">
        <w:t xml:space="preserve">of employment </w:t>
      </w:r>
      <w:r>
        <w:t xml:space="preserve">is being challenged</w:t>
      </w:r>
      <w:r>
        <w:t xml:space="preserve">.</w:t>
      </w:r>
    </w:p>
    <w:p w:rsidR="00983F19" w:rsidP="00750824" w:rsidRDefault="00000000" w14:paraId="5F3FE2B8" w14:textId="77777777">
      <w:pPr>
        <w:jc w:val="both"/>
      </w:pPr>
      <w:r>
        <w:t xml:space="preserve"> </w:t>
      </w:r>
    </w:p>
    <w:p w:rsidR="00983F19" w:rsidP="00750824" w:rsidRDefault="00000000" w14:paraId="30E9A747" w14:textId="09611D7A">
      <w:pPr>
        <w:pStyle w:val="RedBlock"/>
      </w:pPr>
      <w:r>
        <w:rPr>
          <w:b/>
          <w:bCs/>
        </w:rPr>
        <w:t xml:space="preserve">Challenge 9.3: Inadequate funding and </w:t>
      </w:r>
      <w:r w:rsidR="008C7863">
        <w:rPr>
          <w:b/>
          <w:bCs/>
        </w:rPr>
        <w:t xml:space="preserve">training </w:t>
      </w:r>
      <w:r>
        <w:rPr>
          <w:b/>
          <w:bCs/>
        </w:rPr>
        <w:t xml:space="preserve">of labour </w:t>
      </w:r>
      <w:r>
        <w:rPr>
          <w:b/>
          <w:bCs/>
        </w:rPr>
        <w:t xml:space="preserve">inspectorates</w:t>
      </w:r>
    </w:p>
    <w:p w:rsidR="00983F19" w:rsidP="00750824" w:rsidRDefault="00000000" w14:paraId="0EC320FE" w14:textId="64BFB4BA">
      <w:pPr>
        <w:pStyle w:val="RedBlock"/>
      </w:pPr>
      <w:r>
        <w:t xml:space="preserve">Labour inspectorates in all five partner countries were identified at the SDDP conference (Ljubljana, May 2025) as a key weak point: too few inspectors, insufficient knowledge of algorithmic management, and a lack of tools for analysing platform data. The Austrian </w:t>
      </w:r>
      <w:r>
        <w:t xml:space="preserve">labour</w:t>
      </w:r>
      <w:r>
        <w:t xml:space="preserve"> inspectorate has demonstrated an understanding of the directive, but itself highlights the need for increased funding. </w:t>
      </w:r>
      <w:r>
        <w:t xml:space="preserve">The</w:t>
      </w:r>
      <w:r w:rsidR="008C7863">
        <w:t xml:space="preserve"> Slovenian </w:t>
      </w:r>
      <w:r>
        <w:t xml:space="preserve">Labour Inspectorate (IRSD) should be granted the power to establish the existence of an employment relationship </w:t>
      </w:r>
      <w:r w:rsidR="00615F18">
        <w:t xml:space="preserve">or employment status </w:t>
      </w:r>
      <w:r>
        <w:t xml:space="preserve">by means of a decision </w:t>
      </w:r>
      <w:r w:rsidR="00D7386B">
        <w:t xml:space="preserve">– </w:t>
      </w:r>
      <w:r>
        <w:t xml:space="preserve">a power it currently lacks in formal terms.</w:t>
      </w:r>
    </w:p>
    <w:p w:rsidR="00983F19" w:rsidP="00750824" w:rsidRDefault="00000000" w14:paraId="6ED56DB6" w14:textId="77777777">
      <w:pPr>
        <w:pStyle w:val="RedBlock"/>
      </w:pPr>
      <w:r>
        <w:rPr>
          <w:b/>
          <w:bCs/>
        </w:rPr>
        <w:t xml:space="preserve">Risk: </w:t>
      </w:r>
      <w:r>
        <w:t xml:space="preserve">a directive on paper, without the capacity for enforcement through inspections in practice.</w:t>
      </w:r>
    </w:p>
    <w:p w:rsidR="00983F19" w:rsidP="00750824" w:rsidRDefault="00000000" w14:paraId="0CDEDD3A" w14:textId="77777777">
      <w:pPr>
        <w:pStyle w:val="Naslov2"/>
        <w:jc w:val="both"/>
      </w:pPr>
      <w:bookmarkStart w:name="_Toc233699510" w:id="79"/>
      <w:bookmarkStart w:name="strategije-izogibanja-platform" w:id="80"/>
      <w:bookmarkEnd w:id="78"/>
      <w:r>
        <w:t xml:space="preserve">9.2 Platforms’ avoidance strategies</w:t>
      </w:r>
      <w:bookmarkEnd w:id="79"/>
    </w:p>
    <w:p w:rsidR="00983F19" w:rsidP="00750824" w:rsidRDefault="00000000" w14:paraId="5CD9A228" w14:textId="77777777">
      <w:pPr>
        <w:pStyle w:val="RedBlock"/>
      </w:pPr>
      <w:r>
        <w:rPr>
          <w:b/>
          <w:bCs/>
        </w:rPr>
        <w:lastRenderedPageBreak/>
      </w:r>
      <w:r>
        <w:rPr>
          <w:b/>
          <w:bCs/>
        </w:rPr>
        <w:t xml:space="preserve">Challenge 9.4: The fleet system as the primary avoidance mechanism</w:t>
      </w:r>
    </w:p>
    <w:p w:rsidR="00983F19" w:rsidP="00750824" w:rsidRDefault="006E6A4A" w14:paraId="242EB931" w14:textId="245E7E57">
      <w:pPr>
        <w:pStyle w:val="RedBlock"/>
      </w:pPr>
      <w:r>
        <w:t xml:space="preserve">The experiences of the SDDP project partners have clearly shown that one of the most common ways in which platforms respond to regulation is by introducing a fleet system. In Poland </w:t>
      </w:r>
      <w:r w:rsidR="00D7386B">
        <w:t xml:space="preserve">– </w:t>
      </w:r>
      <w:r>
        <w:t xml:space="preserve">the largest EU market, where the delivery sector is almost entirely organised through intermediary structures </w:t>
      </w:r>
      <w:r w:rsidR="00D7386B">
        <w:t xml:space="preserve">– </w:t>
      </w:r>
      <w:r>
        <w:t xml:space="preserve">the fleet system emerged directly in response to regulation in 2016: when Uber was required to formally ensure compliance with the requirements, it did so through intermediaries who assumed the legal risk. Today, all major </w:t>
      </w:r>
      <w:r>
        <w:t xml:space="preserve">platform </w:t>
      </w:r>
      <w:r>
        <w:t xml:space="preserve">operators in Poland operate according to this model.</w:t>
      </w:r>
      <w:r>
        <w:rPr>
          <w:rStyle w:val="Sprotnaopomba-sklic"/>
        </w:rPr>
        <w:footnoteReference w:id="12"/>
      </w:r>
    </w:p>
    <w:p w:rsidR="00983F19" w:rsidP="00750824" w:rsidRDefault="00000000" w14:paraId="2F834C6B" w14:textId="37916122">
      <w:pPr>
        <w:pStyle w:val="RedBlock"/>
      </w:pPr>
      <w:r>
        <w:t xml:space="preserve">The Spanish case following the adoption </w:t>
      </w:r>
      <w:r>
        <w:t xml:space="preserve">of the Delivery Workers </w:t>
      </w:r>
      <w:r w:rsidR="006E6A4A">
        <w:t xml:space="preserve">Act </w:t>
      </w:r>
      <w:r>
        <w:t xml:space="preserve">shows the same dynamics: </w:t>
      </w:r>
      <w:r>
        <w:t xml:space="preserve">platform </w:t>
      </w:r>
      <w:r>
        <w:t xml:space="preserve">corporations have formally met the requirement for employment, whilst maintaining subcontracting chains that have allowed for further negotiation with the regulator. Uber Eats maintains economic control over delivery drivers via intermediary partners without directly assuming employer liability.</w:t>
      </w:r>
      <w:r>
        <w:rPr>
          <w:rStyle w:val="Sprotnaopomba-sklic"/>
        </w:rPr>
        <w:footnoteReference w:id="13"/>
      </w:r>
    </w:p>
    <w:p w:rsidR="00983F19" w:rsidP="00750824" w:rsidRDefault="00000000" w14:paraId="5B176083" w14:textId="5AE16788">
      <w:pPr>
        <w:pStyle w:val="RedBlock"/>
      </w:pPr>
      <w:r>
        <w:rPr>
          <w:b/>
          <w:bCs/>
        </w:rPr>
        <w:t xml:space="preserve">Expected </w:t>
      </w:r>
      <w:r w:rsidR="006E6A4A">
        <w:rPr>
          <w:b/>
          <w:bCs/>
        </w:rPr>
        <w:t xml:space="preserve">response </w:t>
      </w:r>
      <w:r>
        <w:rPr>
          <w:b/>
          <w:bCs/>
        </w:rPr>
        <w:t xml:space="preserve">following the implementation of the directive: </w:t>
      </w:r>
      <w:r>
        <w:t xml:space="preserve">platforms will pass on the requirement for a legal presumption to their fleet partners </w:t>
      </w:r>
      <w:r w:rsidR="00D7386B">
        <w:t xml:space="preserve">– </w:t>
      </w:r>
      <w:r>
        <w:t xml:space="preserve">intermediaries will be the formal employers, whilst the platforms will retain economic control via algorithms. The directive will be formally complied with, but its purpose will not be fulfilled.</w:t>
      </w:r>
    </w:p>
    <w:p w:rsidR="00983F19" w:rsidP="00750824" w:rsidRDefault="00000000" w14:paraId="2ADE71E9" w14:textId="77777777">
      <w:pPr>
        <w:jc w:val="both"/>
      </w:pPr>
      <w:r>
        <w:t xml:space="preserve"> </w:t>
      </w:r>
    </w:p>
    <w:p w:rsidR="00983F19" w:rsidP="00750824" w:rsidRDefault="00000000" w14:paraId="32C4B5D6" w14:textId="77777777">
      <w:pPr>
        <w:pStyle w:val="RedBlock"/>
      </w:pPr>
      <w:r>
        <w:rPr>
          <w:b/>
          <w:bCs/>
        </w:rPr>
        <w:t xml:space="preserve">Challenge 9.5: The chameleon business model: formal compliance without substantive change</w:t>
      </w:r>
    </w:p>
    <w:p w:rsidR="00983F19" w:rsidP="00750824" w:rsidRDefault="00000000" w14:paraId="3F80A371" w14:textId="715DC4C4">
      <w:pPr>
        <w:pStyle w:val="RedBlock"/>
      </w:pPr>
      <w:r>
        <w:t xml:space="preserve">Academic literature describes platforms as chameleon-like entities </w:t>
      </w:r>
      <w:r w:rsidR="00D7386B">
        <w:t xml:space="preserve">– </w:t>
      </w:r>
      <w:r>
        <w:t xml:space="preserve">organisations that adapt to the regulatory environment by formally meeting requirements whilst simultaneously reproducing the very conditions that regulation seeks to eliminate. The Spanish experience clearly confirms this</w:t>
      </w:r>
      <w:r w:rsidR="006E6A4A">
        <w:t xml:space="preserve">: </w:t>
      </w:r>
      <w:r>
        <w:t xml:space="preserve">Uber </w:t>
      </w:r>
      <w:r>
        <w:t xml:space="preserve">Eats </w:t>
      </w:r>
      <w:r>
        <w:t xml:space="preserve">has retained its intermediary structure, </w:t>
      </w:r>
      <w:r>
        <w:t xml:space="preserve">whilst</w:t>
      </w:r>
      <w:r w:rsidR="006E6A4A">
        <w:t xml:space="preserve"> delivery drivers </w:t>
      </w:r>
      <w:r>
        <w:t xml:space="preserve">have effectively been deprived of the rights formally guaranteed to them by law.</w:t>
      </w:r>
      <w:r>
        <w:rPr>
          <w:rStyle w:val="Sprotnaopomba-sklic"/>
        </w:rPr>
        <w:footnoteReference w:id="14"/>
      </w:r>
    </w:p>
    <w:p w:rsidR="00983F19" w:rsidP="00750824" w:rsidRDefault="00000000" w14:paraId="450AF194" w14:textId="732C8627">
      <w:pPr>
        <w:pStyle w:val="RedBlock"/>
      </w:pPr>
      <w:r>
        <w:rPr>
          <w:b/>
          <w:bCs/>
        </w:rPr>
        <w:t xml:space="preserve">The anticipated response to the directive: </w:t>
      </w:r>
      <w:r>
        <w:t xml:space="preserve">platforms will adapt the wording of their contracts and </w:t>
      </w:r>
      <w:r>
        <w:t xml:space="preserve">their</w:t>
      </w:r>
      <w:r w:rsidR="006E6A4A">
        <w:t xml:space="preserve"> digital </w:t>
      </w:r>
      <w:r>
        <w:t xml:space="preserve">infrastructure so that, on paper, they no longer demonstrate ‘instruction and control’, whilst retaining economic leverage through rating systems and order allocation. Algorithmic control will be concealed, not eliminated.</w:t>
      </w:r>
    </w:p>
    <w:p w:rsidR="00983F19" w:rsidP="00750824" w:rsidRDefault="00000000" w14:paraId="4FE29833" w14:textId="77777777">
      <w:pPr>
        <w:jc w:val="both"/>
      </w:pPr>
      <w:r>
        <w:t xml:space="preserve"> </w:t>
      </w:r>
    </w:p>
    <w:p w:rsidR="00983F19" w:rsidP="00750824" w:rsidRDefault="00000000" w14:paraId="42F5C9C6" w14:textId="3F1B2DB2">
      <w:pPr>
        <w:pStyle w:val="RedBlock"/>
      </w:pPr>
      <w:r>
        <w:rPr>
          <w:b/>
          <w:bCs/>
        </w:rPr>
        <w:t xml:space="preserve">Challenge 9.6: Shell companies: criminal flight following </w:t>
      </w:r>
      <w:r>
        <w:rPr>
          <w:b/>
          <w:bCs/>
        </w:rPr>
        <w:t xml:space="preserve">an</w:t>
      </w:r>
      <w:r w:rsidR="006E6A4A">
        <w:rPr>
          <w:b/>
          <w:bCs/>
        </w:rPr>
        <w:t xml:space="preserve"> inspection </w:t>
      </w:r>
      <w:r>
        <w:rPr>
          <w:b/>
          <w:bCs/>
        </w:rPr>
        <w:t xml:space="preserve">decision</w:t>
      </w:r>
    </w:p>
    <w:p w:rsidR="00983F19" w:rsidP="00750824" w:rsidRDefault="006E6A4A" w14:paraId="6A4A8453" w14:textId="5DFFA6E3">
      <w:pPr>
        <w:pStyle w:val="RedBlock"/>
      </w:pPr>
      <w:r>
        <w:t xml:space="preserve">In Croatia and Serbia, a practice has been documented whereby intermediary companies </w:t>
      </w:r>
      <w:r w:rsidR="00D7386B">
        <w:t xml:space="preserve">– </w:t>
      </w:r>
      <w:r>
        <w:t xml:space="preserve">mostly registered as sole traders or simple limited liability </w:t>
      </w:r>
      <w:r>
        <w:t xml:space="preserve">companies (d.o.o</w:t>
      </w:r>
      <w:r>
        <w:t xml:space="preserve">.) </w:t>
      </w:r>
      <w:r w:rsidR="00D7386B">
        <w:t xml:space="preserve">– </w:t>
      </w:r>
      <w:r>
        <w:t xml:space="preserve">simply close down their business following an inspection decision or legal action and open a new one, leaving workers without wages, social security contributions or legal recourse. In Croatia and Serbia, workers have even maintained so-called ‘blacklists’ on Facebook for such cases, where they have compiled information by name on untraceable subcontractors.</w:t>
      </w:r>
      <w:r>
        <w:rPr>
          <w:rStyle w:val="Sprotnaopomba-sklic"/>
        </w:rPr>
        <w:footnoteReference w:id="15"/>
      </w:r>
    </w:p>
    <w:p w:rsidR="00983F19" w:rsidP="00750824" w:rsidRDefault="00000000" w14:paraId="47C3445C" w14:textId="2C5DA71D">
      <w:pPr>
        <w:pStyle w:val="RedBlock"/>
      </w:pPr>
      <w:r>
        <w:rPr>
          <w:b/>
          <w:bCs/>
        </w:rPr>
        <w:t xml:space="preserve">The anticipated response to the directive: </w:t>
      </w:r>
      <w:r w:rsidR="00A25A76">
        <w:t xml:space="preserve">joint and several </w:t>
      </w:r>
      <w:r>
        <w:t xml:space="preserve">liability for platforms will be a key deterrent </w:t>
      </w:r>
      <w:r w:rsidR="00D7386B">
        <w:t xml:space="preserve">– </w:t>
      </w:r>
      <w:r>
        <w:t xml:space="preserve">but only if it is stipulated as mandatory in the transposition legislation, not merely as an option.</w:t>
      </w:r>
    </w:p>
    <w:p w:rsidR="00983F19" w:rsidP="00750824" w:rsidRDefault="00000000" w14:paraId="29225FF4" w14:textId="77777777">
      <w:pPr>
        <w:jc w:val="both"/>
      </w:pPr>
      <w:r>
        <w:t xml:space="preserve"> </w:t>
      </w:r>
    </w:p>
    <w:p w:rsidR="00983F19" w:rsidP="00750824" w:rsidRDefault="00000000" w14:paraId="26C7E803" w14:textId="77777777">
      <w:pPr>
        <w:pStyle w:val="RedBlock"/>
      </w:pPr>
      <w:r>
        <w:rPr>
          <w:b/>
          <w:bCs/>
        </w:rPr>
        <w:t xml:space="preserve">Challenge 9.7: The third status: legitimising an intermediate position</w:t>
      </w:r>
    </w:p>
    <w:p w:rsidR="00983F19" w:rsidP="00750824" w:rsidRDefault="00000000" w14:paraId="5E1C82CB" w14:textId="5D883196">
      <w:pPr>
        <w:pStyle w:val="RedBlock"/>
      </w:pPr>
      <w:r>
        <w:lastRenderedPageBreak/>
      </w:r>
      <w:r>
        <w:t xml:space="preserve">In Italy, Poland and Austria, intermediate statuses between an employee and a self-employed person exist or are being proposed (in Italy, ‘parasubordinate workers’; in Poland</w:t>
      </w:r>
      <w:r w:rsidR="006E6A4A">
        <w:t xml:space="preserve">, </w:t>
      </w:r>
      <w:r>
        <w:t xml:space="preserve">‘umowa </w:t>
      </w:r>
      <w:r w:rsidR="006E6A4A">
        <w:t xml:space="preserve">zlecenie’</w:t>
      </w:r>
      <w:r>
        <w:t xml:space="preserve">). The SDDP conference (Ljubljana, May 2025) identified pressure </w:t>
      </w:r>
      <w:r w:rsidR="006E6A4A">
        <w:t xml:space="preserve">from platforms </w:t>
      </w:r>
      <w:r>
        <w:t xml:space="preserve">to introduce a third status as a possible response to the Directive. The proposal for implementation by NIdiL-CGIL Firenze explicitly warns: intermediate statuses do not resolve </w:t>
      </w:r>
      <w:r>
        <w:t xml:space="preserve">precariousness </w:t>
      </w:r>
      <w:r w:rsidR="00D7386B">
        <w:t xml:space="preserve">– </w:t>
      </w:r>
      <w:r>
        <w:t xml:space="preserve">they reinforce it. They guarantee some rights, but not all, thereby creating regulated </w:t>
      </w:r>
      <w:r>
        <w:t xml:space="preserve">precariousness </w:t>
      </w:r>
      <w:r>
        <w:t xml:space="preserve">rather than </w:t>
      </w:r>
      <w:r w:rsidR="006E6A4A">
        <w:t xml:space="preserve">secure </w:t>
      </w:r>
      <w:r w:rsidR="00615F18">
        <w:t xml:space="preserve">employment</w:t>
      </w:r>
      <w:r>
        <w:t xml:space="preserve">.</w:t>
      </w:r>
      <w:r>
        <w:rPr>
          <w:rStyle w:val="Sprotnaopomba-sklic"/>
        </w:rPr>
        <w:footnoteReference w:id="16"/>
      </w:r>
    </w:p>
    <w:p w:rsidR="00D90A18" w:rsidP="00750824" w:rsidRDefault="00000000" w14:paraId="06D29F6F" w14:textId="04DD21FF">
      <w:pPr>
        <w:pStyle w:val="RedBlock"/>
      </w:pPr>
      <w:r>
        <w:rPr>
          <w:b/>
          <w:bCs/>
        </w:rPr>
        <w:t xml:space="preserve">The risk for the Directive: </w:t>
      </w:r>
      <w:r>
        <w:t xml:space="preserve">a third status will present platforms with a solution that formally meets the Directive’s requirement to ‘improve working conditions’, whilst in reality </w:t>
      </w:r>
      <w:r w:rsidR="006E6A4A">
        <w:t xml:space="preserve">maintaining </w:t>
      </w:r>
      <w:r>
        <w:t xml:space="preserve">the </w:t>
      </w:r>
      <w:r>
        <w:t xml:space="preserve">precarious </w:t>
      </w:r>
      <w:r>
        <w:t xml:space="preserve">position </w:t>
      </w:r>
      <w:r w:rsidR="006E6A4A">
        <w:t xml:space="preserve">of workers</w:t>
      </w:r>
      <w:r>
        <w:t xml:space="preserve">.</w:t>
      </w:r>
    </w:p>
    <w:p w:rsidRPr="00D90A18" w:rsidR="00D90A18" w:rsidP="00750824" w:rsidRDefault="00000000" w14:paraId="593B1833" w14:textId="77777777">
      <w:pPr>
        <w:jc w:val="both"/>
      </w:pPr>
      <w:r>
        <w:t xml:space="preserve"> </w:t>
      </w:r>
    </w:p>
    <w:p w:rsidR="00983F19" w:rsidP="00750824" w:rsidRDefault="00000000" w14:paraId="4B1C432E" w14:textId="77777777">
      <w:pPr>
        <w:pStyle w:val="RedBlock"/>
      </w:pPr>
      <w:r>
        <w:rPr>
          <w:b/>
          <w:bCs/>
        </w:rPr>
        <w:t xml:space="preserve">Challenge 9.8: Platforms are deliberately waiting for implementation</w:t>
      </w:r>
    </w:p>
    <w:p w:rsidR="00983F19" w:rsidP="00750824" w:rsidRDefault="00000000" w14:paraId="164A0FB5" w14:textId="6D5BC8FB">
      <w:pPr>
        <w:pStyle w:val="RedBlock"/>
      </w:pPr>
      <w:r>
        <w:t xml:space="preserve">A contribution to the SDDP project from Italy documents a finding confirmed by trade unions in all partner countries: platform corporations are deliberately refraining from changing their business model before the deadline for transposing the directive, so as not to set a precedent that would go beyond the minimum requirements. The logic is clear: any collective agreement voluntarily concluded or </w:t>
      </w:r>
      <w:r>
        <w:t xml:space="preserve">any change </w:t>
      </w:r>
      <w:r w:rsidR="006E6A4A">
        <w:t xml:space="preserve">in legal status </w:t>
      </w:r>
      <w:r>
        <w:t xml:space="preserve">before December 2026 would become a benchmark for negotiations following transposition.</w:t>
      </w:r>
    </w:p>
    <w:p w:rsidR="00983F19" w:rsidP="00750824" w:rsidRDefault="00000000" w14:paraId="32495DFC" w14:textId="3CED9928">
      <w:pPr>
        <w:pStyle w:val="RedBlock"/>
      </w:pPr>
      <w:r>
        <w:rPr>
          <w:b/>
          <w:bCs/>
        </w:rPr>
        <w:t xml:space="preserve">Consequence: </w:t>
      </w:r>
      <w:r>
        <w:t xml:space="preserve">negotiations on collective agreements before the deadline are both possible </w:t>
      </w:r>
      <w:r w:rsidR="00D7386B">
        <w:t xml:space="preserve">– </w:t>
      </w:r>
      <w:r>
        <w:t xml:space="preserve">the platforms are prepared to conclude them under certain conditions </w:t>
      </w:r>
      <w:r w:rsidR="00D7386B">
        <w:t xml:space="preserve">– </w:t>
      </w:r>
      <w:r>
        <w:t xml:space="preserve">and strategically hampered by the platforms, which are demanding that the content be frozen until implementation is complete.</w:t>
      </w:r>
    </w:p>
    <w:p w:rsidR="00983F19" w:rsidP="00750824" w:rsidRDefault="00000000" w14:paraId="43A74E1C" w14:textId="77777777">
      <w:pPr>
        <w:jc w:val="both"/>
      </w:pPr>
      <w:r>
        <w:t xml:space="preserve"> </w:t>
      </w:r>
    </w:p>
    <w:p w:rsidR="00983F19" w:rsidP="00750824" w:rsidRDefault="00000000" w14:paraId="046C5F8B" w14:textId="77777777">
      <w:pPr>
        <w:pStyle w:val="RedBlock"/>
      </w:pPr>
      <w:r>
        <w:rPr>
          <w:b/>
          <w:bCs/>
        </w:rPr>
        <w:t xml:space="preserve">Challenge 9.9: Migrant workers: specific vulnerabilities</w:t>
      </w:r>
    </w:p>
    <w:p w:rsidR="00983F19" w:rsidP="00750824" w:rsidRDefault="00000000" w14:paraId="4C9A0307" w14:textId="0FC600DE">
      <w:pPr>
        <w:pStyle w:val="RedBlock"/>
      </w:pPr>
      <w:r>
        <w:t xml:space="preserve">In all five partner countries, the delivery sector has a higher-than-average proportion of migrant workers. Their specific vulnerability is threefold: language barriers prevent them from understanding their rights; an uncertain legal status </w:t>
      </w:r>
      <w:r w:rsidR="006E6A4A">
        <w:t xml:space="preserve">discourages them </w:t>
      </w:r>
      <w:r>
        <w:t xml:space="preserve">from reporting violations; and economic dependence on income from platform work hinders collective action. The Fairwork project finds that migrant workers are often the ones who </w:t>
      </w:r>
      <w:r>
        <w:t xml:space="preserve">suffer </w:t>
      </w:r>
      <w:r w:rsidR="006E6A4A">
        <w:t xml:space="preserve">most </w:t>
      </w:r>
      <w:r>
        <w:t xml:space="preserve">from the consequences of intermediary structures that fail to pay wages or make social security contributions.</w:t>
      </w:r>
      <w:r>
        <w:rPr>
          <w:rStyle w:val="Sprotnaopomba-sklic"/>
        </w:rPr>
        <w:footnoteReference w:id="17"/>
      </w:r>
    </w:p>
    <w:p w:rsidR="00983F19" w:rsidP="00750824" w:rsidRDefault="00000000" w14:paraId="4B7311D6" w14:textId="77777777">
      <w:pPr>
        <w:pStyle w:val="RedBlock"/>
      </w:pPr>
      <w:r>
        <w:rPr>
          <w:b/>
          <w:bCs/>
        </w:rPr>
        <w:t xml:space="preserve">Risks to the directive: </w:t>
      </w:r>
      <w:r>
        <w:t xml:space="preserve">without specific measures for migrant workers, the directive will only be truly accessible to those workers who have the courage and know-how to assert their rights.</w:t>
      </w:r>
    </w:p>
    <w:p w:rsidR="00983F19" w:rsidP="00750824" w:rsidRDefault="00000000" w14:paraId="188026F8" w14:textId="77777777">
      <w:pPr>
        <w:jc w:val="both"/>
      </w:pPr>
      <w:r>
        <w:t xml:space="preserve"> </w:t>
      </w:r>
    </w:p>
    <w:p w:rsidR="00983F19" w:rsidP="00750824" w:rsidRDefault="00000000" w14:paraId="0763C4F9" w14:textId="77777777">
      <w:pPr>
        <w:pStyle w:val="RedBlock"/>
      </w:pPr>
      <w:r>
        <w:rPr>
          <w:b/>
          <w:bCs/>
        </w:rPr>
        <w:t xml:space="preserve">Challenge 9.10: Algorithmic evolution: systems that evade regulation</w:t>
      </w:r>
    </w:p>
    <w:p w:rsidR="00983F19" w:rsidP="00750824" w:rsidRDefault="00000000" w14:paraId="198845DF" w14:textId="1AD7ACA1">
      <w:pPr>
        <w:pStyle w:val="RedBlock"/>
      </w:pPr>
      <w:r>
        <w:t xml:space="preserve">The Directive is based on the concept of ‘instruction and supervision’ via automated systems. Platforms will adapt the design of their algorithms so that the extent and intensity of supervision are less obvious. Instead of </w:t>
      </w:r>
      <w:r w:rsidR="006E6A4A">
        <w:t xml:space="preserve">direct sanctions</w:t>
      </w:r>
      <w:r>
        <w:t xml:space="preserve">, they will introduce ‘recommendations’; instead of deactivation thresholds, they will introduce ‘availability bonuses’. Formal control will be less apparent </w:t>
      </w:r>
      <w:r w:rsidR="00D7386B">
        <w:t xml:space="preserve">– </w:t>
      </w:r>
      <w:r>
        <w:t xml:space="preserve">but de facto economic control will remain. In its report, the EC expert group warns that the platform economy is constantly evolving and that the concept of ‘direction and control’ must be understood dynamically, including indirect forms of pressure through negative measures or discriminatory task allocation.</w:t>
      </w:r>
      <w:r>
        <w:rPr>
          <w:rStyle w:val="Sprotnaopomba-sklic"/>
        </w:rPr>
        <w:footnoteReference w:id="18"/>
      </w:r>
    </w:p>
    <w:p w:rsidR="00983F19" w:rsidP="00750824" w:rsidRDefault="00000000" w14:paraId="1BED4572" w14:textId="77777777">
      <w:pPr>
        <w:pStyle w:val="RedBlock"/>
      </w:pPr>
      <w:r>
        <w:rPr>
          <w:b/>
          <w:bCs/>
        </w:rPr>
        <w:lastRenderedPageBreak/>
      </w:r>
      <w:r>
        <w:rPr>
          <w:b/>
          <w:bCs/>
        </w:rPr>
        <w:t xml:space="preserve">Risk: </w:t>
      </w:r>
      <w:r>
        <w:t xml:space="preserve">legal tests for ‘instructions and control’ are becoming obsolete in the face of the algorithmic evolution of platforms.</w:t>
      </w:r>
    </w:p>
    <w:p w:rsidR="00983F19" w:rsidP="00750824" w:rsidRDefault="00000000" w14:paraId="788DDA30" w14:textId="77777777">
      <w:pPr>
        <w:jc w:val="both"/>
      </w:pPr>
      <w:r>
        <w:t xml:space="preserve"> </w:t>
      </w:r>
    </w:p>
    <w:p w:rsidR="00983F19" w:rsidP="00750824" w:rsidRDefault="00000000" w14:paraId="74F850FB" w14:textId="77777777">
      <w:pPr>
        <w:pStyle w:val="RedBlock"/>
      </w:pPr>
      <w:r>
        <w:rPr>
          <w:b/>
          <w:bCs/>
        </w:rPr>
        <w:t xml:space="preserve">Challenge 9.11: Cross-border platforms and headquarters outside the EU</w:t>
      </w:r>
    </w:p>
    <w:p w:rsidR="00983F19" w:rsidP="00750824" w:rsidRDefault="00000000" w14:paraId="75479C99" w14:textId="5357D298">
      <w:pPr>
        <w:pStyle w:val="RedBlock"/>
      </w:pPr>
      <w:r>
        <w:t xml:space="preserve">The Directive applies to all digital labour platforms that organise the work of workers based in the EU </w:t>
      </w:r>
      <w:r w:rsidR="00D7386B">
        <w:t xml:space="preserve">– </w:t>
      </w:r>
      <w:r>
        <w:t xml:space="preserve">regardless of where the platform is established. Article 24(4) of the Directive provides for cross-border cooperation between competent authorities. However, implementation requires active coordination, which is provided by the European Labour Authority (ELA). In practice, enforcing workers’ rights in relation to platforms established outside the EU or in countries with minimal implementation standards will require mechanisms that go beyond the capabilities of individual national inspectorates.</w:t>
      </w:r>
      <w:r>
        <w:rPr>
          <w:rStyle w:val="Sprotnaopomba-sklic"/>
        </w:rPr>
        <w:footnoteReference w:id="19"/>
      </w:r>
    </w:p>
    <w:p w:rsidR="00983F19" w:rsidP="00750824" w:rsidRDefault="00000000" w14:paraId="574F9DAE" w14:textId="3C2D4A67">
      <w:pPr>
        <w:pStyle w:val="RedBlock"/>
      </w:pPr>
      <w:r>
        <w:rPr>
          <w:b/>
          <w:bCs/>
        </w:rPr>
        <w:t xml:space="preserve">Risk: </w:t>
      </w:r>
      <w:r>
        <w:t xml:space="preserve">platforms will cite their location outside the EU or in a more favourable Member State as an excuse to evade </w:t>
      </w:r>
      <w:r w:rsidR="00E56EFA">
        <w:t xml:space="preserve">responsibility.</w:t>
      </w:r>
    </w:p>
    <w:p w:rsidR="00983F19" w:rsidP="00750824" w:rsidRDefault="00000000" w14:paraId="2460FF0B" w14:textId="77777777">
      <w:pPr>
        <w:pStyle w:val="Naslov2"/>
        <w:jc w:val="both"/>
      </w:pPr>
      <w:bookmarkStart w:name="_Toc233699511" w:id="81"/>
      <w:bookmarkStart w:name="priporočila-6" w:id="82"/>
      <w:bookmarkEnd w:id="80"/>
      <w:r>
        <w:t xml:space="preserve">9.3 Recommendations</w:t>
      </w:r>
      <w:bookmarkEnd w:id="81"/>
    </w:p>
    <w:p w:rsidR="00983F19" w:rsidP="00750824" w:rsidRDefault="00000000" w14:paraId="382512E0" w14:textId="77777777">
      <w:pPr>
        <w:jc w:val="both"/>
      </w:pPr>
      <w:r>
        <w:t xml:space="preserve">The following recommendations are a direct response to the challenges identified. They are addressed to the ministries of labour and the ETUC.</w:t>
      </w:r>
    </w:p>
    <w:p w:rsidR="00983F19" w:rsidP="00750824" w:rsidRDefault="00000000" w14:paraId="0151F8F7" w14:textId="77777777">
      <w:pPr>
        <w:jc w:val="both"/>
      </w:pPr>
      <w:r>
        <w:t xml:space="preserve"> </w:t>
      </w:r>
    </w:p>
    <w:p w:rsidR="00983F19" w:rsidP="00750824" w:rsidRDefault="00000000" w14:paraId="14ED26AD" w14:textId="6AE9AC4D">
      <w:pPr>
        <w:pStyle w:val="RedBlock"/>
      </w:pPr>
      <w:r>
        <w:rPr>
          <w:b/>
          <w:bCs/>
        </w:rPr>
        <w:t xml:space="preserve">Recommendation 9.1 [GOES BEYOND THE MINIMUM]: Preventing a ‘third status’: a binary test </w:t>
      </w:r>
      <w:r w:rsidR="00615F18">
        <w:rPr>
          <w:b/>
          <w:bCs/>
        </w:rPr>
        <w:t xml:space="preserve">for employment</w:t>
      </w:r>
    </w:p>
    <w:p w:rsidR="00983F19" w:rsidP="00750824" w:rsidRDefault="00000000" w14:paraId="68F179EF" w14:textId="77777777">
      <w:pPr>
        <w:pStyle w:val="RedBlock"/>
      </w:pPr>
      <w:r>
        <w:rPr>
          <w:b/>
          <w:bCs/>
        </w:rPr>
        <w:t xml:space="preserve">The Transposition Act must not introduce intermediate statuses between employee and self-employed person.</w:t>
      </w:r>
    </w:p>
    <w:p w:rsidR="00983F19" w:rsidP="00750824" w:rsidRDefault="00000000" w14:paraId="12DFC3C8" w14:textId="7525039A">
      <w:pPr>
        <w:pStyle w:val="RedBlock"/>
      </w:pPr>
      <w:r>
        <w:t xml:space="preserve">The Directive is based on a binary test: either </w:t>
      </w:r>
      <w:r w:rsidR="00615F18">
        <w:t xml:space="preserve">employment </w:t>
      </w:r>
      <w:r>
        <w:t xml:space="preserve">or self-employment. Any intermediate statuses </w:t>
      </w:r>
      <w:r w:rsidR="00D7386B">
        <w:t xml:space="preserve">– </w:t>
      </w:r>
      <w:r>
        <w:t xml:space="preserve">quasi-subordination</w:t>
      </w:r>
      <w:r>
        <w:t xml:space="preserve">, dependent self-employment, economically dependent workers with partial rights </w:t>
      </w:r>
      <w:r w:rsidR="00D7386B">
        <w:t xml:space="preserve">– </w:t>
      </w:r>
      <w:r>
        <w:t xml:space="preserve">which would be established in place of a comprehensive legal presumption </w:t>
      </w:r>
      <w:r w:rsidR="00615F18">
        <w:t xml:space="preserve">of employment</w:t>
      </w:r>
      <w:r>
        <w:t xml:space="preserve">, do not fulfil the purpose of the Directive. </w:t>
      </w:r>
      <w:r>
        <w:rPr>
          <w:b/>
          <w:bCs/>
        </w:rPr>
        <w:t xml:space="preserve">Ministries must ensure that the transposition law does not offer a third status as a ‘solution’. </w:t>
      </w:r>
      <w:r>
        <w:t xml:space="preserve">Workers in any intermediate status must have the same access to the right to </w:t>
      </w:r>
      <w:r>
        <w:t xml:space="preserve">organise and to collective bargaining as </w:t>
      </w:r>
      <w:r w:rsidR="00615F18">
        <w:t xml:space="preserve">employed workers</w:t>
      </w:r>
      <w:r>
        <w:t xml:space="preserve">.</w:t>
      </w:r>
    </w:p>
    <w:p w:rsidR="00983F19" w:rsidP="00750824" w:rsidRDefault="00000000" w14:paraId="2D669019" w14:textId="3D52C24E">
      <w:pPr>
        <w:pStyle w:val="RedBlock"/>
      </w:pPr>
      <w:r>
        <w:rPr>
          <w:b/>
          <w:bCs/>
        </w:rPr>
        <w:t xml:space="preserve">Source/measure: </w:t>
      </w:r>
      <w:r>
        <w:t xml:space="preserve">Contribution from NIdiL-CGIL Florence (Proposal of Recommendations, 2025): the risk of a ‘third status’ </w:t>
      </w:r>
      <w:r>
        <w:t xml:space="preserve">legitimising </w:t>
      </w:r>
      <w:r>
        <w:t xml:space="preserve">precarious employment </w:t>
      </w:r>
      <w:r w:rsidR="00D7386B">
        <w:t xml:space="preserve">– </w:t>
      </w:r>
      <w:r>
        <w:t xml:space="preserve">Italy, Croatia. </w:t>
      </w:r>
    </w:p>
    <w:p w:rsidR="00983F19" w:rsidP="00750824" w:rsidRDefault="00000000" w14:paraId="52B2CAA6" w14:textId="77777777">
      <w:pPr>
        <w:jc w:val="both"/>
      </w:pPr>
      <w:r>
        <w:t xml:space="preserve"> </w:t>
      </w:r>
    </w:p>
    <w:p w:rsidR="00983F19" w:rsidP="00750824" w:rsidRDefault="00000000" w14:paraId="726848E4" w14:textId="1FE45EEF">
      <w:pPr>
        <w:pStyle w:val="RedBlock"/>
      </w:pPr>
      <w:r>
        <w:rPr>
          <w:b/>
          <w:bCs/>
        </w:rPr>
        <w:t xml:space="preserve">Recommendation 9.2 [AMBITIOUS]: Dynamic interpretation of instructions and supervision </w:t>
      </w:r>
      <w:r w:rsidR="00D7386B">
        <w:rPr>
          <w:b/>
          <w:bCs/>
        </w:rPr>
        <w:t xml:space="preserve">– </w:t>
      </w:r>
      <w:r>
        <w:rPr>
          <w:b/>
          <w:bCs/>
        </w:rPr>
        <w:t xml:space="preserve">resilience to algorithmic evolution</w:t>
      </w:r>
    </w:p>
    <w:p w:rsidR="00983F19" w:rsidP="00750824" w:rsidRDefault="00000000" w14:paraId="25C137D5" w14:textId="77777777">
      <w:pPr>
        <w:pStyle w:val="RedBlock"/>
      </w:pPr>
      <w:r>
        <w:rPr>
          <w:b/>
          <w:bCs/>
        </w:rPr>
        <w:t xml:space="preserve">The transposition law must not contain a static list of criteria for instructions and supervision that would become obsolete as algorithms evolve.</w:t>
      </w:r>
    </w:p>
    <w:p w:rsidR="00983F19" w:rsidP="00750824" w:rsidRDefault="00000000" w14:paraId="0087BA87" w14:textId="3C43930E">
      <w:pPr>
        <w:pStyle w:val="RedBlock"/>
      </w:pPr>
      <w:r>
        <w:t xml:space="preserve">The Directive is based on facts, not on formal criteria </w:t>
      </w:r>
      <w:r w:rsidR="00D7386B">
        <w:t xml:space="preserve">– </w:t>
      </w:r>
      <w:r w:rsidR="00E56EFA">
        <w:t xml:space="preserve">what </w:t>
      </w:r>
      <w:r>
        <w:t xml:space="preserve">matters is whether the factual indicators of instructions and supervision are present, not whether precisely defined formal elements are present. The transposition law must preserve this dynamism: </w:t>
      </w:r>
      <w:r w:rsidR="00E56EFA">
        <w:t xml:space="preserve">the list </w:t>
      </w:r>
      <w:r>
        <w:t xml:space="preserve">of indicative criteria must be </w:t>
      </w:r>
      <w:r>
        <w:rPr>
          <w:b/>
          <w:bCs/>
        </w:rPr>
        <w:t xml:space="preserve">illustrative, not </w:t>
      </w:r>
      <w:r w:rsidR="00E56EFA">
        <w:rPr>
          <w:b/>
          <w:bCs/>
        </w:rPr>
        <w:t xml:space="preserve">exhaustive</w:t>
      </w:r>
      <w:r>
        <w:t xml:space="preserve">. Inspectorates and courts must have the power to take into account new forms of algorithmic control that were not foreseen at the time the Act was adopted. It is precisely for this purpose that inspectorates must have access to the platforms’ algorithmic data.</w:t>
      </w:r>
    </w:p>
    <w:p w:rsidR="00983F19" w:rsidP="00750824" w:rsidRDefault="00000000" w14:paraId="720B7FD7" w14:textId="2C2DA4D1">
      <w:pPr>
        <w:pStyle w:val="RedBlock"/>
      </w:pPr>
      <w:r>
        <w:rPr>
          <w:b/>
          <w:bCs/>
        </w:rPr>
        <w:t xml:space="preserve">Source/measure: </w:t>
      </w:r>
      <w:r>
        <w:t xml:space="preserve">EC expert group: the Directive does not require specific criteria</w:t>
      </w:r>
      <w:r w:rsidR="00E56EFA">
        <w:t xml:space="preserve">; </w:t>
      </w:r>
      <w:r>
        <w:t xml:space="preserve">a </w:t>
      </w:r>
      <w:r>
        <w:t xml:space="preserve">prima </w:t>
      </w:r>
      <w:r>
        <w:t xml:space="preserve">facie </w:t>
      </w:r>
      <w:r>
        <w:t xml:space="preserve">standard </w:t>
      </w:r>
      <w:r>
        <w:t xml:space="preserve">is sufficient</w:t>
      </w:r>
      <w:r>
        <w:t xml:space="preserve">, as are factual indicators of guidance and supervision. Article 5(1) of the Directive</w:t>
      </w:r>
      <w:r w:rsidR="00E56EFA">
        <w:t xml:space="preserve">: </w:t>
      </w:r>
      <w:r>
        <w:t xml:space="preserve">Labour-</w:t>
      </w:r>
      <w:r>
        <w:lastRenderedPageBreak/>
      </w:r>
      <w:r>
        <w:t xml:space="preserve"> -intermediation</w:t>
      </w:r>
      <w:r w:rsidR="00E56EFA">
        <w:t xml:space="preserve">; </w:t>
      </w:r>
      <w:r>
        <w:t xml:space="preserve">platforms are chameleon-like entities that adapt to the regulatory environment.</w:t>
      </w:r>
    </w:p>
    <w:p w:rsidR="00983F19" w:rsidP="00750824" w:rsidRDefault="00000000" w14:paraId="3E346127" w14:textId="77777777">
      <w:pPr>
        <w:jc w:val="both"/>
      </w:pPr>
      <w:r>
        <w:t xml:space="preserve"> </w:t>
      </w:r>
    </w:p>
    <w:p w:rsidR="00983F19" w:rsidP="00750824" w:rsidRDefault="00000000" w14:paraId="0A00D1FE" w14:textId="77777777">
      <w:pPr>
        <w:jc w:val="both"/>
      </w:pPr>
      <w:r>
        <w:t xml:space="preserve"> </w:t>
      </w:r>
    </w:p>
    <w:p w:rsidR="00983F19" w:rsidP="00750824" w:rsidRDefault="00000000" w14:paraId="377E7C66" w14:textId="47DDC2DB">
      <w:pPr>
        <w:jc w:val="both"/>
      </w:pPr>
      <w:r>
        <w:rPr>
          <w:i/>
          <w:iCs/>
        </w:rPr>
        <w:t xml:space="preserve">The challenges of implementation come as no surprise </w:t>
      </w:r>
      <w:r w:rsidR="00D7386B">
        <w:rPr>
          <w:i/>
          <w:iCs/>
        </w:rPr>
        <w:t xml:space="preserve">– </w:t>
      </w:r>
      <w:r>
        <w:rPr>
          <w:i/>
          <w:iCs/>
        </w:rPr>
        <w:t xml:space="preserve">they are the predictable result of business models that were established with the deliberate aim of circumventing </w:t>
      </w:r>
      <w:r w:rsidR="00E56EFA">
        <w:rPr>
          <w:i/>
          <w:iCs/>
        </w:rPr>
        <w:t xml:space="preserve">the platforms’ </w:t>
      </w:r>
      <w:r>
        <w:rPr>
          <w:i/>
          <w:iCs/>
        </w:rPr>
        <w:t xml:space="preserve">labour law </w:t>
      </w:r>
      <w:r w:rsidR="00E56EFA">
        <w:rPr>
          <w:i/>
          <w:iCs/>
        </w:rPr>
        <w:t xml:space="preserve">liabilities</w:t>
      </w:r>
      <w:r>
        <w:rPr>
          <w:i/>
          <w:iCs/>
        </w:rPr>
        <w:t xml:space="preserve">. The ministries have before them a legislative opportunity that arises once in a generation: the directive gives them the mandate, the resources and the deadline. The question is not whether </w:t>
      </w:r>
      <w:r>
        <w:rPr>
          <w:i/>
          <w:iCs/>
        </w:rPr>
        <w:t xml:space="preserve">the platforms will try to circumvent the directive. The question is whether the transposition legislation and </w:t>
      </w:r>
      <w:r w:rsidR="00E56EFA">
        <w:rPr>
          <w:i/>
          <w:iCs/>
        </w:rPr>
        <w:t xml:space="preserve">the oversight of its implementation </w:t>
      </w:r>
      <w:r>
        <w:rPr>
          <w:i/>
          <w:iCs/>
        </w:rPr>
        <w:t xml:space="preserve">will be </w:t>
      </w:r>
      <w:r>
        <w:rPr>
          <w:i/>
          <w:iCs/>
        </w:rPr>
        <w:t xml:space="preserve">robust enough to prevent this.</w:t>
      </w:r>
    </w:p>
    <w:p w:rsidR="00750824" w:rsidRDefault="00750824" w14:paraId="3A6CA70A" w14:textId="77777777">
      <w:pPr>
        <w:rPr>
          <w:b/>
          <w:bCs/>
          <w:color w:val="1F3864"/>
          <w:sz w:val="36"/>
          <w:szCs w:val="36"/>
        </w:rPr>
      </w:pPr>
      <w:bookmarkStart w:name="poglavje-11-zaključek" w:id="83"/>
      <w:bookmarkEnd w:id="75"/>
      <w:bookmarkEnd w:id="82"/>
      <w:r>
        <w:br w:type="page"/>
      </w:r>
    </w:p>
    <w:p w:rsidR="00983F19" w:rsidP="00750824" w:rsidRDefault="00000000" w14:paraId="0A7728D4" w14:textId="2D33E1DD">
      <w:pPr>
        <w:pStyle w:val="Naslov1"/>
        <w:jc w:val="both"/>
      </w:pPr>
      <w:bookmarkStart w:name="_Toc233699512" w:id="84"/>
      <w:r>
        <w:lastRenderedPageBreak/>
      </w:r>
      <w:r>
        <w:t xml:space="preserve">Chapter 10: Conclusion</w:t>
      </w:r>
      <w:bookmarkEnd w:id="84"/>
    </w:p>
    <w:p w:rsidR="00983F19" w:rsidP="00750824" w:rsidRDefault="00000000" w14:paraId="18660357" w14:textId="7822C9AE">
      <w:pPr>
        <w:jc w:val="both"/>
      </w:pPr>
      <w:r>
        <w:t xml:space="preserve">Directive (EU) 2024/2831 on improving working conditions in platform work is not just another piece of legislation to be transposed into national law. It is the European Union’s first systematic response to a business model that, over the past fifteen years</w:t>
      </w:r>
      <w:r>
        <w:t xml:space="preserve">,</w:t>
      </w:r>
      <w:r>
        <w:t xml:space="preserve"> has created a new form of work </w:t>
      </w:r>
      <w:r w:rsidR="00D7386B">
        <w:t xml:space="preserve">– </w:t>
      </w:r>
      <w:r>
        <w:t xml:space="preserve">work without fundamental safeguards, organised via digital platforms for millions of people, with algorithmic management rather than human supervision, and with oversight without accountability. The question addressed in this document is not whether the directive will be transposed </w:t>
      </w:r>
      <w:r w:rsidR="00D7386B">
        <w:t xml:space="preserve">– </w:t>
      </w:r>
      <w:r>
        <w:t xml:space="preserve">this is a legal obligation by 2 December 2026. The question is whether it will be transposed in such a way as to actually change and improve working conditions </w:t>
      </w:r>
      <w:r w:rsidR="00BD4E18">
        <w:t xml:space="preserve">for an ever-increasing number of workers in the EU</w:t>
      </w:r>
      <w:r>
        <w:t xml:space="preserve">, or whether it will become yet another formal framework that platforms circumvent faster than states can put it in place.</w:t>
      </w:r>
    </w:p>
    <w:p w:rsidR="00D90A18" w:rsidP="00750824" w:rsidRDefault="00D90A18" w14:paraId="1C9AEE89" w14:textId="77777777">
      <w:pPr>
        <w:jc w:val="both"/>
      </w:pPr>
    </w:p>
    <w:p w:rsidRPr="009742D7" w:rsidR="009742D7" w:rsidP="00750824" w:rsidRDefault="00000000" w14:paraId="7EBDADA5" w14:textId="60D8CD34">
      <w:pPr>
        <w:jc w:val="both"/>
      </w:pPr>
      <w:r>
        <w:t xml:space="preserve">An analysis </w:t>
      </w:r>
      <w:r w:rsidR="00BD4E18">
        <w:t xml:space="preserve">of the situation in </w:t>
      </w:r>
      <w:r w:rsidR="00BD4E18">
        <w:t xml:space="preserve">the project’s </w:t>
      </w:r>
      <w:r>
        <w:t xml:space="preserve">five partner </w:t>
      </w:r>
      <w:r w:rsidR="00BD4E18">
        <w:t xml:space="preserve">countries</w:t>
      </w:r>
      <w:r>
        <w:t xml:space="preserve">, three collective agreements and the practice of cross-border regulatory avoidance </w:t>
      </w:r>
      <w:r w:rsidR="00BD4E18">
        <w:t xml:space="preserve">underpins </w:t>
      </w:r>
      <w:r>
        <w:t xml:space="preserve">the central concern of this document: experiences from Spain following the adoption </w:t>
      </w:r>
      <w:r>
        <w:t xml:space="preserve">of the Delivery Workers</w:t>
      </w:r>
      <w:r w:rsidR="00BD4E18">
        <w:t xml:space="preserve"> Act</w:t>
      </w:r>
      <w:r w:rsidR="00BD4E18">
        <w:t xml:space="preserve">, </w:t>
      </w:r>
      <w:r>
        <w:t xml:space="preserve">from Belgium following the introduction of the legal presumption in 2023, and from Austria, where Lieferando announced in March 2025 the redundancy of nearly a thousand employed delivery workers and a transition to </w:t>
      </w:r>
      <w:r w:rsidR="00BD4E18">
        <w:t xml:space="preserve">‘</w:t>
      </w:r>
      <w:r>
        <w:rPr>
          <w:i/>
          <w:iCs/>
        </w:rPr>
        <w:t xml:space="preserve">Freier</w:t>
      </w:r>
      <w:r>
        <w:t xml:space="preserve"> </w:t>
      </w:r>
      <w:r>
        <w:rPr>
          <w:i/>
          <w:iCs/>
        </w:rPr>
        <w:t xml:space="preserve">Dienstnehmer</w:t>
      </w:r>
      <w:r w:rsidR="00BD4E18">
        <w:t xml:space="preserve">’</w:t>
      </w:r>
      <w:r>
        <w:t xml:space="preserve"> contracts</w:t>
      </w:r>
      <w:r w:rsidR="00BD4E18">
        <w:t xml:space="preserve">, </w:t>
      </w:r>
    </w:p>
    <w:p w:rsidR="00D90A18" w:rsidP="00750824" w:rsidRDefault="00000000" w14:paraId="4DBB95C4" w14:textId="47421CF2">
      <w:pPr>
        <w:jc w:val="both"/>
      </w:pPr>
      <w:r>
        <w:t xml:space="preserve">show that platforms respond to every new regulation with restructuring measures that undermine its purpose.</w:t>
      </w:r>
    </w:p>
    <w:p w:rsidR="00D90A18" w:rsidP="00750824" w:rsidRDefault="00D90A18" w14:paraId="306D5FBD" w14:textId="77777777">
      <w:pPr>
        <w:jc w:val="both"/>
      </w:pPr>
    </w:p>
    <w:p w:rsidR="00983F19" w:rsidP="00750824" w:rsidRDefault="00000000" w14:paraId="6EFE9FD6" w14:textId="7BB7435B">
      <w:pPr>
        <w:jc w:val="both"/>
      </w:pPr>
      <w:r>
        <w:t xml:space="preserve">There is a real risk that the same pattern will be repeated following the transposition of the Directive: platforms will challenge the legal presumption </w:t>
      </w:r>
      <w:r w:rsidR="00615F18">
        <w:t xml:space="preserve">of employment</w:t>
      </w:r>
      <w:r>
        <w:t xml:space="preserve">, </w:t>
      </w:r>
      <w:r w:rsidR="00BD4E18">
        <w:t xml:space="preserve">legal proceedings will drag on </w:t>
      </w:r>
      <w:r>
        <w:t xml:space="preserve">for years, and workers will remain unprotected in the meantime. The Directive recognises this problem but does not resolve it on its own. The solution proposed by this document is social dialogue as a bridge: not a substitute for the law, but a mechanism that protects workers </w:t>
      </w:r>
      <w:r w:rsidR="00304218">
        <w:t xml:space="preserve">whilst the wheels of justice turn</w:t>
      </w:r>
      <w:r>
        <w:t xml:space="preserve">. The SDDP Protocol, annexed to this document, offers a concrete framework for such dialogue.</w:t>
      </w:r>
    </w:p>
    <w:p w:rsidR="00D90A18" w:rsidP="00750824" w:rsidRDefault="00D90A18" w14:paraId="3946CE34" w14:textId="77777777">
      <w:pPr>
        <w:jc w:val="both"/>
      </w:pPr>
    </w:p>
    <w:p w:rsidRPr="00D90A18" w:rsidR="00983F19" w:rsidP="00750824" w:rsidRDefault="00000000" w14:paraId="6C61654C" w14:textId="77777777">
      <w:pPr>
        <w:jc w:val="both"/>
        <w:rPr>
          <w:b/>
          <w:bCs/>
        </w:rPr>
      </w:pPr>
      <w:r>
        <w:rPr>
          <w:b/>
          <w:bCs/>
        </w:rPr>
        <w:t xml:space="preserve">Five recommendations emerge from the document as a whole, which should be given priority:</w:t>
      </w:r>
    </w:p>
    <w:p w:rsidR="00D90A18" w:rsidP="00750824" w:rsidRDefault="00D90A18" w14:paraId="6F780E97" w14:textId="77777777">
      <w:pPr>
        <w:jc w:val="both"/>
      </w:pPr>
    </w:p>
    <w:p w:rsidR="00983F19" w:rsidP="00750824" w:rsidRDefault="00304218" w14:paraId="6BD4ABF7" w14:textId="57B2A235">
      <w:pPr>
        <w:jc w:val="both"/>
      </w:pPr>
      <w:r>
        <w:t xml:space="preserve">Firstly: Member States should not, when transposing Article 5, add their own criteria for triggering the legal presumption </w:t>
      </w:r>
      <w:r w:rsidR="00615F18">
        <w:t xml:space="preserve">of employment</w:t>
      </w:r>
      <w:r>
        <w:t xml:space="preserve">. The Directive establishes a standard of prima facie evidence: facts indicating instructions and supervision are sufficient. The Belgian Act of 2023 laid down two sets of criteria (two out of five or three out of eight), but has proved ineffective in practice </w:t>
      </w:r>
      <w:r w:rsidR="00D7386B">
        <w:t xml:space="preserve">– </w:t>
      </w:r>
      <w:r>
        <w:t xml:space="preserve">an increasing number of platforms have stated that they do not meet the criteria, and the Act did not provide for enforcement mechanisms through which the Labour Inspectorate could directly enforce the presumption. A trade unionist from ACV-CSC put a question to the Ministry of Labour asking what they intended to do; the response was whether the trade union would take the matter to court itself. A law without enforcement procedures remains a dead letter. Every additional criterion is another excuse for the platform and another month without protection for the worker </w:t>
      </w:r>
      <w:r w:rsidR="00D7386B">
        <w:t xml:space="preserve">– </w:t>
      </w:r>
      <w:r>
        <w:t xml:space="preserve">whilst an enforcement mechanism is a prerequisite without which even the most ambitious law changes nothing.</w:t>
      </w:r>
    </w:p>
    <w:p w:rsidR="00D90A18" w:rsidP="00750824" w:rsidRDefault="00D90A18" w14:paraId="58D61F56" w14:textId="77777777">
      <w:pPr>
        <w:jc w:val="both"/>
      </w:pPr>
    </w:p>
    <w:p w:rsidR="00983F19" w:rsidP="00750824" w:rsidRDefault="00304218" w14:paraId="297D02C8" w14:textId="7DD53D38">
      <w:pPr>
        <w:jc w:val="both"/>
      </w:pPr>
      <w:r>
        <w:t xml:space="preserve">Secondly: procedures for determining the correct employment status must be effective and primarily administrative, not judicial. Legal battles drag on for years </w:t>
      </w:r>
      <w:r w:rsidR="00D7386B">
        <w:t xml:space="preserve">– </w:t>
      </w:r>
      <w:r>
        <w:t xml:space="preserve">the Spanish experience</w:t>
      </w:r>
      <w:r>
        <w:lastRenderedPageBreak/>
      </w:r>
      <w:r>
        <w:t xml:space="preserve"> demonstrates </w:t>
      </w:r>
      <w:r>
        <w:t xml:space="preserve">this</w:t>
      </w:r>
      <w:r>
        <w:t xml:space="preserve">, with proceedings lasting almost four years following the adoption of the Delivery Workers Act. Strengthened labour inspectorates must have the power and the duty to determine employment status by means of a decision, without waiting for legal proceedings and without the worker’s consent. The Directive sets out this obligation in Article 5(5), but its effective implementation requires that this power be explicitly incorporated into national transposition measures.</w:t>
      </w:r>
    </w:p>
    <w:p w:rsidR="00D90A18" w:rsidP="00750824" w:rsidRDefault="00D90A18" w14:paraId="3BE072A5" w14:textId="77777777">
      <w:pPr>
        <w:jc w:val="both"/>
      </w:pPr>
    </w:p>
    <w:p w:rsidR="00983F19" w:rsidP="00750824" w:rsidRDefault="00304218" w14:paraId="2C9B026D" w14:textId="47E904F8">
      <w:pPr>
        <w:jc w:val="both"/>
      </w:pPr>
      <w:r>
        <w:t xml:space="preserve">Thirdly: temporary collective protection whilst the legal presumption is being challenged </w:t>
      </w:r>
      <w:r w:rsidR="00D7386B">
        <w:t xml:space="preserve">– </w:t>
      </w:r>
      <w:r>
        <w:t xml:space="preserve">recommendation 6.5 of this document </w:t>
      </w:r>
      <w:r w:rsidR="00D7386B">
        <w:t xml:space="preserve">– </w:t>
      </w:r>
      <w:r>
        <w:t xml:space="preserve">is a key innovation that goes beyond the requirements of the Directive. Once the labour inspectorate has established that the platform is an employer, </w:t>
      </w:r>
      <w:r>
        <w:t xml:space="preserve">a mandatory tripartite dialogue </w:t>
      </w:r>
      <w:r>
        <w:t xml:space="preserve">must </w:t>
      </w:r>
      <w:r>
        <w:t xml:space="preserve">be initiated </w:t>
      </w:r>
      <w:r>
        <w:t xml:space="preserve">within fifteen days at the latest </w:t>
      </w:r>
      <w:r w:rsidR="00D7386B">
        <w:t xml:space="preserve">– </w:t>
      </w:r>
      <w:r>
        <w:t xml:space="preserve">or within a shorter timeframe permitted by national law </w:t>
      </w:r>
      <w:r w:rsidR="00D7386B">
        <w:t xml:space="preserve">– </w:t>
      </w:r>
      <w:r>
        <w:t xml:space="preserve">to secure a provisional collective agreement on minimum pay, working hours and social security contributions. Pay for work performed and contributions paid remain with the workers regardless of the outcome </w:t>
      </w:r>
      <w:r>
        <w:t xml:space="preserve">of</w:t>
      </w:r>
      <w:r>
        <w:t xml:space="preserve"> legal proceedings; the platform is entitled to limited </w:t>
      </w:r>
      <w:r>
        <w:t xml:space="preserve">recourse </w:t>
      </w:r>
      <w:r>
        <w:t xml:space="preserve">only for the difference above the self-employed rate </w:t>
      </w:r>
      <w:r w:rsidR="00D7386B">
        <w:t xml:space="preserve">– </w:t>
      </w:r>
      <w:r>
        <w:t xml:space="preserve">not for remuneration for work performed. The burden of legal uncertainty lies with the platform that created the disputed relationship, not with the workers. The state assumes the risk of an incorrect determination: if the inspectorate’s decision proves to be incorrect, the burden of reimbursing the payments lies with the state </w:t>
      </w:r>
      <w:r w:rsidR="00D7386B">
        <w:t xml:space="preserve">– </w:t>
      </w:r>
      <w:r>
        <w:t xml:space="preserve">thereby guaranteeing the credibility of the decision and creating an incentive for high-quality work by the inspectorate. No Member State should transpose the Directive without a mechanism to fill the legal vacuum between the inspectorate’s decision and a final judgement.</w:t>
      </w:r>
    </w:p>
    <w:p w:rsidR="00D90A18" w:rsidP="00750824" w:rsidRDefault="00D90A18" w14:paraId="51B8EB4F" w14:textId="77777777">
      <w:pPr>
        <w:jc w:val="both"/>
      </w:pPr>
    </w:p>
    <w:p w:rsidR="00983F19" w:rsidP="00750824" w:rsidRDefault="00492887" w14:paraId="3E281C20" w14:textId="70AA0B6E">
      <w:pPr>
        <w:jc w:val="both"/>
      </w:pPr>
      <w:r>
        <w:t xml:space="preserve">Fourthly: mandatory </w:t>
      </w:r>
      <w:r w:rsidR="00A25A76">
        <w:t xml:space="preserve">joint and several </w:t>
      </w:r>
      <w:r>
        <w:t xml:space="preserve">liability across the entire chain of intermediaries. The ‘fleet system’ </w:t>
      </w:r>
      <w:r w:rsidR="00D7386B">
        <w:t xml:space="preserve">– </w:t>
      </w:r>
      <w:r>
        <w:t xml:space="preserve">the use of chains of intermediaries to transfer legal risk to shell companies </w:t>
      </w:r>
      <w:r w:rsidR="00D7386B">
        <w:t xml:space="preserve">– </w:t>
      </w:r>
      <w:r>
        <w:t xml:space="preserve">is a structural component of the platforms’ business model, not an exception: it is present in almost half of the platforms analysed (see Chapter 2). Article 3 of the Directive permits, but does not require, joint and several liability. This ambiguity presents an opportunity for ministries: mandatory </w:t>
      </w:r>
      <w:r w:rsidR="00A25A76">
        <w:t xml:space="preserve">joint and several </w:t>
      </w:r>
      <w:r>
        <w:t xml:space="preserve">liability, whereby the platform automatically assumes the subcontractor’s debts to workers, is the only effective measure against a model designed precisely to evade liability. The ETUC calls for the adoption of a directive on subcontracting and labour intermediation that would enshrine this liability in law at European level.</w:t>
      </w:r>
    </w:p>
    <w:p w:rsidR="00D90A18" w:rsidP="00750824" w:rsidRDefault="00D90A18" w14:paraId="23CBDD14" w14:textId="77777777">
      <w:pPr>
        <w:jc w:val="both"/>
      </w:pPr>
    </w:p>
    <w:p w:rsidR="00983F19" w:rsidP="00750824" w:rsidRDefault="00492887" w14:paraId="5EED1FDB" w14:textId="63369F4B">
      <w:pPr>
        <w:jc w:val="both"/>
      </w:pPr>
      <w:r>
        <w:t xml:space="preserve">Fifth: social dialogue, with the state and institutions playing a proactive role, as a prerequisite for effective implementation. The Directive establishes a comprehensive set of rights </w:t>
      </w:r>
      <w:r w:rsidR="00D7386B">
        <w:t xml:space="preserve">– </w:t>
      </w:r>
      <w:r>
        <w:t xml:space="preserve">ranging from transparency of algorithms to a ban on retaliatory measures </w:t>
      </w:r>
      <w:r w:rsidR="00D7386B">
        <w:t xml:space="preserve">– </w:t>
      </w:r>
      <w:r>
        <w:t xml:space="preserve">but rights without mechanisms for enforcing them are meaningless. The state must not be merely a passive observer of negotiations, but an active mediator and guarantor: with a strengthened labour inspectorate trained in algorithmic systems, with clear sanctions for breaches of transparency (including the automatic invalidity of unexplained algorithmic decisions), with the possibility of collective and group proceedings, which </w:t>
      </w:r>
      <w:r>
        <w:t xml:space="preserve">are currently not permitted by law </w:t>
      </w:r>
      <w:r>
        <w:t xml:space="preserve">in</w:t>
      </w:r>
      <w:r>
        <w:t xml:space="preserve"> several Member States </w:t>
      </w:r>
      <w:r w:rsidR="00D7386B">
        <w:t xml:space="preserve">– </w:t>
      </w:r>
      <w:r>
        <w:t xml:space="preserve">including Germany and Slovenia </w:t>
      </w:r>
      <w:r w:rsidR="00D7386B">
        <w:t xml:space="preserve">– </w:t>
      </w:r>
      <w:r>
        <w:t xml:space="preserve">and with incentives for platforms that enter into negotiations voluntarily.</w:t>
      </w:r>
    </w:p>
    <w:p w:rsidR="00D90A18" w:rsidP="00750824" w:rsidRDefault="00D90A18" w14:paraId="49EBFB5C" w14:textId="77777777">
      <w:pPr>
        <w:jc w:val="both"/>
      </w:pPr>
    </w:p>
    <w:p w:rsidRPr="00D90A18" w:rsidR="00983F19" w:rsidP="00750824" w:rsidRDefault="00000000" w14:paraId="7D16DA5A" w14:textId="7A673C1C">
      <w:pPr>
        <w:jc w:val="both"/>
        <w:rPr>
          <w:rStyle w:val="Poudarek"/>
        </w:rPr>
      </w:pPr>
      <w:r>
        <w:rPr>
          <w:rStyle w:val="Poudarek"/>
        </w:rPr>
        <w:t xml:space="preserve">These recommendations are comprehensive </w:t>
      </w:r>
      <w:r w:rsidR="00D7386B">
        <w:rPr>
          <w:rStyle w:val="Poudarek"/>
        </w:rPr>
        <w:t xml:space="preserve">– </w:t>
      </w:r>
      <w:r>
        <w:rPr>
          <w:rStyle w:val="Poudarek"/>
        </w:rPr>
        <w:t xml:space="preserve">the document contains more than forty of them. Yet they are also the very measures without which the transposition of the directive will change nothing for the worker who, at ten o’clock in the evening in the rain, is delivering food by bike and does not know whether the algorithm will offer him work today </w:t>
      </w:r>
      <w:r w:rsidR="004F26A1">
        <w:rPr>
          <w:rStyle w:val="Poudarek"/>
        </w:rPr>
        <w:t xml:space="preserve">or </w:t>
      </w:r>
      <w:r>
        <w:rPr>
          <w:rStyle w:val="Poudarek"/>
        </w:rPr>
        <w:t xml:space="preserve">allow him access to the app tomorrow.</w:t>
      </w:r>
    </w:p>
    <w:p w:rsidR="00D90A18" w:rsidP="00750824" w:rsidRDefault="00D90A18" w14:paraId="70C3980B" w14:textId="77777777">
      <w:pPr>
        <w:jc w:val="both"/>
      </w:pPr>
    </w:p>
    <w:p w:rsidR="00983F19" w:rsidP="00750824" w:rsidRDefault="00000000" w14:paraId="1AACC6D3" w14:textId="532213F9">
      <w:pPr>
        <w:jc w:val="both"/>
      </w:pPr>
      <w:r>
        <w:rPr>
          <w:rStyle w:val="Krepko"/>
        </w:rPr>
        <w:t xml:space="preserve">The directive does not solve everything. </w:t>
      </w:r>
      <w:r>
        <w:t xml:space="preserve">It does not address the particular vulnerability of migrant workers, who make up a large proportion of the platform workforce in all five partner countries and </w:t>
      </w:r>
      <w:r w:rsidR="004F26A1">
        <w:t xml:space="preserve">who,</w:t>
      </w:r>
      <w:r>
        <w:lastRenderedPageBreak/>
      </w:r>
      <w:r>
        <w:t xml:space="preserve"> , do not dare to assert their rights due to language barriers, precarious residence status and dependence on the platform. It does not address the risk that some Member States will establish </w:t>
      </w:r>
      <w:r>
        <w:t xml:space="preserve">an </w:t>
      </w:r>
      <w:r>
        <w:t xml:space="preserve">intermediate </w:t>
      </w:r>
      <w:r>
        <w:t xml:space="preserve">‘third </w:t>
      </w:r>
      <w:r w:rsidR="00016B3D">
        <w:t xml:space="preserve">status’ </w:t>
      </w:r>
      <w:r w:rsidR="00D7386B">
        <w:t xml:space="preserve">– </w:t>
      </w:r>
      <w:r>
        <w:t xml:space="preserve">modelled on </w:t>
      </w:r>
      <w:r w:rsidRPr="00016B3D">
        <w:t xml:space="preserve">the </w:t>
      </w:r>
      <w:r>
        <w:t xml:space="preserve">Italian </w:t>
      </w:r>
      <w:r w:rsidRPr="00016B3D">
        <w:t xml:space="preserve">‘differently organised </w:t>
      </w:r>
      <w:r w:rsidRPr="00016B3D" w:rsidR="004F26A1">
        <w:t xml:space="preserve">collaborator’</w:t>
      </w:r>
      <w:r w:rsidRPr="004F26A1">
        <w:t xml:space="preserve"> (</w:t>
      </w:r>
      <w:r w:rsidRPr="00016B3D">
        <w:t xml:space="preserve">‘collaboratore</w:t>
      </w:r>
      <w:r w:rsidRPr="004F26A1" w:rsidR="004F26A1">
        <w:t xml:space="preserve"> </w:t>
      </w:r>
      <w:r w:rsidRPr="00016B3D" w:rsidR="004F26A1">
        <w:t xml:space="preserve">etero-organizzato’</w:t>
      </w:r>
      <w:r w:rsidRPr="004F26A1">
        <w:t xml:space="preserve">) </w:t>
      </w:r>
      <w:r>
        <w:t xml:space="preserve">or the Austrian ‘freelancer’ (</w:t>
      </w:r>
      <w:r w:rsidRPr="00016B3D">
        <w:t xml:space="preserve">‘Freier </w:t>
      </w:r>
      <w:r w:rsidRPr="00016B3D" w:rsidR="004F26A1">
        <w:t xml:space="preserve">Dienstnehmer’</w:t>
      </w:r>
      <w:r w:rsidRPr="004F26A1">
        <w:t xml:space="preserve">) </w:t>
      </w:r>
      <w:r w:rsidR="00D7386B">
        <w:t xml:space="preserve">– </w:t>
      </w:r>
      <w:r>
        <w:t xml:space="preserve">which would be neither employment nor self-employment, but rather </w:t>
      </w:r>
      <w:r w:rsidR="004F26A1">
        <w:t xml:space="preserve">the legalisation </w:t>
      </w:r>
      <w:r>
        <w:t xml:space="preserve">of existing exploitation under a new name. These are tasks that require further European social dialogue, strengthened inspectorates and political will that will not wane after the first round of lobbying by the platforms.</w:t>
      </w:r>
    </w:p>
    <w:p w:rsidR="00D90A18" w:rsidP="00750824" w:rsidRDefault="00D90A18" w14:paraId="7154449F" w14:textId="77777777">
      <w:pPr>
        <w:jc w:val="both"/>
      </w:pPr>
    </w:p>
    <w:p w:rsidRPr="009742D7" w:rsidR="009742D7" w:rsidP="00750824" w:rsidRDefault="009742D7" w14:paraId="48D97BE6" w14:textId="77777777">
      <w:pPr>
        <w:jc w:val="both"/>
      </w:pPr>
      <w:r>
        <w:t xml:space="preserve">The Directive offers an exceptional opportunity that we must not miss. Platform work, as we know it today, is essentially precarious work governed by algorithms: work without a guaranteed minimum wage, without social security, without the right to an explanation of decisions – and with an algorithm, rather than a human being, deciding who works today, how much they will earn, and whether they will even have a job tomorrow. If we do not regulate these mechanisms now, we will soon find them everywhere: in logistics, retail, hospitality, healthcare and call centres. Platforms did not invent precariousness – they have simply exploited all the existing loopholes in labour law and reinforced them through algorithmic control and cross-border operations. That is why this directive enables us to close these loopholes not only for platform work, but for all forms of work in which the same mechanisms of exploitation occur.</w:t>
      </w:r>
    </w:p>
    <w:p w:rsidRPr="00D90A18" w:rsidR="00983F19" w:rsidP="00750824" w:rsidRDefault="00000000" w14:paraId="5A73155F" w14:textId="42529446">
      <w:pPr>
        <w:jc w:val="both"/>
        <w:rPr>
          <w:rStyle w:val="Krepko"/>
        </w:rPr>
      </w:pPr>
      <w:r>
        <w:rPr>
          <w:rStyle w:val="Krepko"/>
        </w:rPr>
        <w:t xml:space="preserve">Missing this opportunity does not just mean that </w:t>
      </w:r>
      <w:r>
        <w:rPr>
          <w:rStyle w:val="Krepko"/>
        </w:rPr>
        <w:t xml:space="preserve">platform </w:t>
      </w:r>
      <w:r>
        <w:rPr>
          <w:rStyle w:val="Krepko"/>
        </w:rPr>
        <w:t xml:space="preserve">workers </w:t>
      </w:r>
      <w:r>
        <w:rPr>
          <w:rStyle w:val="Krepko"/>
        </w:rPr>
        <w:t xml:space="preserve">remain </w:t>
      </w:r>
      <w:r>
        <w:rPr>
          <w:rStyle w:val="Krepko"/>
        </w:rPr>
        <w:t xml:space="preserve">unprotected</w:t>
      </w:r>
      <w:r w:rsidR="00BB1A2F">
        <w:rPr>
          <w:rStyle w:val="Krepko"/>
        </w:rPr>
        <w:t xml:space="preserve">; </w:t>
      </w:r>
      <w:r>
        <w:rPr>
          <w:rStyle w:val="Krepko"/>
        </w:rPr>
        <w:t xml:space="preserve">it means that their model becomes the new norm </w:t>
      </w:r>
      <w:r w:rsidR="00BB1A2F">
        <w:rPr>
          <w:rStyle w:val="Krepko"/>
        </w:rPr>
        <w:t xml:space="preserve">for work for everyone</w:t>
      </w:r>
      <w:r>
        <w:rPr>
          <w:rStyle w:val="Krepko"/>
        </w:rPr>
        <w:t xml:space="preserve">.</w:t>
      </w:r>
    </w:p>
    <w:p w:rsidR="00D90A18" w:rsidP="00750824" w:rsidRDefault="00D90A18" w14:paraId="0C07D028" w14:textId="77777777">
      <w:pPr>
        <w:jc w:val="both"/>
      </w:pPr>
    </w:p>
    <w:p w:rsidR="00983F19" w:rsidP="00750824" w:rsidRDefault="00000000" w14:paraId="22C93E90" w14:textId="0D97D13C">
      <w:pPr>
        <w:jc w:val="both"/>
      </w:pPr>
      <w:r>
        <w:rPr>
          <w:rStyle w:val="Krepko"/>
        </w:rPr>
        <w:t xml:space="preserve">The deadline is clear: 2 December 2026.</w:t>
      </w:r>
      <w:r>
        <w:t xml:space="preserve"> Following an analysis of five countries, three collective agreements and documented avoidance strategies, this document concludes with a finding that also serves as a warning: the challenges of implementation are not unpredictable </w:t>
      </w:r>
      <w:r w:rsidR="00D7386B">
        <w:t xml:space="preserve">– </w:t>
      </w:r>
      <w:r>
        <w:t xml:space="preserve">they are a recurring pattern that platforms have already tested in Spain, Germany and elsewhere. Ministries that take a proactive approach will transpose the directive effectively. Ministries that wait for the first dispute to arise will repeat the Belgian experience: a law on paper, precarious working conditions in practice.</w:t>
      </w:r>
    </w:p>
    <w:p w:rsidR="00D90A18" w:rsidP="00750824" w:rsidRDefault="00D90A18" w14:paraId="1D71DE5A" w14:textId="77777777">
      <w:pPr>
        <w:jc w:val="both"/>
      </w:pPr>
    </w:p>
    <w:p w:rsidR="00983F19" w:rsidP="00750824" w:rsidRDefault="00000000" w14:paraId="346BD37A" w14:textId="48F70648">
      <w:pPr>
        <w:jc w:val="both"/>
      </w:pPr>
      <w:r>
        <w:t xml:space="preserve">The SDDP project </w:t>
      </w:r>
      <w:r w:rsidR="00D7386B">
        <w:t xml:space="preserve">– involving </w:t>
      </w:r>
      <w:r>
        <w:t xml:space="preserve">five countries, the ETUC and partner trade union confederations, and two years of fieldwork </w:t>
      </w:r>
      <w:r w:rsidR="00D7386B">
        <w:t xml:space="preserve">– </w:t>
      </w:r>
      <w:r>
        <w:t xml:space="preserve">has, through this document, offered concrete, verifiable recommendations. The consortium remains at the disposal of any Member State and any social partner wishing to transpose the directive in a way that genuinely protects those it </w:t>
      </w:r>
      <w:r>
        <w:t xml:space="preserve">is intended to safeguard.</w:t>
      </w:r>
      <w:bookmarkEnd w:id="83"/>
    </w:p>
    <w:sectPr w:rsidR="00983F19">
      <w:footerReference w:type="default" r:id="rId8"/>
      <w:pgSz w:w="11906" w:h="16838"/>
      <w:pgMar w:top="144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A779E" w:rsidRDefault="00AA779E" w14:paraId="14AEC7F3" w14:textId="77777777">
      <w:r>
        <w:separator/>
      </w:r>
    </w:p>
  </w:endnote>
  <w:endnote w:type="continuationSeparator" w:id="0">
    <w:p w:rsidR="00AA779E" w:rsidRDefault="00AA779E" w14:paraId="045AD2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D30D3" w:rsidRDefault="007D30D3" w14:paraId="27F72AFB" w14:textId="517F802B">
    <w:pPr>
      <w:pStyle w:val="Noga"/>
    </w:pPr>
    <w:r>
      <w:rPr>
        <w:noProof/>
      </w:rPr>
      <w:drawing>
        <wp:inline distT="0" distB="0" distL="0" distR="0" wp14:anchorId="69CF034E" wp14:editId="0EAC88DC">
          <wp:extent cx="2513607" cy="525780"/>
          <wp:effectExtent l="0" t="0" r="0" b="7620"/>
          <wp:docPr id="141020949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209493" name="Slika 1410209493"/>
                  <pic:cNvPicPr/>
                </pic:nvPicPr>
                <pic:blipFill>
                  <a:blip r:embed="rId1">
                    <a:extLst>
                      <a:ext uri="{28A0092B-C50C-407E-A947-70E740481C1C}">
                        <a14:useLocalDpi xmlns:a14="http://schemas.microsoft.com/office/drawing/2010/main" val="0"/>
                      </a:ext>
                    </a:extLst>
                  </a:blip>
                  <a:stretch>
                    <a:fillRect/>
                  </a:stretch>
                </pic:blipFill>
                <pic:spPr>
                  <a:xfrm>
                    <a:off x="0" y="0"/>
                    <a:ext cx="2524927" cy="528148"/>
                  </a:xfrm>
                  <a:prstGeom prst="rect">
                    <a:avLst/>
                  </a:prstGeom>
                </pic:spPr>
              </pic:pic>
            </a:graphicData>
          </a:graphic>
        </wp:inline>
      </w:drawing>
    </w:r>
    <w:r>
      <w:tab/>
    </w:r>
    <w:r>
      <w:tab/>
    </w:r>
    <w:r>
      <w:rPr>
        <w:noProof/>
      </w:rPr>
      <w:drawing>
        <wp:inline distT="0" distB="0" distL="0" distR="0" wp14:anchorId="66E248D6" wp14:editId="24D34EB0">
          <wp:extent cx="1318260" cy="643872"/>
          <wp:effectExtent l="0" t="0" r="0" b="4445"/>
          <wp:docPr id="10789567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95670" name="Slika 107895670"/>
                  <pic:cNvPicPr/>
                </pic:nvPicPr>
                <pic:blipFill>
                  <a:blip r:embed="rId2">
                    <a:extLst>
                      <a:ext uri="{28A0092B-C50C-407E-A947-70E740481C1C}">
                        <a14:useLocalDpi xmlns:a14="http://schemas.microsoft.com/office/drawing/2010/main" val="0"/>
                      </a:ext>
                    </a:extLst>
                  </a:blip>
                  <a:stretch>
                    <a:fillRect/>
                  </a:stretch>
                </pic:blipFill>
                <pic:spPr>
                  <a:xfrm>
                    <a:off x="0" y="0"/>
                    <a:ext cx="1333079" cy="6511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A779E" w:rsidRDefault="00AA779E" w14:paraId="3F50196E" w14:textId="77777777">
      <w:r>
        <w:separator/>
      </w:r>
    </w:p>
  </w:footnote>
  <w:footnote w:type="continuationSeparator" w:id="0">
    <w:p w:rsidR="00AA779E" w:rsidRDefault="00AA779E" w14:paraId="4F9902D5" w14:textId="77777777">
      <w:r>
        <w:continuationSeparator/>
      </w:r>
    </w:p>
  </w:footnote>
  <w:footnote w:id="1">
    <w:p w:rsidR="00983F19" w:rsidRDefault="00000000" w14:paraId="593AD28F" w14:textId="77777777">
      <w:pPr>
        <w:pStyle w:val="Sprotnaopomba-besedilo"/>
      </w:pPr>
      <w:r>
        <w:rPr>
          <w:rStyle w:val="Sprotnaopomba-sklic"/>
        </w:rPr>
        <w:footnoteRef/>
      </w:r>
      <w:r>
        <w:t xml:space="preserve"> Regulation (EU) 2016/679 (GDPR), in particular Article 5 (principles of processing) and Article 25 (data protection by design and by default). The anonymisation and aggregation of data are a prerequisite for the register’s compliance with the GDPR.</w:t>
      </w:r>
    </w:p>
  </w:footnote>
  <w:footnote w:id="2">
    <w:p w:rsidR="00983F19" w:rsidRDefault="00000000" w14:paraId="40ACB082" w14:textId="77777777">
      <w:pPr>
        <w:pStyle w:val="Sprotnaopomba-besedilo"/>
      </w:pPr>
      <w:r>
        <w:rPr>
          <w:rStyle w:val="Sprotnaopomba-sklic"/>
        </w:rPr>
        <w:footnoteRef/>
      </w:r>
      <w:r>
        <w:t xml:space="preserve"> Regulation (EU) 2022/2065 on Digital Services (DSA), Article 13: providers of intermediary services not established in the EU must appoint a legal representative in the Union.</w:t>
      </w:r>
    </w:p>
  </w:footnote>
  <w:footnote w:id="3">
    <w:p w:rsidR="00983F19" w:rsidRDefault="00000000" w14:paraId="3BFC4F08" w14:textId="77777777">
      <w:pPr>
        <w:pStyle w:val="Sprotnaopomba-besedilo"/>
      </w:pPr>
      <w:r>
        <w:rPr>
          <w:rStyle w:val="Sprotnaopomba-sklic"/>
        </w:rPr>
        <w:footnoteRef/>
      </w:r>
      <w:r>
        <w:t xml:space="preserve"> Regulation (EC) No 593/2008 on the law applicable to contractual obligations (Rome I), Article 8: a contractual choice of foreign law must not deprive a worker of the protection afforded to them by the mandatory provisions of the law of the country in which, or from which, the worker habitually carries out their work.</w:t>
      </w:r>
    </w:p>
  </w:footnote>
  <w:footnote w:id="4">
    <w:p w:rsidR="00983F19" w:rsidRDefault="00000000" w14:paraId="5970BDA5" w14:textId="77777777">
      <w:pPr>
        <w:pStyle w:val="Sprotnaopomba-besedilo"/>
      </w:pPr>
      <w:r>
        <w:rPr>
          <w:rStyle w:val="Sprotnaopomba-sklic"/>
        </w:rPr>
        <w:footnoteRef/>
      </w:r>
      <w:r>
        <w:t xml:space="preserve"> Regulation (EU) 2016/679 of the European Parliament and of the Council of 27 April 2016 on the protection of natural persons with regard to the processing of personal data and on the free movement of such data (GDPR). EU Directive 2024/2831 introduces stricter specific provisions in the field of platform work.</w:t>
      </w:r>
    </w:p>
  </w:footnote>
  <w:footnote w:id="5">
    <w:p w:rsidR="00983F19" w:rsidRDefault="00000000" w14:paraId="552857AE" w14:textId="77777777">
      <w:pPr>
        <w:pStyle w:val="Sprotnaopomba-besedilo"/>
      </w:pPr>
      <w:r>
        <w:rPr>
          <w:rStyle w:val="Sprotnaopomba-sklic"/>
        </w:rPr>
        <w:footnoteRef/>
      </w:r>
      <w:r>
        <w:t xml:space="preserve"> GDPR, Article 35(1): a data protection impact assessment is mandatory where the processing is likely to result in a high risk. The Directive considers this risk to be inherent in any processing via an AMDMS in platform work.</w:t>
      </w:r>
    </w:p>
  </w:footnote>
  <w:footnote w:id="6">
    <w:p w:rsidR="00983F19" w:rsidRDefault="00000000" w14:paraId="07B887E7" w14:textId="77777777">
      <w:pPr>
        <w:pStyle w:val="Sprotnaopomba-besedilo"/>
      </w:pPr>
      <w:r>
        <w:rPr>
          <w:rStyle w:val="Sprotnaopomba-sklic"/>
        </w:rPr>
        <w:footnoteRef/>
      </w:r>
      <w:r>
        <w:t xml:space="preserve"> EU Directive 2024/2831, Article 26(2): the Directive does not affect the right of Member States to introduce more favourable laws or to promote more favourable collective agreements.</w:t>
      </w:r>
    </w:p>
  </w:footnote>
  <w:footnote w:id="7">
    <w:p w:rsidR="00983F19" w:rsidRDefault="00000000" w14:paraId="4D426CA7" w14:textId="77777777">
      <w:pPr>
        <w:pStyle w:val="Sprotnaopomba-besedilo"/>
      </w:pPr>
      <w:r>
        <w:rPr>
          <w:rStyle w:val="Sprotnaopomba-sklic"/>
        </w:rPr>
        <w:footnoteRef/>
      </w:r>
      <w:r>
        <w:t xml:space="preserve"> Ametowobla, D. and Kirchner, S. (2025). Varieties of platform capitalism? Socio-Economic Review, 23(2). A fleet system documented in 41 out of 91 platforms.</w:t>
      </w:r>
    </w:p>
  </w:footnote>
  <w:footnote w:id="8">
    <w:p w:rsidR="00983F19" w:rsidRDefault="00000000" w14:paraId="084F244E" w14:textId="77777777">
      <w:pPr>
        <w:pStyle w:val="Sprotnaopomba-besedilo"/>
      </w:pPr>
      <w:r>
        <w:rPr>
          <w:rStyle w:val="Sprotnaopomba-sklic"/>
        </w:rPr>
        <w:footnoteRef/>
      </w:r>
      <w:r>
        <w:t xml:space="preserve"> Renewed supplementary company agreement, Takeaway.com Express Italy S.r.l. / FILT-CGIL, FIT-CISL, UILTRASPORTI. Signed 11–12 February 2026.</w:t>
      </w:r>
    </w:p>
  </w:footnote>
  <w:footnote w:id="9">
    <w:p w:rsidR="00983F19" w:rsidRDefault="00000000" w14:paraId="5F306B72" w14:textId="77777777">
      <w:pPr>
        <w:pStyle w:val="Sprotnaopomba-besedilo"/>
      </w:pPr>
      <w:r>
        <w:rPr>
          <w:rStyle w:val="Sprotnaopomba-sklic"/>
        </w:rPr>
        <w:footnoteRef/>
      </w:r>
      <w:r>
        <w:t xml:space="preserve"> Collective Agreement for Cycle Couriers, Gewerkschaft vida. Validity: 1 January 2023–30 September 2025. Termination: June 2025.</w:t>
      </w:r>
    </w:p>
  </w:footnote>
  <w:footnote w:id="10">
    <w:p w:rsidR="00983F19" w:rsidRDefault="00000000" w14:paraId="5F96ED92" w14:textId="77777777">
      <w:pPr>
        <w:pStyle w:val="Sprotnaopomba-besedilo"/>
      </w:pPr>
      <w:r>
        <w:rPr>
          <w:rStyle w:val="Sprotnaopomba-sklic"/>
        </w:rPr>
        <w:footnoteRef/>
      </w:r>
      <w:r>
        <w:t xml:space="preserve"> EU Directive 2024/2831, Article 20: digital communication channels for workers and their representatives.</w:t>
      </w:r>
    </w:p>
  </w:footnote>
  <w:footnote w:id="11">
    <w:p w:rsidRPr="00016B3D" w:rsidR="00FC19E2" w:rsidRDefault="00000000" w14:paraId="3C24EF3A" w14:textId="77777777">
      <w:pPr>
        <w:rPr>
          <w:sz w:val="20"/>
          <w:szCs w:val="20"/>
        </w:rPr>
      </w:pPr>
      <w:r w:rsidRPr="00016B3D">
        <w:rPr>
          <w:sz w:val="16"/>
          <w:szCs w:val="16"/>
        </w:rPr>
        <w:footnoteRef/>
      </w:r>
      <w:r w:rsidRPr="00016B3D">
        <w:rPr>
          <w:sz w:val="20"/>
          <w:szCs w:val="20"/>
        </w:rPr>
        <w:t xml:space="preserve"> Directive (EU) 2024/2831, Article 20: Member States shall ensure that digital labour platforms enable persons performing platform work to communicate with one another via digital infrastructure or similarly effective means, and to contact their representatives. Platforms shall refrain from accessing or monitoring these communications.</w:t>
      </w:r>
    </w:p>
  </w:footnote>
  <w:footnote w:id="12">
    <w:p w:rsidR="00983F19" w:rsidRDefault="00000000" w14:paraId="6FFA6134" w14:textId="70429696">
      <w:pPr>
        <w:pStyle w:val="Sprotnaopomba-besedilo"/>
      </w:pPr>
      <w:r>
        <w:rPr>
          <w:rStyle w:val="Sprotnaopomba-sklic"/>
        </w:rPr>
        <w:footnoteRef/>
      </w:r>
      <w:r>
        <w:t xml:space="preserve"> Labour intermediation in the Platform Work Directive. Mika, B. and Polkowska, D. (2022). Work-on-demand in patchwork capitalism.</w:t>
      </w:r>
    </w:p>
  </w:footnote>
  <w:footnote w:id="13">
    <w:p w:rsidR="00983F19" w:rsidRDefault="00000000" w14:paraId="736FFFA0" w14:textId="77777777">
      <w:pPr>
        <w:pStyle w:val="Sprotnaopomba-besedilo"/>
      </w:pPr>
      <w:r>
        <w:rPr>
          <w:rStyle w:val="Sprotnaopomba-sklic"/>
        </w:rPr>
        <w:footnoteRef/>
      </w:r>
      <w:r>
        <w:t xml:space="preserve"> Vieira, T. and Mendonça, P. (2025). The times, are they changing? Socio-Economic Review, 23(2).</w:t>
      </w:r>
    </w:p>
  </w:footnote>
  <w:footnote w:id="14">
    <w:p w:rsidR="00983F19" w:rsidRDefault="00000000" w14:paraId="2AAE8128" w14:textId="77777777">
      <w:pPr>
        <w:pStyle w:val="Sprotnaopomba-besedilo"/>
      </w:pPr>
      <w:r>
        <w:rPr>
          <w:rStyle w:val="Sprotnaopomba-sklic"/>
        </w:rPr>
        <w:footnoteRef/>
      </w:r>
      <w:r>
        <w:t xml:space="preserve"> Labour Intermediation and the Platform Work Directive, p. 1: platforms conceptualised as chameleon-like entities.</w:t>
      </w:r>
    </w:p>
  </w:footnote>
  <w:footnote w:id="15">
    <w:p w:rsidR="00983F19" w:rsidRDefault="00000000" w14:paraId="039DA1E5" w14:textId="77777777">
      <w:pPr>
        <w:pStyle w:val="Sprotnaopomba-besedilo"/>
      </w:pPr>
      <w:r>
        <w:rPr>
          <w:rStyle w:val="Sprotnaopomba-sklic"/>
        </w:rPr>
        <w:footnoteRef/>
      </w:r>
      <w:r>
        <w:t xml:space="preserve"> Starčević, J. (2023). Platform work in Croatia and Serbia. p. 71: shell companies and Facebook’s blacklists.</w:t>
      </w:r>
    </w:p>
  </w:footnote>
  <w:footnote w:id="16">
    <w:p w:rsidR="00983F19" w:rsidRDefault="00000000" w14:paraId="515870CF" w14:textId="77777777">
      <w:pPr>
        <w:pStyle w:val="Sprotnaopomba-besedilo"/>
      </w:pPr>
      <w:r>
        <w:rPr>
          <w:rStyle w:val="Sprotnaopomba-sklic"/>
        </w:rPr>
        <w:footnoteRef/>
      </w:r>
      <w:r>
        <w:t xml:space="preserve"> NIdiL-CGIL Florence: Proposal of Recommendations for the Implementation of the Platform Work Directive (2025). Point 8.4: the risk of a ‘third status’.</w:t>
      </w:r>
    </w:p>
  </w:footnote>
  <w:footnote w:id="17">
    <w:p w:rsidR="00983F19" w:rsidRDefault="00000000" w14:paraId="48EC8BE4" w14:textId="77777777">
      <w:pPr>
        <w:pStyle w:val="Sprotnaopomba-besedilo"/>
      </w:pPr>
      <w:r>
        <w:rPr>
          <w:rStyle w:val="Sprotnaopomba-sklic"/>
        </w:rPr>
        <w:footnoteRef/>
      </w:r>
      <w:r>
        <w:t xml:space="preserve"> Fairwork (2025). Fairwork Germany Ratings 2025. pp. 30–31: subcontractors withholding migrant workers’ wages.</w:t>
      </w:r>
    </w:p>
  </w:footnote>
  <w:footnote w:id="18">
    <w:p w:rsidR="00983F19" w:rsidRDefault="00000000" w14:paraId="35BF89BD" w14:textId="77777777">
      <w:pPr>
        <w:pStyle w:val="Sprotnaopomba-besedilo"/>
      </w:pPr>
      <w:r>
        <w:rPr>
          <w:rStyle w:val="Sprotnaopomba-sklic"/>
        </w:rPr>
        <w:footnoteRef/>
      </w:r>
      <w:r>
        <w:t xml:space="preserve"> EC Expert Group: Report of the Expert Group on the Transposition of Directive (EU) 2024/2831, January 2026. Recital 30.</w:t>
      </w:r>
    </w:p>
  </w:footnote>
  <w:footnote w:id="19">
    <w:p w:rsidR="00983F19" w:rsidRDefault="00000000" w14:paraId="1013DE52" w14:textId="77777777">
      <w:pPr>
        <w:pStyle w:val="Sprotnaopomba-besedilo"/>
      </w:pPr>
      <w:r>
        <w:rPr>
          <w:rStyle w:val="Sprotnaopomba-sklic"/>
        </w:rPr>
        <w:footnoteRef/>
      </w:r>
      <w:r>
        <w:t xml:space="preserve"> EU Directive 2024/2831, Article 24(4): cross-border cooperation between competent authorities.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354F0CC"/>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0390FD9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 w15:restartNumberingAfterBreak="0">
    <w:nsid w:val="128A7BF6"/>
    <w:multiLevelType w:val="hybridMultilevel"/>
    <w:tmpl w:val="2160C404"/>
    <w:lvl w:ilvl="0" w:tplc="076896B4">
      <w:start w:val="8"/>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F7A6A2E"/>
    <w:multiLevelType w:val="hybridMultilevel"/>
    <w:tmpl w:val="8F1220A6"/>
    <w:lvl w:ilvl="0" w:tplc="096CC94E">
      <w:start w:val="1"/>
      <w:numFmt w:val="bullet"/>
      <w:lvlText w:val="●"/>
      <w:lvlJc w:val="left"/>
      <w:pPr>
        <w:ind w:left="720" w:hanging="360"/>
      </w:pPr>
    </w:lvl>
    <w:lvl w:ilvl="1" w:tplc="3760EED0">
      <w:start w:val="1"/>
      <w:numFmt w:val="bullet"/>
      <w:lvlText w:val="○"/>
      <w:lvlJc w:val="left"/>
      <w:pPr>
        <w:ind w:left="1440" w:hanging="360"/>
      </w:pPr>
    </w:lvl>
    <w:lvl w:ilvl="2" w:tplc="2F80938E">
      <w:start w:val="1"/>
      <w:numFmt w:val="bullet"/>
      <w:lvlText w:val="■"/>
      <w:lvlJc w:val="left"/>
      <w:pPr>
        <w:ind w:left="2160" w:hanging="360"/>
      </w:pPr>
    </w:lvl>
    <w:lvl w:ilvl="3" w:tplc="142C3356">
      <w:start w:val="1"/>
      <w:numFmt w:val="bullet"/>
      <w:lvlText w:val="●"/>
      <w:lvlJc w:val="left"/>
      <w:pPr>
        <w:ind w:left="2880" w:hanging="360"/>
      </w:pPr>
    </w:lvl>
    <w:lvl w:ilvl="4" w:tplc="BE486E12">
      <w:start w:val="1"/>
      <w:numFmt w:val="bullet"/>
      <w:lvlText w:val="○"/>
      <w:lvlJc w:val="left"/>
      <w:pPr>
        <w:ind w:left="3600" w:hanging="360"/>
      </w:pPr>
    </w:lvl>
    <w:lvl w:ilvl="5" w:tplc="35FA1DAC">
      <w:start w:val="1"/>
      <w:numFmt w:val="bullet"/>
      <w:lvlText w:val="■"/>
      <w:lvlJc w:val="left"/>
      <w:pPr>
        <w:ind w:left="4320" w:hanging="360"/>
      </w:pPr>
    </w:lvl>
    <w:lvl w:ilvl="6" w:tplc="99B05B28">
      <w:start w:val="1"/>
      <w:numFmt w:val="bullet"/>
      <w:lvlText w:val="●"/>
      <w:lvlJc w:val="left"/>
      <w:pPr>
        <w:ind w:left="5040" w:hanging="360"/>
      </w:pPr>
    </w:lvl>
    <w:lvl w:ilvl="7" w:tplc="8A2AF95A">
      <w:start w:val="1"/>
      <w:numFmt w:val="bullet"/>
      <w:lvlText w:val="●"/>
      <w:lvlJc w:val="left"/>
      <w:pPr>
        <w:ind w:left="5760" w:hanging="360"/>
      </w:pPr>
    </w:lvl>
    <w:lvl w:ilvl="8" w:tplc="9C38A386">
      <w:start w:val="1"/>
      <w:numFmt w:val="bullet"/>
      <w:lvlText w:val="●"/>
      <w:lvlJc w:val="left"/>
      <w:pPr>
        <w:ind w:left="6480" w:hanging="360"/>
      </w:pPr>
    </w:lvl>
  </w:abstractNum>
  <w:abstractNum w:abstractNumId="4" w15:restartNumberingAfterBreak="0">
    <w:nsid w:val="693609F4"/>
    <w:multiLevelType w:val="hybridMultilevel"/>
    <w:tmpl w:val="FFBA1DBA"/>
    <w:lvl w:ilvl="0" w:tplc="18C8FE5E">
      <w:start w:val="8"/>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34398708">
    <w:abstractNumId w:val="3"/>
    <w:lvlOverride w:ilvl="0">
      <w:startOverride w:val="1"/>
    </w:lvlOverride>
  </w:num>
  <w:num w:numId="2" w16cid:durableId="952592849">
    <w:abstractNumId w:val="0"/>
  </w:num>
  <w:num w:numId="3" w16cid:durableId="1977680526">
    <w:abstractNumId w:val="1"/>
  </w:num>
  <w:num w:numId="4" w16cid:durableId="1868640215">
    <w:abstractNumId w:val="1"/>
  </w:num>
  <w:num w:numId="5" w16cid:durableId="2032684937">
    <w:abstractNumId w:val="4"/>
  </w:num>
  <w:num w:numId="6" w16cid:durableId="10261009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F19"/>
    <w:rsid w:val="000052A5"/>
    <w:rsid w:val="00016B3D"/>
    <w:rsid w:val="000617C4"/>
    <w:rsid w:val="00061B6E"/>
    <w:rsid w:val="00084394"/>
    <w:rsid w:val="00096C72"/>
    <w:rsid w:val="000B201C"/>
    <w:rsid w:val="000D74B6"/>
    <w:rsid w:val="000F63BC"/>
    <w:rsid w:val="0013617B"/>
    <w:rsid w:val="001627FA"/>
    <w:rsid w:val="00191599"/>
    <w:rsid w:val="001B1A93"/>
    <w:rsid w:val="001E67F7"/>
    <w:rsid w:val="0021360E"/>
    <w:rsid w:val="00247A59"/>
    <w:rsid w:val="00297684"/>
    <w:rsid w:val="002A147E"/>
    <w:rsid w:val="0030041A"/>
    <w:rsid w:val="00304218"/>
    <w:rsid w:val="00304B8F"/>
    <w:rsid w:val="003134E5"/>
    <w:rsid w:val="00320506"/>
    <w:rsid w:val="00352350"/>
    <w:rsid w:val="0036704F"/>
    <w:rsid w:val="00370D81"/>
    <w:rsid w:val="003A5607"/>
    <w:rsid w:val="003D2CF3"/>
    <w:rsid w:val="003F2469"/>
    <w:rsid w:val="00471B0E"/>
    <w:rsid w:val="00492887"/>
    <w:rsid w:val="00494E86"/>
    <w:rsid w:val="004A4679"/>
    <w:rsid w:val="004F26A1"/>
    <w:rsid w:val="005418CA"/>
    <w:rsid w:val="00557445"/>
    <w:rsid w:val="00583744"/>
    <w:rsid w:val="005B4341"/>
    <w:rsid w:val="005C5C0F"/>
    <w:rsid w:val="005D1CAF"/>
    <w:rsid w:val="00615AD5"/>
    <w:rsid w:val="00615F18"/>
    <w:rsid w:val="00645F58"/>
    <w:rsid w:val="00677FF5"/>
    <w:rsid w:val="006928D1"/>
    <w:rsid w:val="0069475D"/>
    <w:rsid w:val="006B029C"/>
    <w:rsid w:val="006E6A4A"/>
    <w:rsid w:val="006F2B87"/>
    <w:rsid w:val="00750824"/>
    <w:rsid w:val="00775A45"/>
    <w:rsid w:val="0078378B"/>
    <w:rsid w:val="00792F1C"/>
    <w:rsid w:val="007D30D3"/>
    <w:rsid w:val="00827187"/>
    <w:rsid w:val="00844626"/>
    <w:rsid w:val="0086131C"/>
    <w:rsid w:val="00873676"/>
    <w:rsid w:val="00885168"/>
    <w:rsid w:val="008920C5"/>
    <w:rsid w:val="008A2B03"/>
    <w:rsid w:val="008A4BD4"/>
    <w:rsid w:val="008A7718"/>
    <w:rsid w:val="008C7863"/>
    <w:rsid w:val="008F0A64"/>
    <w:rsid w:val="008F1CB6"/>
    <w:rsid w:val="008F70CF"/>
    <w:rsid w:val="00902859"/>
    <w:rsid w:val="00944A43"/>
    <w:rsid w:val="00954281"/>
    <w:rsid w:val="009742D7"/>
    <w:rsid w:val="00983F19"/>
    <w:rsid w:val="009870EF"/>
    <w:rsid w:val="00987363"/>
    <w:rsid w:val="009B7FA3"/>
    <w:rsid w:val="009C0D64"/>
    <w:rsid w:val="009E2CF3"/>
    <w:rsid w:val="009F3F9C"/>
    <w:rsid w:val="00A14D12"/>
    <w:rsid w:val="00A16E80"/>
    <w:rsid w:val="00A25A76"/>
    <w:rsid w:val="00A275F6"/>
    <w:rsid w:val="00A55B3A"/>
    <w:rsid w:val="00A56C5B"/>
    <w:rsid w:val="00A60485"/>
    <w:rsid w:val="00A60CFC"/>
    <w:rsid w:val="00AA779E"/>
    <w:rsid w:val="00AC6992"/>
    <w:rsid w:val="00B11C0F"/>
    <w:rsid w:val="00B33E59"/>
    <w:rsid w:val="00B357A5"/>
    <w:rsid w:val="00B833F8"/>
    <w:rsid w:val="00BB1A2F"/>
    <w:rsid w:val="00BB574B"/>
    <w:rsid w:val="00BD3FB5"/>
    <w:rsid w:val="00BD4E18"/>
    <w:rsid w:val="00C60A82"/>
    <w:rsid w:val="00C91807"/>
    <w:rsid w:val="00CB6C6D"/>
    <w:rsid w:val="00CB75BF"/>
    <w:rsid w:val="00CE0CAD"/>
    <w:rsid w:val="00CF3B80"/>
    <w:rsid w:val="00D10C79"/>
    <w:rsid w:val="00D17094"/>
    <w:rsid w:val="00D21719"/>
    <w:rsid w:val="00D7386B"/>
    <w:rsid w:val="00D90A18"/>
    <w:rsid w:val="00DB0B6E"/>
    <w:rsid w:val="00DB7748"/>
    <w:rsid w:val="00DC4393"/>
    <w:rsid w:val="00DC6DE9"/>
    <w:rsid w:val="00DF6109"/>
    <w:rsid w:val="00E11794"/>
    <w:rsid w:val="00E11FBD"/>
    <w:rsid w:val="00E56EFA"/>
    <w:rsid w:val="00E57F82"/>
    <w:rsid w:val="00E872A3"/>
    <w:rsid w:val="00E923E8"/>
    <w:rsid w:val="00EA618C"/>
    <w:rsid w:val="00EB5A7D"/>
    <w:rsid w:val="00F067CA"/>
    <w:rsid w:val="00F16419"/>
    <w:rsid w:val="00F2296E"/>
    <w:rsid w:val="00F2754C"/>
    <w:rsid w:val="00FA3434"/>
    <w:rsid w:val="00FC19E2"/>
    <w:rsid w:val="00FD0595"/>
    <w:rsid w:val="00FF3A12"/>
    <w:rsid w:val="00FF4B88"/>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F99BD"/>
  <w15:docId w15:val="{202E13D6-9D18-4B92-AC1C-FCB4ACE11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link w:val="Naslov1Znak"/>
    <w:uiPriority w:val="9"/>
    <w:qFormat/>
    <w:pPr>
      <w:spacing w:before="400" w:after="240"/>
      <w:outlineLvl w:val="0"/>
    </w:pPr>
    <w:rPr>
      <w:b/>
      <w:bCs/>
      <w:color w:val="1F3864"/>
      <w:sz w:val="36"/>
      <w:szCs w:val="36"/>
    </w:rPr>
  </w:style>
  <w:style w:type="paragraph" w:styleId="Naslov2">
    <w:name w:val="heading 2"/>
    <w:uiPriority w:val="9"/>
    <w:unhideWhenUsed/>
    <w:qFormat/>
    <w:pPr>
      <w:spacing w:before="300" w:after="160"/>
      <w:outlineLvl w:val="1"/>
    </w:pPr>
    <w:rPr>
      <w:b/>
      <w:bCs/>
      <w:color w:val="2E75B6"/>
      <w:sz w:val="28"/>
      <w:szCs w:val="28"/>
    </w:rPr>
  </w:style>
  <w:style w:type="paragraph" w:styleId="Naslov3">
    <w:name w:val="heading 3"/>
    <w:uiPriority w:val="9"/>
    <w:unhideWhenUsed/>
    <w:qFormat/>
    <w:pPr>
      <w:spacing w:before="200" w:after="120"/>
      <w:outlineLvl w:val="2"/>
    </w:pPr>
    <w:rPr>
      <w:b/>
      <w:bCs/>
      <w:color w:val="1F5C99"/>
    </w:rPr>
  </w:style>
  <w:style w:type="paragraph" w:styleId="Naslov4">
    <w:name w:val="heading 4"/>
    <w:uiPriority w:val="9"/>
    <w:semiHidden/>
    <w:unhideWhenUsed/>
    <w:qFormat/>
    <w:pPr>
      <w:outlineLvl w:val="3"/>
    </w:pPr>
    <w:rPr>
      <w:i/>
      <w:iCs/>
      <w:color w:val="2E74B5"/>
    </w:rPr>
  </w:style>
  <w:style w:type="paragraph" w:styleId="Naslov5">
    <w:name w:val="heading 5"/>
    <w:uiPriority w:val="9"/>
    <w:semiHidden/>
    <w:unhideWhenUsed/>
    <w:qFormat/>
    <w:pPr>
      <w:outlineLvl w:val="4"/>
    </w:pPr>
    <w:rPr>
      <w:color w:val="2E74B5"/>
    </w:rPr>
  </w:style>
  <w:style w:type="paragraph" w:styleId="Naslov6">
    <w:name w:val="heading 6"/>
    <w:uiPriority w:val="9"/>
    <w:semiHidden/>
    <w:unhideWhenUsed/>
    <w:qFormat/>
    <w:pPr>
      <w:outlineLvl w:val="5"/>
    </w:pPr>
    <w:rPr>
      <w:color w:val="1F4D7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link w:val="NaslovZnak"/>
    <w:qFormat/>
    <w:rPr>
      <w:sz w:val="56"/>
      <w:szCs w:val="56"/>
    </w:rPr>
  </w:style>
  <w:style w:type="paragraph" w:customStyle="1" w:styleId="Krepko1">
    <w:name w:val="Krepko1"/>
    <w:qFormat/>
    <w:rPr>
      <w:b/>
      <w:bCs/>
    </w:rPr>
  </w:style>
  <w:style w:type="paragraph" w:styleId="Odstavekseznama">
    <w:name w:val="List Paragraph"/>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link w:val="Sprotnaopomba-besediloZnak"/>
    <w:uiPriority w:val="99"/>
    <w:semiHidden/>
    <w:unhideWhenUsed/>
    <w:rPr>
      <w:sz w:val="20"/>
      <w:szCs w:val="20"/>
    </w:rPr>
  </w:style>
  <w:style w:type="character" w:customStyle="1" w:styleId="Sprotnaopomba-besediloZnak">
    <w:name w:val="Sprotna opomba - besedilo Znak"/>
    <w:link w:val="Sprotnaopomba-besedilo"/>
    <w:uiPriority w:val="99"/>
    <w:semiHidden/>
    <w:unhideWhenUsed/>
    <w:rPr>
      <w:sz w:val="20"/>
      <w:szCs w:val="20"/>
    </w:rPr>
  </w:style>
  <w:style w:type="paragraph" w:customStyle="1" w:styleId="SourceCode">
    <w:name w:val="Source Code"/>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rPr>
      <w:b/>
      <w:color w:val="008000"/>
    </w:rPr>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rPr>
      <w:color w:val="008000"/>
    </w:rPr>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paragraph" w:styleId="Blokbesedila">
    <w:name w:val="Block Text"/>
    <w:qFormat/>
    <w:pPr>
      <w:pBdr>
        <w:left w:val="thick" w:sz="18" w:space="10" w:color="1F5C99"/>
      </w:pBdr>
      <w:spacing w:before="60" w:after="60"/>
      <w:ind w:left="360" w:right="360"/>
      <w:jc w:val="both"/>
    </w:pPr>
    <w:rPr>
      <w:color w:val="666666"/>
      <w:sz w:val="22"/>
      <w:szCs w:val="22"/>
    </w:rPr>
  </w:style>
  <w:style w:type="paragraph" w:customStyle="1" w:styleId="RedBlock">
    <w:name w:val="Red Block"/>
    <w:qFormat/>
    <w:pPr>
      <w:pBdr>
        <w:left w:val="thick" w:sz="18" w:space="10" w:color="C00000"/>
      </w:pBdr>
      <w:spacing w:before="60" w:after="60"/>
      <w:ind w:left="360" w:right="360"/>
      <w:jc w:val="both"/>
    </w:pPr>
    <w:rPr>
      <w:color w:val="C00000"/>
      <w:sz w:val="22"/>
      <w:szCs w:val="22"/>
    </w:rPr>
  </w:style>
  <w:style w:type="paragraph" w:styleId="Kazalovsebine1">
    <w:name w:val="toc 1"/>
    <w:basedOn w:val="Navaden"/>
    <w:next w:val="Navaden"/>
    <w:autoRedefine/>
    <w:uiPriority w:val="39"/>
    <w:unhideWhenUsed/>
    <w:rsid w:val="00D90A18"/>
    <w:pPr>
      <w:spacing w:after="100"/>
    </w:pPr>
  </w:style>
  <w:style w:type="paragraph" w:styleId="Kazalovsebine2">
    <w:name w:val="toc 2"/>
    <w:basedOn w:val="Navaden"/>
    <w:next w:val="Navaden"/>
    <w:autoRedefine/>
    <w:uiPriority w:val="39"/>
    <w:unhideWhenUsed/>
    <w:rsid w:val="00D90A18"/>
    <w:pPr>
      <w:spacing w:after="100"/>
      <w:ind w:left="240"/>
    </w:pPr>
  </w:style>
  <w:style w:type="character" w:customStyle="1" w:styleId="NaslovZnak">
    <w:name w:val="Naslov Znak"/>
    <w:basedOn w:val="Privzetapisavaodstavka"/>
    <w:link w:val="Naslov"/>
    <w:rsid w:val="00D90A18"/>
    <w:rPr>
      <w:sz w:val="56"/>
      <w:szCs w:val="56"/>
    </w:rPr>
  </w:style>
  <w:style w:type="paragraph" w:customStyle="1" w:styleId="Author">
    <w:name w:val="Author"/>
    <w:next w:val="Telobesedila"/>
    <w:qFormat/>
    <w:rsid w:val="00D90A18"/>
    <w:pPr>
      <w:keepNext/>
      <w:keepLines/>
      <w:spacing w:after="200"/>
      <w:jc w:val="center"/>
    </w:pPr>
    <w:rPr>
      <w:rFonts w:asciiTheme="minorHAnsi" w:eastAsiaTheme="minorHAnsi" w:hAnsiTheme="minorHAnsi" w:cstheme="minorBidi"/>
      <w:lang w:val="sl" w:eastAsia="en-US"/>
    </w:rPr>
  </w:style>
  <w:style w:type="paragraph" w:styleId="Datum">
    <w:name w:val="Date"/>
    <w:next w:val="Telobesedila"/>
    <w:link w:val="DatumZnak"/>
    <w:qFormat/>
    <w:rsid w:val="00D90A18"/>
    <w:pPr>
      <w:keepNext/>
      <w:keepLines/>
      <w:spacing w:after="200"/>
      <w:jc w:val="center"/>
    </w:pPr>
    <w:rPr>
      <w:rFonts w:asciiTheme="minorHAnsi" w:eastAsiaTheme="minorHAnsi" w:hAnsiTheme="minorHAnsi" w:cstheme="minorBidi"/>
      <w:lang w:val="sl" w:eastAsia="en-US"/>
    </w:rPr>
  </w:style>
  <w:style w:type="character" w:customStyle="1" w:styleId="DatumZnak">
    <w:name w:val="Datum Znak"/>
    <w:basedOn w:val="Privzetapisavaodstavka"/>
    <w:link w:val="Datum"/>
    <w:rsid w:val="00D90A18"/>
    <w:rPr>
      <w:rFonts w:asciiTheme="minorHAnsi" w:eastAsiaTheme="minorHAnsi" w:hAnsiTheme="minorHAnsi" w:cstheme="minorBidi"/>
      <w:lang w:val="sl" w:eastAsia="en-US"/>
    </w:rPr>
  </w:style>
  <w:style w:type="paragraph" w:styleId="Telobesedila">
    <w:name w:val="Body Text"/>
    <w:basedOn w:val="Navaden"/>
    <w:link w:val="TelobesedilaZnak"/>
    <w:uiPriority w:val="99"/>
    <w:unhideWhenUsed/>
    <w:rsid w:val="00D90A18"/>
    <w:pPr>
      <w:spacing w:after="120"/>
    </w:pPr>
  </w:style>
  <w:style w:type="character" w:customStyle="1" w:styleId="TelobesedilaZnak">
    <w:name w:val="Telo besedila Znak"/>
    <w:basedOn w:val="Privzetapisavaodstavka"/>
    <w:link w:val="Telobesedila"/>
    <w:uiPriority w:val="99"/>
    <w:rsid w:val="00D90A18"/>
  </w:style>
  <w:style w:type="character" w:styleId="Intenzivensklic">
    <w:name w:val="Intense Reference"/>
    <w:basedOn w:val="Privzetapisavaodstavka"/>
    <w:uiPriority w:val="32"/>
    <w:qFormat/>
    <w:rsid w:val="00D90A18"/>
    <w:rPr>
      <w:b/>
      <w:bCs/>
      <w:smallCaps/>
      <w:color w:val="4F81BD" w:themeColor="accent1"/>
      <w:spacing w:val="5"/>
    </w:rPr>
  </w:style>
  <w:style w:type="character" w:customStyle="1" w:styleId="Naslov1Znak">
    <w:name w:val="Naslov 1 Znak"/>
    <w:basedOn w:val="Privzetapisavaodstavka"/>
    <w:link w:val="Naslov1"/>
    <w:uiPriority w:val="9"/>
    <w:rsid w:val="00D90A18"/>
    <w:rPr>
      <w:b/>
      <w:bCs/>
      <w:color w:val="1F3864"/>
      <w:sz w:val="36"/>
      <w:szCs w:val="36"/>
    </w:rPr>
  </w:style>
  <w:style w:type="character" w:styleId="Neenpoudarek">
    <w:name w:val="Subtle Emphasis"/>
    <w:basedOn w:val="Privzetapisavaodstavka"/>
    <w:uiPriority w:val="19"/>
    <w:qFormat/>
    <w:rsid w:val="00D90A18"/>
    <w:rPr>
      <w:i/>
      <w:iCs/>
      <w:color w:val="404040" w:themeColor="text1" w:themeTint="BF"/>
    </w:rPr>
  </w:style>
  <w:style w:type="character" w:styleId="Poudarek">
    <w:name w:val="Emphasis"/>
    <w:basedOn w:val="Privzetapisavaodstavka"/>
    <w:uiPriority w:val="20"/>
    <w:qFormat/>
    <w:rsid w:val="00D90A18"/>
    <w:rPr>
      <w:i/>
      <w:iCs/>
    </w:rPr>
  </w:style>
  <w:style w:type="character" w:styleId="Krepko">
    <w:name w:val="Strong"/>
    <w:basedOn w:val="Privzetapisavaodstavka"/>
    <w:uiPriority w:val="22"/>
    <w:qFormat/>
    <w:rsid w:val="00D90A18"/>
    <w:rPr>
      <w:b/>
      <w:bCs/>
    </w:rPr>
  </w:style>
  <w:style w:type="paragraph" w:styleId="Revizija">
    <w:name w:val="Revision"/>
    <w:hidden/>
    <w:uiPriority w:val="99"/>
    <w:semiHidden/>
    <w:rsid w:val="0013617B"/>
  </w:style>
  <w:style w:type="character" w:styleId="Pripombasklic">
    <w:name w:val="annotation reference"/>
    <w:basedOn w:val="Privzetapisavaodstavka"/>
    <w:uiPriority w:val="99"/>
    <w:semiHidden/>
    <w:unhideWhenUsed/>
    <w:rsid w:val="00EA618C"/>
    <w:rPr>
      <w:sz w:val="16"/>
      <w:szCs w:val="16"/>
    </w:rPr>
  </w:style>
  <w:style w:type="paragraph" w:styleId="Pripombabesedilo">
    <w:name w:val="annotation text"/>
    <w:basedOn w:val="Navaden"/>
    <w:link w:val="PripombabesediloZnak"/>
    <w:uiPriority w:val="99"/>
    <w:semiHidden/>
    <w:unhideWhenUsed/>
    <w:rsid w:val="00EA618C"/>
    <w:rPr>
      <w:sz w:val="20"/>
      <w:szCs w:val="20"/>
    </w:rPr>
  </w:style>
  <w:style w:type="character" w:customStyle="1" w:styleId="PripombabesediloZnak">
    <w:name w:val="Pripomba – besedilo Znak"/>
    <w:basedOn w:val="Privzetapisavaodstavka"/>
    <w:link w:val="Pripombabesedilo"/>
    <w:uiPriority w:val="99"/>
    <w:semiHidden/>
    <w:rsid w:val="00EA618C"/>
    <w:rPr>
      <w:sz w:val="20"/>
      <w:szCs w:val="20"/>
    </w:rPr>
  </w:style>
  <w:style w:type="paragraph" w:styleId="Zadevapripombe">
    <w:name w:val="annotation subject"/>
    <w:basedOn w:val="Pripombabesedilo"/>
    <w:next w:val="Pripombabesedilo"/>
    <w:link w:val="ZadevapripombeZnak"/>
    <w:uiPriority w:val="99"/>
    <w:semiHidden/>
    <w:unhideWhenUsed/>
    <w:rsid w:val="00EA618C"/>
    <w:rPr>
      <w:b/>
      <w:bCs/>
    </w:rPr>
  </w:style>
  <w:style w:type="character" w:customStyle="1" w:styleId="ZadevapripombeZnak">
    <w:name w:val="Zadeva pripombe Znak"/>
    <w:basedOn w:val="PripombabesediloZnak"/>
    <w:link w:val="Zadevapripombe"/>
    <w:uiPriority w:val="99"/>
    <w:semiHidden/>
    <w:rsid w:val="00EA618C"/>
    <w:rPr>
      <w:b/>
      <w:bCs/>
      <w:sz w:val="20"/>
      <w:szCs w:val="20"/>
    </w:rPr>
  </w:style>
  <w:style w:type="paragraph" w:styleId="Glava">
    <w:name w:val="header"/>
    <w:basedOn w:val="Navaden"/>
    <w:link w:val="GlavaZnak"/>
    <w:uiPriority w:val="99"/>
    <w:unhideWhenUsed/>
    <w:rsid w:val="007D30D3"/>
    <w:pPr>
      <w:tabs>
        <w:tab w:val="center" w:pos="4536"/>
        <w:tab w:val="right" w:pos="9072"/>
      </w:tabs>
    </w:pPr>
  </w:style>
  <w:style w:type="character" w:customStyle="1" w:styleId="GlavaZnak">
    <w:name w:val="Glava Znak"/>
    <w:basedOn w:val="Privzetapisavaodstavka"/>
    <w:link w:val="Glava"/>
    <w:uiPriority w:val="99"/>
    <w:rsid w:val="007D30D3"/>
  </w:style>
  <w:style w:type="paragraph" w:styleId="Noga">
    <w:name w:val="footer"/>
    <w:basedOn w:val="Navaden"/>
    <w:link w:val="NogaZnak"/>
    <w:uiPriority w:val="99"/>
    <w:unhideWhenUsed/>
    <w:rsid w:val="007D30D3"/>
    <w:pPr>
      <w:tabs>
        <w:tab w:val="center" w:pos="4536"/>
        <w:tab w:val="right" w:pos="9072"/>
      </w:tabs>
    </w:pPr>
  </w:style>
  <w:style w:type="character" w:customStyle="1" w:styleId="NogaZnak">
    <w:name w:val="Noga Znak"/>
    <w:basedOn w:val="Privzetapisavaodstavka"/>
    <w:link w:val="Noga"/>
    <w:uiPriority w:val="99"/>
    <w:rsid w:val="007D30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D50D2A4-60D7-4EFB-AFA4-727AB02BD1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591</TotalTime>
  <Pages>57</Pages>
  <Words>22165</Words>
  <Characters>126344</Characters>
  <Application>Microsoft Office Word</Application>
  <DocSecurity>0</DocSecurity>
  <Lines>1052</Lines>
  <Paragraphs>296</Paragraphs>
  <ScaleCrop>false</ScaleCrop>
  <HeadingPairs>
    <vt:vector size="2" baseType="variant">
      <vt:variant>
        <vt:lpstr>Naslov</vt:lpstr>
      </vt:variant>
      <vt:variant>
        <vt:i4>1</vt:i4>
      </vt:variant>
    </vt:vector>
  </HeadingPairs>
  <TitlesOfParts>
    <vt:vector size="1" baseType="lpstr">
      <vt:lpstr>Priporočila za implementacijo Direktive (EU) 2024/2831 o izboljšanju delovnih pogojev v platformnem delu</vt:lpstr>
    </vt:vector>
  </TitlesOfParts>
  <Company/>
  <LinksUpToDate>false</LinksUpToDate>
  <CharactersWithSpaces>148213</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Priporočila za implementacijo Direktive (EU) 2024/2831 o izboljšanju delovnih pogojev v platformnem delu</dc:title>
  <dc:subject>Predajni dokument projekta SDDP (D3.1)</dc:subject>
  <dc:creator>SDDP konzorcij: ZSSS, ETUC, ÖGB, CGIL, UIL</dc:creator>
  <keywords>platformno delo, direktiva, socialni dialog, algoritmično upravljanje, docId:87C271F0454319CD06DAC11D0C50CF90</keywords>
  <lastModifiedBy>Mladi Plus</lastModifiedBy>
  <revision>86</revision>
  <dcterms:created xsi:type="dcterms:W3CDTF">2026-02-25T00:00:00.0000000Z</dcterms:created>
  <dcterms:modified xsi:type="dcterms:W3CDTF">2026-09-09T10:14:00.0000000Z</dcterms:modified>
</coreProperties>
</file>