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0A18" w:rsidP="00750824" w:rsidRDefault="00D90A18" w14:paraId="5A9BF215" w14:textId="77777777">
      <w:pPr>
        <w:jc w:val="both"/>
      </w:pPr>
    </w:p>
    <w:p w:rsidR="00BD3FB5" w:rsidP="00750824" w:rsidRDefault="00D90A18" w14:paraId="2BA2F456" w14:textId="375C769E">
      <w:pPr>
        <w:pStyle w:val="Naslov"/>
        <w:jc w:val="center"/>
        <w:rPr>
          <w:rStyle w:val="Intenzivensklic"/>
          <w:b w:val="0"/>
          <w:bCs w:val="0"/>
          <w:i/>
          <w:iCs/>
          <w:u w:val="single"/>
        </w:rPr>
      </w:pPr>
      <w:r>
        <w:rPr>
          <w:rStyle w:val="Intenzivensklic"/>
          <w:b w:val="0"/>
          <w:bCs w:val="0"/>
          <w:i/>
          <w:iCs/>
          <w:u w:val="single"/>
        </w:rPr>
        <w:t xml:space="preserve">Raccomandazioni per l’attuazione della direttiva (UE) 2024/2831</w:t>
      </w:r>
    </w:p>
    <w:p w:rsidR="00D90A18" w:rsidP="00750824" w:rsidRDefault="00D90A18" w14:paraId="25843F84" w14:textId="77777777">
      <w:pPr>
        <w:pStyle w:val="Naslov"/>
        <w:jc w:val="center"/>
        <w:rPr>
          <w:rStyle w:val="Intenzivensklic"/>
          <w:b w:val="0"/>
          <w:bCs w:val="0"/>
          <w:i/>
          <w:iCs/>
          <w:u w:val="single"/>
        </w:rPr>
      </w:pPr>
      <w:r>
        <w:rPr>
          <w:rStyle w:val="Intenzivensklic"/>
          <w:b w:val="0"/>
          <w:bCs w:val="0"/>
          <w:i/>
          <w:iCs/>
          <w:u w:val="single"/>
        </w:rPr>
        <w:t xml:space="preserve">sul miglioramento delle condizioni di lavoro nel </w:t>
      </w:r>
      <w:r>
        <w:rPr>
          <w:rStyle w:val="Intenzivensklic"/>
          <w:b w:val="0"/>
          <w:bCs w:val="0"/>
          <w:i/>
          <w:iCs/>
          <w:u w:val="single"/>
        </w:rPr>
        <w:t xml:space="preserve">settore del lavoro </w:t>
      </w:r>
      <w:r>
        <w:rPr>
          <w:rStyle w:val="Intenzivensklic"/>
          <w:b w:val="0"/>
          <w:bCs w:val="0"/>
          <w:i/>
          <w:iCs/>
          <w:u w:val="single"/>
        </w:rPr>
        <w:t xml:space="preserve">tramite piattaforme</w:t>
      </w:r>
    </w:p>
    <w:p w:rsidRPr="00BD3FB5" w:rsidR="00A60CFC" w:rsidP="00750824" w:rsidRDefault="00A60CFC" w14:paraId="12B3F942" w14:textId="77777777">
      <w:pPr>
        <w:pStyle w:val="Naslov"/>
        <w:jc w:val="center"/>
        <w:rPr>
          <w:rStyle w:val="Intenzivensklic"/>
          <w:b w:val="0"/>
          <w:bCs w:val="0"/>
          <w:i/>
          <w:iCs/>
          <w:u w:val="single"/>
        </w:rPr>
      </w:pPr>
    </w:p>
    <w:p w:rsidRPr="00D90A18" w:rsidR="00D90A18" w:rsidP="00750824" w:rsidRDefault="00D90A18" w14:paraId="5D856E3D" w14:textId="77777777">
      <w:pPr>
        <w:pStyle w:val="Naslov"/>
        <w:jc w:val="center"/>
        <w:rPr>
          <w:rStyle w:val="Intenzivensklic"/>
        </w:rPr>
      </w:pPr>
    </w:p>
    <w:p w:rsidR="00D90A18" w:rsidP="00750824" w:rsidRDefault="00D90A18" w14:paraId="62E2F858" w14:textId="3725485B">
      <w:pPr>
        <w:pStyle w:val="Author"/>
      </w:pPr>
      <w:r>
        <w:t xml:space="preserve">Consorzio SDDP </w:t>
      </w:r>
      <w:r w:rsidR="00D7386B">
        <w:t xml:space="preserve">– </w:t>
      </w:r>
      <w:r>
        <w:t xml:space="preserve">ZSSS, ÖGB, CGIL, OPZZ, ABVV-FTB, in collaborazione con la CES</w:t>
      </w:r>
    </w:p>
    <w:p w:rsidR="00D90A18" w:rsidP="00750824" w:rsidRDefault="00D90A18" w14:paraId="2C3A4E1A" w14:textId="5D40D7A6">
      <w:pPr>
        <w:pStyle w:val="Datum"/>
      </w:pPr>
      <w:r>
        <w:t xml:space="preserve">Febbraio 2026</w:t>
      </w:r>
    </w:p>
    <w:p w:rsidR="00A60CFC" w:rsidP="00750824" w:rsidRDefault="00A60CFC" w14:paraId="4DEA4B84" w14:textId="77777777">
      <w:pPr>
        <w:pStyle w:val="Telobesedila"/>
        <w:jc w:val="both"/>
        <w:rPr>
          <w:lang w:val="sl" w:eastAsia="en-US"/>
        </w:rPr>
      </w:pPr>
    </w:p>
    <w:p w:rsidR="00A60CFC" w:rsidP="00750824" w:rsidRDefault="00A60CFC" w14:paraId="69341DEF" w14:textId="77777777">
      <w:pPr>
        <w:pStyle w:val="Telobesedila"/>
        <w:jc w:val="both"/>
        <w:rPr>
          <w:lang w:val="sl" w:eastAsia="en-US"/>
        </w:rPr>
      </w:pPr>
    </w:p>
    <w:p w:rsidRPr="00A60CFC" w:rsidR="00A60CFC" w:rsidP="00750824" w:rsidRDefault="00A60CFC" w14:paraId="6DCAF6C0" w14:textId="77777777">
      <w:pPr>
        <w:pStyle w:val="Telobesedila"/>
        <w:jc w:val="both"/>
        <w:rPr>
          <w:lang w:val="sl" w:eastAsia="en-US"/>
        </w:rPr>
      </w:pPr>
    </w:p>
    <w:p w:rsidR="00D90A18" w:rsidP="00750824" w:rsidRDefault="00D90A18" w14:paraId="53D301A7" w14:textId="77777777">
      <w:pPr>
        <w:pStyle w:val="Telobesedila"/>
        <w:jc w:val="both"/>
        <w:rPr>
          <w:lang w:val="sl" w:eastAsia="en-US"/>
        </w:rPr>
      </w:pPr>
    </w:p>
    <w:p w:rsidR="00D90A18" w:rsidP="00750824" w:rsidRDefault="00D90A18" w14:paraId="60F34513" w14:textId="77777777">
      <w:pPr>
        <w:pStyle w:val="Naslov1"/>
        <w:jc w:val="both"/>
      </w:pPr>
      <w:bookmarkStart w:name="_Toc233699476" w:id="0"/>
      <w:r>
        <w:t xml:space="preserve">Sintesi</w:t>
      </w:r>
      <w:bookmarkEnd w:id="0"/>
    </w:p>
    <w:p w:rsidR="00FC19E2" w:rsidP="00750824" w:rsidRDefault="00000000" w14:paraId="6FADC8D5" w14:textId="7889377D">
      <w:pPr>
        <w:jc w:val="both"/>
      </w:pPr>
      <w:r>
        <w:t xml:space="preserve">Il presente documento contiene raccomandazioni per il recepimento della Direttiva (UE) 2024/2831 </w:t>
      </w:r>
      <w:r w:rsidR="0013617B">
        <w:t xml:space="preserve">(di seguito: la direttiva) </w:t>
      </w:r>
      <w:r>
        <w:t xml:space="preserve">sul miglioramento delle condizioni di lavoro nel </w:t>
      </w:r>
      <w:r>
        <w:t xml:space="preserve">settore </w:t>
      </w:r>
      <w:r>
        <w:t xml:space="preserve">delle piattaforme digitali </w:t>
      </w:r>
      <w:r>
        <w:t xml:space="preserve">nelle legislazioni nazionali degli Stati membri dell’UE. Le raccomandazioni sono state elaborate dal consorzio </w:t>
      </w:r>
      <w:r w:rsidR="0013617B">
        <w:t xml:space="preserve">del progetto </w:t>
      </w:r>
      <w:r w:rsidR="00DB0B6E">
        <w:t xml:space="preserve">«Establishing </w:t>
      </w:r>
      <w:r w:rsidR="00DB0B6E">
        <w:t xml:space="preserve">and </w:t>
      </w:r>
      <w:r w:rsidR="00DB0B6E">
        <w:t xml:space="preserve">Strengthening </w:t>
      </w:r>
      <w:r w:rsidR="00DB0B6E">
        <w:t xml:space="preserve">Social </w:t>
      </w:r>
      <w:r w:rsidR="00DB0B6E">
        <w:t xml:space="preserve">Dialogue </w:t>
      </w:r>
      <w:r w:rsidR="00DB0B6E">
        <w:t xml:space="preserve">in </w:t>
      </w:r>
      <w:r w:rsidR="00DB0B6E">
        <w:t xml:space="preserve">Digital </w:t>
      </w:r>
      <w:r w:rsidR="00DB0B6E">
        <w:t xml:space="preserve">Platforms</w:t>
      </w:r>
      <w:r w:rsidR="0013617B">
        <w:t xml:space="preserve">» (</w:t>
      </w:r>
      <w:r>
        <w:t xml:space="preserve">SDDP</w:t>
      </w:r>
      <w:r w:rsidR="0013617B">
        <w:t xml:space="preserve">) </w:t>
      </w:r>
      <w:r>
        <w:t xml:space="preserve">(ZSSS, ÖGB, CGIL, OPZZ, ABVV-FTB, in collaborazione con la CES) sulla base </w:t>
      </w:r>
      <w:r w:rsidR="0013617B">
        <w:t xml:space="preserve">di un</w:t>
      </w:r>
      <w:r>
        <w:t xml:space="preserve"> progetto</w:t>
      </w:r>
      <w:r w:rsidR="0013617B">
        <w:t xml:space="preserve"> biennale </w:t>
      </w:r>
      <w:r w:rsidR="0013617B">
        <w:t xml:space="preserve">realizzato </w:t>
      </w:r>
      <w:r>
        <w:t xml:space="preserve">in cinque paesi partner (Slovenia, Austria, Italia, Belgio, Polonia). Il documento copre dieci capitoli tematici: ambito di applicazione e definizioni, presunzione legale </w:t>
      </w:r>
      <w:r w:rsidR="00CF3B80">
        <w:t xml:space="preserve">di rapporto di lavoro </w:t>
      </w:r>
      <w:r>
        <w:t xml:space="preserve">(</w:t>
      </w:r>
      <w:r>
        <w:t xml:space="preserve">«legal </w:t>
      </w:r>
      <w:r>
        <w:t xml:space="preserve">presumption </w:t>
      </w:r>
      <w:r>
        <w:t xml:space="preserve">of </w:t>
      </w:r>
      <w:r w:rsidR="0013617B">
        <w:t xml:space="preserve">employment»</w:t>
      </w:r>
      <w:r>
        <w:t xml:space="preserve">), gestione algoritmica (</w:t>
      </w:r>
      <w:r>
        <w:t xml:space="preserve">«algorithmic </w:t>
      </w:r>
      <w:r>
        <w:t xml:space="preserve">management </w:t>
      </w:r>
      <w:r w:rsidR="0013617B">
        <w:t xml:space="preserve">(AM)»</w:t>
      </w:r>
      <w:r>
        <w:t xml:space="preserve">), protezione </w:t>
      </w:r>
      <w:r>
        <w:t xml:space="preserve">dei dati</w:t>
      </w:r>
      <w:r w:rsidR="0013617B">
        <w:t xml:space="preserve"> personali </w:t>
      </w:r>
      <w:r>
        <w:t xml:space="preserve">e privacy, diritti collettivi e dialogo sociale, applicazione della direttiva, ambito di applicazione più ampio e sfide di attuazione.</w:t>
      </w:r>
      <w:r w:rsidR="0013617B">
        <w:t xml:space="preserve"> Il termine per il recepimento nella legislazione nazionale è il 2 dicembre 2026.</w:t>
      </w:r>
    </w:p>
    <w:p w:rsidR="00A60CFC" w:rsidP="00750824" w:rsidRDefault="00A60CFC" w14:paraId="7F54D8C2" w14:textId="77777777">
      <w:pPr>
        <w:jc w:val="both"/>
      </w:pPr>
    </w:p>
    <w:p w:rsidR="00750824" w:rsidP="00750824" w:rsidRDefault="00000000" w14:paraId="78FE98E6" w14:textId="2F072ADA">
      <w:pPr>
        <w:jc w:val="both"/>
      </w:pPr>
      <w:r>
        <w:t xml:space="preserve">Il filo conduttore del documento è il dialogo sociale come ponte tra l’adozione della direttiva e la sua effettiva attuazione. I cinque elementi fondamentali, senza i quali il recepimento non raggiungerà lo scopo della direttiva</w:t>
      </w:r>
      <w:r w:rsidR="0013617B">
        <w:t xml:space="preserve">, sono</w:t>
      </w:r>
      <w:r>
        <w:t xml:space="preserve">: (1) la presunzione giuridica </w:t>
      </w:r>
      <w:r w:rsidR="00CF3B80">
        <w:t xml:space="preserve">di rapporto di lavoro </w:t>
      </w:r>
      <w:r>
        <w:t xml:space="preserve">senza criteri aggiuntivi; (2) ispettorati del lavoro rafforzati (</w:t>
      </w:r>
      <w:r>
        <w:t xml:space="preserve">«labour </w:t>
      </w:r>
      <w:r w:rsidR="0013617B">
        <w:t xml:space="preserve">inspectorates»</w:t>
      </w:r>
      <w:r>
        <w:t xml:space="preserve">) con accesso in </w:t>
      </w:r>
      <w:r>
        <w:t xml:space="preserve">tempo</w:t>
      </w:r>
      <w:r w:rsidR="0013617B">
        <w:t xml:space="preserve"> reale</w:t>
      </w:r>
      <w:r>
        <w:t xml:space="preserve"> ai sistemi algoritmici</w:t>
      </w:r>
      <w:r>
        <w:t xml:space="preserve">; (3) un meccanismo di tutela collettiva temporanea per la durata del procedimento di accertamento dello status lavorativo; (4) </w:t>
      </w:r>
      <w:r>
        <w:t xml:space="preserve">la responsabilità </w:t>
      </w:r>
      <w:r w:rsidR="00A25A76">
        <w:t xml:space="preserve">solidale</w:t>
      </w:r>
      <w:r>
        <w:t xml:space="preserve"> obbligatoria </w:t>
      </w:r>
      <w:r>
        <w:t xml:space="preserve">(</w:t>
      </w:r>
      <w:r>
        <w:t xml:space="preserve">«joint </w:t>
      </w:r>
      <w:r w:rsidR="0013617B">
        <w:t xml:space="preserve">liability»</w:t>
      </w:r>
      <w:r>
        <w:t xml:space="preserve">) delle piattaforme per gli obblighi dei subappaltatori e degli intermediari; (5) procedimenti collettivi per l’esercizio dei diritti senza il consenso individuale del singolo lavoratore. </w:t>
      </w:r>
    </w:p>
    <w:p w:rsidR="009B7FA3" w:rsidP="00750824" w:rsidRDefault="00000000" w14:paraId="00CC0001" w14:textId="4B261084">
      <w:pPr>
        <w:pStyle w:val="Naslov1"/>
        <w:jc w:val="both"/>
      </w:pPr>
      <w:bookmarkStart w:name="_Toc233699477" w:id="1"/>
      <w:r>
        <w:lastRenderedPageBreak/>
      </w:r>
      <w:r>
        <w:t xml:space="preserve">10 raccomandazioni chiave</w:t>
      </w:r>
      <w:bookmarkEnd w:id="1"/>
    </w:p>
    <w:p w:rsidR="009B7FA3" w:rsidP="00750824" w:rsidRDefault="00000000" w14:paraId="00CC0002" w14:textId="7D23F4BB">
      <w:pPr>
        <w:pStyle w:val="Telobesedila"/>
        <w:jc w:val="both"/>
      </w:pPr>
      <w:r>
        <w:t xml:space="preserve">Il presente documento contiene 44 raccomandazioni, suddivise in dieci capitoli tematici. L’elenco che segue riassume </w:t>
      </w:r>
      <w:r>
        <w:t xml:space="preserve">le dieci raccomandazioni</w:t>
      </w:r>
      <w:r w:rsidR="0013617B">
        <w:t xml:space="preserve"> chiave</w:t>
      </w:r>
      <w:r>
        <w:t xml:space="preserve">, senza le quali l’attuazione della direttiva non raggiungerà il proprio scopo </w:t>
      </w:r>
      <w:r w:rsidR="00D7386B">
        <w:t xml:space="preserve">– </w:t>
      </w:r>
      <w:r>
        <w:t xml:space="preserve">indipendentemente da quanto </w:t>
      </w:r>
      <w:r w:rsidR="0013617B">
        <w:t xml:space="preserve">adeguato </w:t>
      </w:r>
      <w:r>
        <w:t xml:space="preserve">possa essere il testo della legge. Si tratta di raccomandazioni che colmano le principali lacune strutturali tra il testo della direttiva e la sua applicazione </w:t>
      </w:r>
      <w:r w:rsidR="0013617B">
        <w:t xml:space="preserve">nella pratica</w:t>
      </w:r>
      <w:r>
        <w:t xml:space="preserve">. Ciascuna di esse è spiegata in dettaglio nel capitolo corrispondente.</w:t>
      </w:r>
    </w:p>
    <w:p w:rsidR="009B7FA3" w:rsidP="00750824" w:rsidRDefault="009B7FA3" w14:paraId="00CC0003" w14:textId="77777777">
      <w:pPr>
        <w:jc w:val="both"/>
      </w:pPr>
    </w:p>
    <w:p w:rsidR="009B7FA3" w:rsidP="00750824" w:rsidRDefault="00000000" w14:paraId="00CC0010" w14:textId="7E5E0AD7">
      <w:pPr>
        <w:pStyle w:val="Naslov3"/>
        <w:jc w:val="both"/>
      </w:pPr>
      <w:r>
        <w:t xml:space="preserve">1. Presunzione giuridica </w:t>
      </w:r>
      <w:r w:rsidR="00CF3B80">
        <w:t xml:space="preserve">di rapporto di lavoro </w:t>
      </w:r>
      <w:r>
        <w:t xml:space="preserve">senza criteri aggiuntivi (Raccomandazione 3.1)</w:t>
      </w:r>
    </w:p>
    <w:p w:rsidR="009B7FA3" w:rsidP="00750824" w:rsidRDefault="0013617B" w14:paraId="00CC0011" w14:textId="7B05AD2F">
      <w:pPr>
        <w:pStyle w:val="Telobesedila"/>
        <w:jc w:val="both"/>
      </w:pPr>
      <w:r>
        <w:t xml:space="preserve">La presunzione giuridica </w:t>
      </w:r>
      <w:r w:rsidR="00CF3B80">
        <w:t xml:space="preserve">di rapporto di lavoro </w:t>
      </w:r>
      <w:r>
        <w:t xml:space="preserve">è il fondamento su cui si basa la direttiva. </w:t>
      </w:r>
      <w:r>
        <w:t xml:space="preserve">Le leggi nazionali non possono richiedere il soddisfacimento di criteri aggiuntivi; è sufficiente un unico cosiddetto indicatore fattuale, poiché la direttiva si basa sul principio della «primazia dei fatti</w:t>
      </w:r>
      <w:r>
        <w:t xml:space="preserve">»</w:t>
      </w:r>
      <w:r>
        <w:t xml:space="preserve"> (</w:t>
      </w:r>
      <w:r>
        <w:t xml:space="preserve">«primacy </w:t>
      </w:r>
      <w:r>
        <w:t xml:space="preserve">of </w:t>
      </w:r>
      <w:r>
        <w:t xml:space="preserve">facts»). </w:t>
      </w:r>
      <w:r w:rsidR="00D7386B">
        <w:t xml:space="preserve">Se è un dato di fatto che il lavoratore sia sottoposto a controllo e riceva istruzioni, ciò è sufficiente per avviare la procedura di riconoscimento </w:t>
      </w:r>
      <w:r w:rsidR="00CF3B80">
        <w:t xml:space="preserve">del rapporto di lavoro</w:t>
      </w:r>
      <w:r w:rsidR="00D7386B">
        <w:t xml:space="preserve">. Qualsiasi criterio aggiuntivo consentirà alle piattaforme di scegliere la via dell’ambiguità e dei procedimenti giudiziari anziché rispettare la direttiva. </w:t>
      </w:r>
    </w:p>
    <w:p w:rsidR="009B7FA3" w:rsidP="00750824" w:rsidRDefault="009B7FA3" w14:paraId="00CC0012" w14:textId="77777777">
      <w:pPr>
        <w:jc w:val="both"/>
      </w:pPr>
    </w:p>
    <w:p w:rsidR="009B7FA3" w:rsidP="00750824" w:rsidRDefault="00000000" w14:paraId="00CC0020" w14:textId="03CB63AC">
      <w:pPr>
        <w:pStyle w:val="Naslov3"/>
        <w:jc w:val="both"/>
      </w:pPr>
      <w:r>
        <w:t xml:space="preserve">2. L’ispettorato come </w:t>
      </w:r>
      <w:r>
        <w:t xml:space="preserve">via</w:t>
      </w:r>
      <w:r w:rsidR="00D7386B">
        <w:t xml:space="preserve"> principale </w:t>
      </w:r>
      <w:r w:rsidR="00D7386B">
        <w:t xml:space="preserve">– </w:t>
      </w:r>
      <w:r>
        <w:t xml:space="preserve">non il tribunale (Raccomandazione 3.2)</w:t>
      </w:r>
    </w:p>
    <w:p w:rsidR="009B7FA3" w:rsidP="00750824" w:rsidRDefault="00000000" w14:paraId="00CC0021" w14:textId="793F41BE">
      <w:pPr>
        <w:pStyle w:val="Telobesedila"/>
        <w:jc w:val="both"/>
      </w:pPr>
      <w:r>
        <w:t xml:space="preserve">La determinazione dello status lavorativo deve poter avvenire tramite un procedimento amministrativo dinanzi all’ispettorato del lavoro (</w:t>
      </w:r>
      <w:r>
        <w:t xml:space="preserve">«labour </w:t>
      </w:r>
      <w:r w:rsidR="00D7386B">
        <w:t xml:space="preserve">inspectorate»</w:t>
      </w:r>
      <w:r>
        <w:t xml:space="preserve">) </w:t>
      </w:r>
      <w:r w:rsidR="00D7386B">
        <w:t xml:space="preserve">– </w:t>
      </w:r>
      <w:r>
        <w:t xml:space="preserve">in modo rapido, accessibile e senza costi iniziali a carico del lavoratore. Un lavoratore costretto a intraprendere un lungo iter giudiziario ha già perso la battaglia, indipendentemente dall’esito.</w:t>
      </w:r>
    </w:p>
    <w:p w:rsidR="009B7FA3" w:rsidP="00750824" w:rsidRDefault="009B7FA3" w14:paraId="00CC0022" w14:textId="77777777">
      <w:pPr>
        <w:jc w:val="both"/>
      </w:pPr>
    </w:p>
    <w:p w:rsidR="009B7FA3" w:rsidP="00750824" w:rsidRDefault="00000000" w14:paraId="00CC0030" w14:textId="1FD00F05">
      <w:pPr>
        <w:pStyle w:val="Naslov3"/>
        <w:jc w:val="both"/>
      </w:pPr>
      <w:r>
        <w:t xml:space="preserve">3. Tutela collettiva provvisoria durante la contestazione </w:t>
      </w:r>
      <w:r w:rsidR="00CF3B80">
        <w:t xml:space="preserve">del rapporto di lavoro </w:t>
      </w:r>
      <w:r>
        <w:t xml:space="preserve">(Raccomandazione 6.5)</w:t>
      </w:r>
    </w:p>
    <w:p w:rsidR="009B7FA3" w:rsidP="00750824" w:rsidRDefault="00000000" w14:paraId="00CC0031" w14:textId="599C4D71">
      <w:pPr>
        <w:pStyle w:val="Telobesedila"/>
        <w:jc w:val="both"/>
      </w:pPr>
      <w:r>
        <w:t xml:space="preserve">Quando l’ispettorato accerta che la piattaforma è il datore di lavoro, la piattaforma </w:t>
      </w:r>
      <w:r w:rsidR="00D7386B">
        <w:t xml:space="preserve">può </w:t>
      </w:r>
      <w:r>
        <w:t xml:space="preserve">contestare </w:t>
      </w:r>
      <w:r>
        <w:t xml:space="preserve">tale accertamento </w:t>
      </w:r>
      <w:r>
        <w:t xml:space="preserve">in tribunale. </w:t>
      </w:r>
      <w:r w:rsidR="00D7386B">
        <w:t xml:space="preserve">I procedimenti giudiziari nella maggior parte dei paesi </w:t>
      </w:r>
      <w:r>
        <w:t xml:space="preserve">durano anni. In questo periodo </w:t>
      </w:r>
      <w:r w:rsidR="00D7386B">
        <w:t xml:space="preserve">i lavoratori </w:t>
      </w:r>
      <w:r>
        <w:t xml:space="preserve">non devono rimanere senza tutela: le retribuzioni e i contributi </w:t>
      </w:r>
      <w:r w:rsidR="00D7386B">
        <w:t xml:space="preserve">devono essere versati in conformità con la legislazione che disciplina i diritti derivanti </w:t>
      </w:r>
      <w:r w:rsidR="00CF3B80">
        <w:t xml:space="preserve">dal rapporto di lavoro</w:t>
      </w:r>
      <w:r>
        <w:t xml:space="preserve">, fino a quando il tribunale non decida diversamente. Il rischio di un errore di valutazione ricade sullo Stato</w:t>
      </w:r>
      <w:r w:rsidR="00D7386B">
        <w:t xml:space="preserve">, </w:t>
      </w:r>
      <w:r>
        <w:t xml:space="preserve">non sul lavoratore. Senza questo meccanismo, ogni presunzione legale è solo </w:t>
      </w:r>
      <w:r w:rsidR="00D7386B">
        <w:t xml:space="preserve">una lettera morta sulla carta.</w:t>
      </w:r>
    </w:p>
    <w:p w:rsidR="009B7FA3" w:rsidP="00750824" w:rsidRDefault="009B7FA3" w14:paraId="00CC0032" w14:textId="77777777">
      <w:pPr>
        <w:jc w:val="both"/>
      </w:pPr>
    </w:p>
    <w:p w:rsidR="009B7FA3" w:rsidP="00750824" w:rsidRDefault="00000000" w14:paraId="00CC0040" w14:textId="3E6E5823">
      <w:pPr>
        <w:pStyle w:val="Naslov3"/>
        <w:jc w:val="both"/>
      </w:pPr>
      <w:r>
        <w:t xml:space="preserve">4. Azione collettiva senza consenso individuale (Raccomandazione 3.5)</w:t>
      </w:r>
    </w:p>
    <w:p w:rsidR="009B7FA3" w:rsidP="00750824" w:rsidRDefault="00000000" w14:paraId="00CC0041" w14:textId="27EB57C4">
      <w:pPr>
        <w:pStyle w:val="Telobesedila"/>
        <w:jc w:val="both"/>
      </w:pPr>
      <w:r>
        <w:t xml:space="preserve">Il sindacato deve </w:t>
      </w:r>
      <w:r w:rsidR="00D7386B">
        <w:t xml:space="preserve">avere la possibilità </w:t>
      </w:r>
      <w:r>
        <w:t xml:space="preserve">di avviare un procedimento per l’accertamento </w:t>
      </w:r>
      <w:r>
        <w:t xml:space="preserve">dello status </w:t>
      </w:r>
      <w:r w:rsidR="00D7386B">
        <w:t xml:space="preserve">lavorativo </w:t>
      </w:r>
      <w:r>
        <w:t xml:space="preserve">o di far valere una violazione della direttiva a nome di un gruppo di lavoratori</w:t>
      </w:r>
      <w:r w:rsidR="00D7386B">
        <w:t xml:space="preserve">, </w:t>
      </w:r>
      <w:r>
        <w:t xml:space="preserve">senza l’obbligo di ottenere il consenso scritto di ogni singolo individuo. </w:t>
      </w:r>
      <w:r>
        <w:t xml:space="preserve">I lavoratori </w:t>
      </w:r>
      <w:r>
        <w:t xml:space="preserve">delle piattaforme</w:t>
      </w:r>
      <w:r>
        <w:t xml:space="preserve">, che temono </w:t>
      </w:r>
      <w:r>
        <w:t xml:space="preserve">la disattivazione </w:t>
      </w:r>
      <w:r>
        <w:t xml:space="preserve">dell’account </w:t>
      </w:r>
      <w:r w:rsidR="00D7386B">
        <w:t xml:space="preserve">e la conseguente perdita del lavoro</w:t>
      </w:r>
      <w:r>
        <w:t xml:space="preserve">, non </w:t>
      </w:r>
      <w:r w:rsidR="00D7386B">
        <w:t xml:space="preserve">firmeranno reclami o consensi per l’avvio dei procedimenti</w:t>
      </w:r>
      <w:r>
        <w:t xml:space="preserve">. L’individualità come condizione procedurale </w:t>
      </w:r>
      <w:r w:rsidR="00D7386B">
        <w:t xml:space="preserve">non rappresenta una tutela, ma solo un meccanismo di elusione per le piattaforme. </w:t>
      </w:r>
    </w:p>
    <w:p w:rsidR="009B7FA3" w:rsidP="00750824" w:rsidRDefault="009B7FA3" w14:paraId="00CC0042" w14:textId="77777777">
      <w:pPr>
        <w:jc w:val="both"/>
      </w:pPr>
    </w:p>
    <w:p w:rsidR="009B7FA3" w:rsidP="00750824" w:rsidRDefault="00000000" w14:paraId="00CC0050" w14:textId="225BD1D1">
      <w:pPr>
        <w:pStyle w:val="Naslov3"/>
        <w:jc w:val="both"/>
      </w:pPr>
      <w:r>
        <w:t xml:space="preserve">5. </w:t>
      </w:r>
      <w:r>
        <w:t xml:space="preserve">La responsabilità </w:t>
      </w:r>
      <w:r w:rsidR="00A25A76">
        <w:t xml:space="preserve">solidale </w:t>
      </w:r>
      <w:r>
        <w:t xml:space="preserve">come obbligo, non come </w:t>
      </w:r>
      <w:r w:rsidR="00061B6E">
        <w:t xml:space="preserve">opzione </w:t>
      </w:r>
      <w:r>
        <w:t xml:space="preserve">(Raccomandazione 3.4)</w:t>
      </w:r>
    </w:p>
    <w:p w:rsidR="009B7FA3" w:rsidP="00750824" w:rsidRDefault="00000000" w14:paraId="00CC0051" w14:textId="56E3F0B5">
      <w:pPr>
        <w:pStyle w:val="Telobesedila"/>
        <w:jc w:val="both"/>
      </w:pPr>
      <w:r>
        <w:lastRenderedPageBreak/>
      </w:r>
      <w:r>
        <w:t xml:space="preserve">La formulazione della direttiva </w:t>
      </w:r>
      <w:r w:rsidR="00792F1C">
        <w:t xml:space="preserve">«</w:t>
      </w:r>
      <w:r>
        <w:t xml:space="preserve">ove </w:t>
      </w:r>
      <w:r w:rsidR="00792F1C">
        <w:t xml:space="preserve">opportuno» </w:t>
      </w:r>
      <w:r w:rsidR="00061B6E">
        <w:t xml:space="preserve">deve costituire </w:t>
      </w:r>
      <w:r>
        <w:t xml:space="preserve">uno standard minimo, non una limitazione </w:t>
      </w:r>
      <w:r w:rsidR="00061B6E">
        <w:t xml:space="preserve">nell’attuazione</w:t>
      </w:r>
      <w:r>
        <w:t xml:space="preserve">. </w:t>
      </w:r>
      <w:r>
        <w:t xml:space="preserve">La responsabilità </w:t>
      </w:r>
      <w:r w:rsidR="00A25A76">
        <w:t xml:space="preserve">solidale </w:t>
      </w:r>
      <w:r>
        <w:t xml:space="preserve">(</w:t>
      </w:r>
      <w:r>
        <w:t xml:space="preserve">«joint </w:t>
      </w:r>
      <w:r w:rsidR="00061B6E">
        <w:t xml:space="preserve">liability</w:t>
      </w:r>
      <w:r>
        <w:t xml:space="preserve">») della piattaforma per </w:t>
      </w:r>
      <w:r w:rsidR="00061B6E">
        <w:t xml:space="preserve">il pagamento </w:t>
      </w:r>
      <w:r>
        <w:t xml:space="preserve">degli stipendi, </w:t>
      </w:r>
      <w:r w:rsidR="00061B6E">
        <w:t xml:space="preserve">il versamento dei contributi </w:t>
      </w:r>
      <w:r>
        <w:t xml:space="preserve">e </w:t>
      </w:r>
      <w:r w:rsidR="00061B6E">
        <w:t xml:space="preserve">la garanzia dei diritti dei lavoratori </w:t>
      </w:r>
      <w:r>
        <w:t xml:space="preserve">nell’intera </w:t>
      </w:r>
      <w:r>
        <w:t xml:space="preserve">catena </w:t>
      </w:r>
      <w:r>
        <w:t xml:space="preserve">di subappalto</w:t>
      </w:r>
      <w:r>
        <w:t xml:space="preserve"> </w:t>
      </w:r>
      <w:r w:rsidR="00061B6E">
        <w:t xml:space="preserve">a cui la piattaforma ricorre </w:t>
      </w:r>
      <w:r>
        <w:t xml:space="preserve">deve essere una disposizione obbligatoria di legge </w:t>
      </w:r>
      <w:r w:rsidR="00D7386B">
        <w:t xml:space="preserve">– </w:t>
      </w:r>
      <w:r>
        <w:t xml:space="preserve">non discrezionale. Il «sistema di flotta» (</w:t>
      </w:r>
      <w:r>
        <w:t xml:space="preserve">«fleet </w:t>
      </w:r>
      <w:r w:rsidR="00061B6E">
        <w:t xml:space="preserve">system»</w:t>
      </w:r>
      <w:r>
        <w:t xml:space="preserve">) e le «società di comodo» (</w:t>
      </w:r>
      <w:r>
        <w:t xml:space="preserve">«shell </w:t>
      </w:r>
      <w:r w:rsidR="00061B6E">
        <w:t xml:space="preserve">companies»</w:t>
      </w:r>
      <w:r>
        <w:t xml:space="preserve">) sono oggi gli strumenti principali di elusione</w:t>
      </w:r>
      <w:r w:rsidR="00061B6E">
        <w:t xml:space="preserve">.</w:t>
      </w:r>
    </w:p>
    <w:p w:rsidR="009B7FA3" w:rsidP="00750824" w:rsidRDefault="009B7FA3" w14:paraId="00CC0052" w14:textId="77777777">
      <w:pPr>
        <w:jc w:val="both"/>
      </w:pPr>
    </w:p>
    <w:p w:rsidR="009B7FA3" w:rsidP="00750824" w:rsidRDefault="00000000" w14:paraId="00CC0060" w14:textId="1CBE7E42">
      <w:pPr>
        <w:pStyle w:val="Naslov3"/>
        <w:jc w:val="both"/>
      </w:pPr>
      <w:r>
        <w:t xml:space="preserve">6. Sanzioni legate al fatturato, non a un massimo astratto (Raccomandazione 7.1)</w:t>
      </w:r>
    </w:p>
    <w:p w:rsidR="009B7FA3" w:rsidP="00750824" w:rsidRDefault="00000000" w14:paraId="00CC0061" w14:textId="33764FDC">
      <w:pPr>
        <w:pStyle w:val="Telobesedila"/>
        <w:jc w:val="both"/>
      </w:pPr>
      <w:r>
        <w:t xml:space="preserve">Un limite fisso previsto dalla legge per l’ammenda (ad es. 50.000</w:t>
      </w:r>
      <w:r w:rsidR="00061B6E">
        <w:t xml:space="preserve">,00 </w:t>
      </w:r>
      <w:r>
        <w:t xml:space="preserve">EUR) rappresenta </w:t>
      </w:r>
      <w:r>
        <w:t xml:space="preserve">una minaccia </w:t>
      </w:r>
      <w:r>
        <w:t xml:space="preserve">poco credibile</w:t>
      </w:r>
      <w:r>
        <w:t xml:space="preserve"> per una piattaforma con ricavi nell’ordine dei miliardi</w:t>
      </w:r>
      <w:r>
        <w:t xml:space="preserve">. Le sanzioni devono essere calcolate come percentuale dei ricavi annuali della piattaforma nel paese in questione: 2% per le violazioni relative alla gestione algoritmica, 4% per le violazioni </w:t>
      </w:r>
      <w:r w:rsidR="00061B6E">
        <w:t xml:space="preserve">relative </w:t>
      </w:r>
      <w:r w:rsidR="00061B6E">
        <w:t xml:space="preserve">agli status</w:t>
      </w:r>
      <w:r w:rsidR="00061B6E">
        <w:t xml:space="preserve"> lavorativi</w:t>
      </w:r>
      <w:r>
        <w:t xml:space="preserve">, fino al 6% per le violazioni sistematiche e ricorrenti. Solo </w:t>
      </w:r>
      <w:r w:rsidR="00061B6E">
        <w:t xml:space="preserve">in questo caso le sanzioni </w:t>
      </w:r>
      <w:r w:rsidR="00061B6E">
        <w:t xml:space="preserve">svolgeranno </w:t>
      </w:r>
      <w:r>
        <w:t xml:space="preserve">la loro funzione </w:t>
      </w:r>
      <w:r w:rsidR="00061B6E">
        <w:t xml:space="preserve">deterrente</w:t>
      </w:r>
      <w:r>
        <w:t xml:space="preserve">.</w:t>
      </w:r>
    </w:p>
    <w:p w:rsidR="009B7FA3" w:rsidP="00750824" w:rsidRDefault="009B7FA3" w14:paraId="00CC0062" w14:textId="77777777">
      <w:pPr>
        <w:jc w:val="both"/>
      </w:pPr>
    </w:p>
    <w:p w:rsidR="009B7FA3" w:rsidP="00750824" w:rsidRDefault="00000000" w14:paraId="00CC0070" w14:textId="20DE727E">
      <w:pPr>
        <w:pStyle w:val="Naslov3"/>
        <w:jc w:val="both"/>
      </w:pPr>
      <w:r>
        <w:t xml:space="preserve">7. Verifica effettiva da parte di un essere umano </w:t>
      </w:r>
      <w:r w:rsidR="00D7386B">
        <w:t xml:space="preserve">– </w:t>
      </w:r>
      <w:r>
        <w:t xml:space="preserve">non la conferma da parte di un algoritmo (Raccomandazione 5.4)</w:t>
      </w:r>
    </w:p>
    <w:p w:rsidR="009B7FA3" w:rsidP="00750824" w:rsidRDefault="00000000" w14:paraId="00CC0071" w14:textId="2CA944E4">
      <w:pPr>
        <w:pStyle w:val="Telobesedila"/>
        <w:jc w:val="both"/>
      </w:pPr>
      <w:r>
        <w:t xml:space="preserve">La legge deve stabilire che la revisione di cui all’articolo 11 </w:t>
      </w:r>
      <w:r w:rsidR="00084394">
        <w:t xml:space="preserve">della direttiva </w:t>
      </w:r>
      <w:r>
        <w:t xml:space="preserve">non sia </w:t>
      </w:r>
      <w:r w:rsidR="00084394">
        <w:t xml:space="preserve">solo </w:t>
      </w:r>
      <w:r>
        <w:t xml:space="preserve">una procedura</w:t>
      </w:r>
      <w:r w:rsidR="00084394">
        <w:t xml:space="preserve"> formale </w:t>
      </w:r>
      <w:r>
        <w:t xml:space="preserve">in cui </w:t>
      </w:r>
      <w:r>
        <w:t xml:space="preserve">il dipendente della piattaforma </w:t>
      </w:r>
      <w:r w:rsidR="00084394">
        <w:t xml:space="preserve">si limiti a </w:t>
      </w:r>
      <w:r w:rsidR="00084394">
        <w:t xml:space="preserve">confermare </w:t>
      </w:r>
      <w:r>
        <w:t xml:space="preserve">il risultato dell’algoritmo. La revisione deve essere effettuata da una persona qualificata che abbia l’effettivo potere di modificare la decisione e che non possa essere sanzionata per averla modificata. Allo stesso tempo, il controllo di cui all’articolo 10 deve essere continuo </w:t>
      </w:r>
      <w:r w:rsidR="00D7386B">
        <w:t xml:space="preserve">– </w:t>
      </w:r>
      <w:r>
        <w:t xml:space="preserve">non solo una revisione biennale che la piattaforma </w:t>
      </w:r>
      <w:r w:rsidR="00084394">
        <w:t xml:space="preserve">effettua </w:t>
      </w:r>
      <w:r>
        <w:t xml:space="preserve">come obbligo amministrativo.</w:t>
      </w:r>
    </w:p>
    <w:p w:rsidR="009B7FA3" w:rsidP="00750824" w:rsidRDefault="009B7FA3" w14:paraId="00CC0072" w14:textId="77777777">
      <w:pPr>
        <w:jc w:val="both"/>
      </w:pPr>
    </w:p>
    <w:p w:rsidR="009B7FA3" w:rsidP="00750824" w:rsidRDefault="00000000" w14:paraId="00CC0080" w14:textId="0025CB50">
      <w:pPr>
        <w:pStyle w:val="Naslov3"/>
        <w:jc w:val="both"/>
      </w:pPr>
      <w:r>
        <w:t xml:space="preserve">8. Tutela contro le ritorsioni con inversione dell’onere della prova (Raccomandazione 7.2)</w:t>
      </w:r>
    </w:p>
    <w:p w:rsidR="009B7FA3" w:rsidP="00750824" w:rsidRDefault="008F0A64" w14:paraId="00CC0081" w14:textId="6EEA69C0">
      <w:pPr>
        <w:pStyle w:val="Telobesedila"/>
        <w:jc w:val="both"/>
      </w:pPr>
      <w:r>
        <w:t xml:space="preserve">Le ritorsioni a seguito dell’esercizio dei diritti consisteranno molto probabilmente in valutazioni più basse dei lavoratori nelle app, in un minor numero di incarichi o lavori assegnati e in </w:t>
      </w:r>
      <w:r w:rsidR="00D7386B">
        <w:t xml:space="preserve">un controllo</w:t>
      </w:r>
      <w:r>
        <w:t xml:space="preserve"> più rigoroso </w:t>
      </w:r>
      <w:r w:rsidR="00D7386B">
        <w:t xml:space="preserve">– </w:t>
      </w:r>
      <w:r>
        <w:t xml:space="preserve">e la legge deve definirle in tal senso. L’onere della </w:t>
      </w:r>
      <w:r>
        <w:t xml:space="preserve">prova</w:t>
      </w:r>
      <w:r>
        <w:t xml:space="preserve"> (</w:t>
      </w:r>
      <w:r>
        <w:t xml:space="preserve">«burden </w:t>
      </w:r>
      <w:r>
        <w:t xml:space="preserve">of </w:t>
      </w:r>
      <w:r>
        <w:t xml:space="preserve">proof») deve essere invertito: il lavoratore deve dimostrare un probabile nesso causale tra l’esercizio dei propri diritti e la misura lesiva, mentre la piattaforma deve dimostrare che la misura è il risultato di fattori oggettivi e non dell’esercizio dei diritti da parte del lavoratore. Senza ciò, qualsiasi tutela formale rimarrà inattuabile nella pratica.</w:t>
      </w:r>
    </w:p>
    <w:p w:rsidR="009B7FA3" w:rsidP="00750824" w:rsidRDefault="009B7FA3" w14:paraId="00CC0082" w14:textId="77777777">
      <w:pPr>
        <w:jc w:val="both"/>
      </w:pPr>
    </w:p>
    <w:p w:rsidR="009B7FA3" w:rsidP="00750824" w:rsidRDefault="00000000" w14:paraId="00CC0090" w14:textId="16EA3121">
      <w:pPr>
        <w:pStyle w:val="Naslov3"/>
        <w:jc w:val="both"/>
      </w:pPr>
      <w:r>
        <w:t xml:space="preserve">9. Divulgazione degli algoritmi nei procedimenti giudiziari e ispettivi (Raccomandazione 7.4)</w:t>
      </w:r>
    </w:p>
    <w:p w:rsidR="009B7FA3" w:rsidP="00750824" w:rsidRDefault="00000000" w14:paraId="00CC0091" w14:textId="3F12F3CB">
      <w:pPr>
        <w:pStyle w:val="Telobesedila"/>
        <w:jc w:val="both"/>
      </w:pPr>
      <w:r>
        <w:t xml:space="preserve">I tribunali e gli organismi di controllo devono essere autorizzati per legge </w:t>
      </w:r>
      <w:r w:rsidR="008F0A64">
        <w:t xml:space="preserve">ad </w:t>
      </w:r>
      <w:r>
        <w:t xml:space="preserve">accedere ai parametri algoritmici, alla cronologia delle decisioni e </w:t>
      </w:r>
      <w:r w:rsidR="008F0A64">
        <w:t xml:space="preserve">ai</w:t>
      </w:r>
      <w:r>
        <w:t xml:space="preserve"> dati di monitoraggio </w:t>
      </w:r>
      <w:r w:rsidR="008F0A64">
        <w:t xml:space="preserve">raccolti dalle applicazioni</w:t>
      </w:r>
      <w:r>
        <w:t xml:space="preserve">. Il ricorso al segreto commerciale non deve costituire una difesa assoluta</w:t>
      </w:r>
      <w:r w:rsidR="008F0A64">
        <w:t xml:space="preserve">. </w:t>
      </w:r>
      <w:r>
        <w:t xml:space="preserve">La legge deve prevedere meccanismi di esame riservato (procedimenti «in camera»). In assenza di ciò, le piattaforme godranno strutturalmente di un vantaggio informativo rispetto a tutti gli altri soggetti coinvolti nei procedimenti.</w:t>
      </w:r>
    </w:p>
    <w:p w:rsidR="009B7FA3" w:rsidP="00750824" w:rsidRDefault="009B7FA3" w14:paraId="00CC0092" w14:textId="77777777">
      <w:pPr>
        <w:jc w:val="both"/>
      </w:pPr>
    </w:p>
    <w:p w:rsidR="009B7FA3" w:rsidP="00750824" w:rsidRDefault="00000000" w14:paraId="00CC00A0" w14:textId="16C92382">
      <w:pPr>
        <w:pStyle w:val="Naslov3"/>
        <w:jc w:val="both"/>
      </w:pPr>
      <w:r>
        <w:t xml:space="preserve">10. Divieto di uno status intermedio: test binario </w:t>
      </w:r>
      <w:r w:rsidR="00CF3B80">
        <w:t xml:space="preserve">di subordinazione </w:t>
      </w:r>
      <w:r>
        <w:t xml:space="preserve">(Raccomandazione 9.1)</w:t>
      </w:r>
    </w:p>
    <w:p w:rsidR="009B7FA3" w:rsidP="00750824" w:rsidRDefault="00000000" w14:paraId="00CC00A1" w14:textId="57EC958A">
      <w:pPr>
        <w:pStyle w:val="Telobesedila"/>
        <w:jc w:val="both"/>
      </w:pPr>
      <w:r>
        <w:t xml:space="preserve">La legge non deve introdurre status intermedi tra il lavoratore dipendente e il lavoratore autonomo </w:t>
      </w:r>
      <w:r w:rsidR="00D7386B">
        <w:t xml:space="preserve">– </w:t>
      </w:r>
      <w:r>
        <w:t xml:space="preserve">i cosiddetti </w:t>
      </w:r>
      <w:r>
        <w:t xml:space="preserve">«lavoratori economicamente </w:t>
      </w:r>
      <w:r w:rsidR="008F0A64">
        <w:t xml:space="preserve">dipendenti», </w:t>
      </w:r>
      <w:r w:rsidR="008F0A64">
        <w:t xml:space="preserve">«parasubordinati» </w:t>
      </w:r>
      <w:r>
        <w:t xml:space="preserve">o categorie simili con </w:t>
      </w:r>
      <w:r>
        <w:t xml:space="preserve">diritti parziali</w:t>
      </w:r>
      <w:r>
        <w:lastRenderedPageBreak/>
      </w:r>
      <w:r>
        <w:t xml:space="preserve"> . La direttiva si basa su un test binario: o </w:t>
      </w:r>
      <w:r w:rsidR="00CF3B80">
        <w:t xml:space="preserve">rapporto di lavoro dipendente </w:t>
      </w:r>
      <w:r>
        <w:t xml:space="preserve">o lavoro autonomo. Un terzo status, che garantisce alle piattaforme </w:t>
      </w:r>
      <w:r w:rsidR="008F0A64">
        <w:t xml:space="preserve">la conformità alla direttiva </w:t>
      </w:r>
      <w:r>
        <w:t xml:space="preserve">senza </w:t>
      </w:r>
      <w:r w:rsidR="008F0A64">
        <w:t xml:space="preserve">tener conto </w:t>
      </w:r>
      <w:r>
        <w:t xml:space="preserve">del suo contenuto, è </w:t>
      </w:r>
      <w:r>
        <w:t xml:space="preserve">la via normativa di elusione più spesso raccomandata </w:t>
      </w:r>
      <w:r w:rsidR="008F0A64">
        <w:t xml:space="preserve">dalle piattaforme stesse </w:t>
      </w:r>
      <w:r w:rsidR="00D7386B">
        <w:t xml:space="preserve">– </w:t>
      </w:r>
      <w:r>
        <w:t xml:space="preserve">e deve essere </w:t>
      </w:r>
      <w:r w:rsidR="008F0A64">
        <w:t xml:space="preserve">stroncata </w:t>
      </w:r>
      <w:r>
        <w:t xml:space="preserve">già nella legge </w:t>
      </w:r>
      <w:r w:rsidR="008F0A64">
        <w:t xml:space="preserve">che recepisce la direttiva</w:t>
      </w:r>
      <w:r>
        <w:t xml:space="preserve">.</w:t>
      </w:r>
    </w:p>
    <w:p w:rsidR="009B7FA3" w:rsidP="00750824" w:rsidRDefault="009B7FA3" w14:paraId="00CC00A2" w14:textId="77777777">
      <w:pPr>
        <w:jc w:val="both"/>
      </w:pPr>
    </w:p>
    <w:p w:rsidR="009B7FA3" w:rsidP="00750824" w:rsidRDefault="00000000" w14:paraId="00CC0200" w14:textId="3E8A04C9">
      <w:pPr>
        <w:pStyle w:val="Telobesedila"/>
        <w:jc w:val="both"/>
      </w:pPr>
      <w:r>
        <w:t xml:space="preserve">Tutte le ulteriori raccomandazioni contenute nel presente documento sono o interpretazioni e concretizzazioni dei dieci punti sopra citati</w:t>
      </w:r>
      <w:r w:rsidR="008F0A64">
        <w:t xml:space="preserve">, </w:t>
      </w:r>
      <w:r>
        <w:t xml:space="preserve">oppure proposte più ambiziose che vanno oltre i requisiti minimi della direttiva. La gerarchia è intenzionale: </w:t>
      </w:r>
      <w:r w:rsidR="008F0A64">
        <w:t xml:space="preserve">uno Stato </w:t>
      </w:r>
      <w:r>
        <w:t xml:space="preserve">che attui almeno questi dieci punti </w:t>
      </w:r>
      <w:r w:rsidR="008F0A64">
        <w:t xml:space="preserve">realizzerà</w:t>
      </w:r>
      <w:r>
        <w:t xml:space="preserve"> il recepimento </w:t>
      </w:r>
      <w:r>
        <w:t xml:space="preserve">in modo tale che la direttiva modifichi effettivamente le condizioni di lavoro sulle piattaforme </w:t>
      </w:r>
      <w:r w:rsidR="008F0A64">
        <w:t xml:space="preserve">a vantaggio dei lavoratori e raggiunga lo scopo della direttiva stessa</w:t>
      </w:r>
      <w:r>
        <w:t xml:space="preserve">.</w:t>
      </w:r>
    </w:p>
    <w:p w:rsidR="009B7FA3" w:rsidP="00750824" w:rsidRDefault="009B7FA3" w14:paraId="00CC0201" w14:textId="77777777">
      <w:pPr>
        <w:jc w:val="both"/>
      </w:pPr>
    </w:p>
    <w:p w:rsidR="00750824" w:rsidRDefault="00750824" w14:paraId="7F66102A" w14:textId="77777777">
      <w:pPr>
        <w:rPr>
          <w:b/>
          <w:bCs/>
          <w:color w:val="1F3864"/>
          <w:sz w:val="36"/>
          <w:szCs w:val="36"/>
        </w:rPr>
      </w:pPr>
      <w:r>
        <w:br w:type="page"/>
      </w:r>
    </w:p>
    <w:p w:rsidR="00D90A18" w:rsidP="00750824" w:rsidRDefault="00D90A18" w14:paraId="5A3CA3C4" w14:textId="7281FA23">
      <w:pPr>
        <w:pStyle w:val="Naslov1"/>
        <w:jc w:val="both"/>
      </w:pPr>
      <w:bookmarkStart w:name="_Toc233699478" w:id="2"/>
      <w:r>
        <w:lastRenderedPageBreak/>
      </w:r>
      <w:r>
        <w:t xml:space="preserve">Prefazione</w:t>
      </w:r>
      <w:bookmarkEnd w:id="2"/>
    </w:p>
    <w:p w:rsidR="00D90A18" w:rsidP="00750824" w:rsidRDefault="00D90A18" w14:paraId="63638BEA" w14:textId="77777777">
      <w:pPr>
        <w:jc w:val="both"/>
      </w:pPr>
      <w:r>
        <w:t xml:space="preserve">Il presente documento è il risultato del progetto SDDP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finanziato dal programma della Commissione europea per il dialogo sociale (SOCPL-2022-SOC-DIAL) e cofinanziato dal Fondo sociale europeo (FSE). Il progetto si è svolto da aprile 2023 a marzo 2026.</w:t>
      </w:r>
    </w:p>
    <w:p w:rsidR="00D90A18" w:rsidP="00750824" w:rsidRDefault="00D90A18" w14:paraId="7CFB778E" w14:textId="77777777">
      <w:pPr>
        <w:jc w:val="both"/>
      </w:pPr>
    </w:p>
    <w:p w:rsidR="00D90A18" w:rsidP="00750824" w:rsidRDefault="00D90A18" w14:paraId="562683D6" w14:textId="7CE76151">
      <w:pPr>
        <w:jc w:val="both"/>
      </w:pPr>
      <w:r>
        <w:t xml:space="preserve">Il consorzio è composto da: ZSSS </w:t>
      </w:r>
      <w:r w:rsidR="00D7386B">
        <w:t xml:space="preserve">– </w:t>
      </w:r>
      <w:r>
        <w:t xml:space="preserve">Federazione dei sindacati liberi della Slovenia (coordinatore), ÖGB </w:t>
      </w:r>
      <w:r w:rsidR="00D7386B">
        <w:t xml:space="preserve">– </w:t>
      </w:r>
      <w:r>
        <w:t xml:space="preserve">Federazione austriaca dei sindacati, CGIL </w:t>
      </w:r>
      <w:r w:rsidR="00D7386B">
        <w:t xml:space="preserve">– </w:t>
      </w:r>
      <w:r>
        <w:t xml:space="preserve">Confederazione Generale Italiana del Lavoro, OPZZ e ABVV-FTB in collaborazione con la CES. </w:t>
      </w:r>
    </w:p>
    <w:p w:rsidR="00DB0B6E" w:rsidP="00750824" w:rsidRDefault="00DB0B6E" w14:paraId="0E9BE49C" w14:textId="77777777">
      <w:pPr>
        <w:jc w:val="both"/>
      </w:pPr>
    </w:p>
    <w:p w:rsidR="00D90A18" w:rsidP="00750824" w:rsidRDefault="00D90A18" w14:paraId="1E9C8F52" w14:textId="0780E0D7">
      <w:pPr>
        <w:jc w:val="both"/>
      </w:pPr>
      <w:r>
        <w:t xml:space="preserve">Il documento si basa sui contributi dei partner </w:t>
      </w:r>
      <w:r w:rsidR="00DB0B6E">
        <w:t xml:space="preserve">del progetto</w:t>
      </w:r>
      <w:r>
        <w:t xml:space="preserve">, </w:t>
      </w:r>
      <w:r>
        <w:t xml:space="preserve">su </w:t>
      </w:r>
      <w:r>
        <w:t xml:space="preserve">tre contratti collettivi </w:t>
      </w:r>
      <w:r w:rsidR="00DB0B6E">
        <w:t xml:space="preserve">stipulati con </w:t>
      </w:r>
      <w:r w:rsidR="00DB0B6E">
        <w:t xml:space="preserve">le imprese </w:t>
      </w:r>
      <w:r w:rsidR="00DB0B6E">
        <w:t xml:space="preserve">di piattaforma</w:t>
      </w:r>
      <w:r>
        <w:t xml:space="preserve">, sulla relazione del gruppo di esperti della Commissione europea per l’attuazione della direttiva (gennaio 2026) e sulle discussioni tenutesi durante la conferenza intermedia a Lubiana nel maggio 2025.</w:t>
      </w:r>
    </w:p>
    <w:p w:rsidR="00D90A18" w:rsidP="00750824" w:rsidRDefault="00D90A18" w14:paraId="773309D0" w14:textId="77777777">
      <w:pPr>
        <w:jc w:val="both"/>
      </w:pPr>
      <w:r>
        <w:t xml:space="preserve">Le raccomandazioni sono rivolte ai ministeri del lavoro degli Stati membri dell’UE e alle parti sociali. Esse rappresentano le posizioni del consorzio SDDP e non necessariamente quelle della Commissione europea o dei singoli Stati membri.</w:t>
      </w:r>
    </w:p>
    <w:p w:rsidR="00D90A18" w:rsidP="00750824" w:rsidRDefault="00D90A18" w14:paraId="7C0C6646" w14:textId="77777777">
      <w:pPr>
        <w:jc w:val="both"/>
      </w:pPr>
    </w:p>
    <w:p w:rsidR="00D90A18" w:rsidP="00750824" w:rsidRDefault="00D90A18" w14:paraId="02BC730F" w14:textId="77777777">
      <w:pPr>
        <w:jc w:val="both"/>
      </w:pPr>
      <w:r>
        <w:t xml:space="preserve">Lubiana, febbraio 2026</w:t>
      </w:r>
    </w:p>
    <w:p w:rsidR="00750824" w:rsidRDefault="00750824" w14:paraId="43DF8F1C" w14:textId="77777777">
      <w:r>
        <w:br w:type="page"/>
      </w:r>
    </w:p>
    <w:sdt>
      <w:sdtPr>
        <w:id w:val="-1059785089"/>
        <w:docPartObj>
          <w:docPartGallery w:val="Table of Contents"/>
          <w:docPartUnique/>
        </w:docPartObj>
      </w:sdtPr>
      <w:sdtContent>
        <w:p w:rsidR="00983F19" w:rsidP="00750824" w:rsidRDefault="00D90A18" w14:paraId="032E0C10" w14:textId="33FE751C">
          <w:pPr>
            <w:jc w:val="both"/>
            <w:rPr>
              <w:b/>
              <w:bCs/>
              <w:color w:val="1F497D" w:themeColor="text2"/>
              <w:sz w:val="32"/>
              <w:szCs w:val="32"/>
            </w:rPr>
          </w:pPr>
          <w:r w:rsidRPr="00750824">
            <w:rPr>
              <w:b/>
              <w:bCs/>
              <w:color w:val="1F497D" w:themeColor="text2"/>
              <w:sz w:val="32"/>
              <w:szCs w:val="32"/>
            </w:rPr>
            <w:t xml:space="preserve">Indice</w:t>
          </w:r>
        </w:p>
        <w:p w:rsidRPr="00750824" w:rsidR="00750824" w:rsidP="00750824" w:rsidRDefault="00750824" w14:paraId="2E64F756" w14:textId="77777777">
          <w:pPr>
            <w:jc w:val="both"/>
            <w:rPr>
              <w:b/>
              <w:bCs/>
              <w:color w:val="1F497D" w:themeColor="text2"/>
              <w:sz w:val="32"/>
              <w:szCs w:val="32"/>
            </w:rPr>
          </w:pPr>
        </w:p>
        <w:p w:rsidR="00615F18" w:rsidRDefault="00000000" w14:paraId="27C0A924" w14:textId="5B2FD599">
          <w:pPr>
            <w:pStyle w:val="Kazalovsebine1"/>
            <w:tabs>
              <w:tab w:val="right" w:leader="dot" w:pos="9016"/>
            </w:tabs>
            <w:rPr>
              <w:rFonts w:asciiTheme="minorHAnsi" w:hAnsiTheme="minorHAnsi" w:eastAsiaTheme="minorEastAsia" w:cstheme="minorBidi"/>
              <w:noProof/>
              <w:kern w:val="2"/>
              <w14:ligatures w14:val="standardContextual"/>
            </w:rPr>
          </w:pPr>
          <w:r>
            <w:fldChar w:fldCharType="begin"/>
          </w:r>
          <w:r>
            <w:instrText>TOC \o "1-2" \h \z \u</w:instrText>
          </w:r>
          <w:r>
            <w:fldChar w:fldCharType="separate"/>
          </w:r>
          <w:hyperlink w:history="1" w:anchor="_Toc233699476">
            <w:r w:rsidRPr="00C7164C" w:rsidR="00615F18">
              <w:rPr>
                <w:rStyle w:val="Hiperpovezava"/>
                <w:noProof/>
              </w:rPr>
              <w:t xml:space="preserve">Sintesi</w:t>
            </w:r>
            <w:r w:rsidR="00615F18">
              <w:rPr>
                <w:noProof/>
                <w:webHidden/>
              </w:rPr>
              <w:tab/>
            </w:r>
            <w:r w:rsidR="00615F18">
              <w:rPr>
                <w:noProof/>
                <w:webHidden/>
              </w:rPr>
              <w:fldChar w:fldCharType="begin"/>
            </w:r>
            <w:r w:rsidR="00615F18">
              <w:rPr>
                <w:noProof/>
                <w:webHidden/>
              </w:rPr>
              <w:instrText xml:space="preserve"> PAGEREF _Toc233699476 \h </w:instrText>
            </w:r>
            <w:r w:rsidR="00615F18">
              <w:rPr>
                <w:noProof/>
                <w:webHidden/>
              </w:rPr>
              <w:fldChar w:fldCharType="separate"/>
            </w:r>
            <w:r w:rsidR="00615F18">
              <w:rPr>
                <w:noProof/>
                <w:webHidden/>
              </w:rPr>
              <w:t>1</w:t>
            </w:r>
            <w:r w:rsidR="00615F18">
              <w:rPr>
                <w:noProof/>
                <w:webHidden/>
              </w:rPr>
              <w:fldChar w:fldCharType="end"/>
            </w:r>
          </w:hyperlink>
        </w:p>
        <w:p w:rsidR="00615F18" w:rsidRDefault="00615F18" w14:paraId="2525978E" w14:textId="1BCB9985">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7">
            <w:r w:rsidRPr="00C7164C">
              <w:rPr>
                <w:rStyle w:val="Hiperpovezava"/>
                <w:noProof/>
              </w:rPr>
              <w:t xml:space="preserve">10 raccomandazioni chiave</w:t>
            </w:r>
            <w:r>
              <w:rPr>
                <w:noProof/>
                <w:webHidden/>
              </w:rPr>
              <w:tab/>
            </w:r>
            <w:r>
              <w:rPr>
                <w:noProof/>
                <w:webHidden/>
              </w:rPr>
              <w:fldChar w:fldCharType="begin"/>
            </w:r>
            <w:r>
              <w:rPr>
                <w:noProof/>
                <w:webHidden/>
              </w:rPr>
              <w:instrText xml:space="preserve"> PAGEREF _Toc233699477 \h </w:instrText>
            </w:r>
            <w:r>
              <w:rPr>
                <w:noProof/>
                <w:webHidden/>
              </w:rPr>
              <w:fldChar w:fldCharType="separate"/>
            </w:r>
            <w:r>
              <w:rPr>
                <w:noProof/>
                <w:webHidden/>
              </w:rPr>
              <w:t>2</w:t>
            </w:r>
            <w:r>
              <w:rPr>
                <w:noProof/>
                <w:webHidden/>
              </w:rPr>
              <w:fldChar w:fldCharType="end"/>
            </w:r>
          </w:hyperlink>
        </w:p>
        <w:p w:rsidR="00615F18" w:rsidRDefault="00615F18" w14:paraId="2E33F562" w14:textId="18E9ADD7">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8">
            <w:r w:rsidRPr="00C7164C">
              <w:rPr>
                <w:rStyle w:val="Hiperpovezava"/>
                <w:noProof/>
              </w:rPr>
              <w:t xml:space="preserve">Prefazione</w:t>
            </w:r>
            <w:r>
              <w:rPr>
                <w:noProof/>
                <w:webHidden/>
              </w:rPr>
              <w:tab/>
            </w:r>
            <w:r>
              <w:rPr>
                <w:noProof/>
                <w:webHidden/>
              </w:rPr>
              <w:fldChar w:fldCharType="begin"/>
            </w:r>
            <w:r>
              <w:rPr>
                <w:noProof/>
                <w:webHidden/>
              </w:rPr>
              <w:instrText xml:space="preserve"> PAGEREF _Toc233699478 \h </w:instrText>
            </w:r>
            <w:r>
              <w:rPr>
                <w:noProof/>
                <w:webHidden/>
              </w:rPr>
              <w:fldChar w:fldCharType="separate"/>
            </w:r>
            <w:r>
              <w:rPr>
                <w:noProof/>
                <w:webHidden/>
              </w:rPr>
              <w:t>5</w:t>
            </w:r>
            <w:r>
              <w:rPr>
                <w:noProof/>
                <w:webHidden/>
              </w:rPr>
              <w:fldChar w:fldCharType="end"/>
            </w:r>
          </w:hyperlink>
        </w:p>
        <w:p w:rsidR="00615F18" w:rsidRDefault="00615F18" w14:paraId="1A597F6E" w14:textId="509EAABA">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9">
            <w:r w:rsidRPr="00C7164C">
              <w:rPr>
                <w:rStyle w:val="Hiperpovezava"/>
                <w:noProof/>
              </w:rPr>
              <w:t xml:space="preserve">Capitolo 1: Introduzione</w:t>
            </w:r>
            <w:r>
              <w:rPr>
                <w:noProof/>
                <w:webHidden/>
              </w:rPr>
              <w:tab/>
            </w:r>
            <w:r>
              <w:rPr>
                <w:noProof/>
                <w:webHidden/>
              </w:rPr>
              <w:fldChar w:fldCharType="begin"/>
            </w:r>
            <w:r>
              <w:rPr>
                <w:noProof/>
                <w:webHidden/>
              </w:rPr>
              <w:instrText xml:space="preserve"> PAGEREF _Toc233699479 \h </w:instrText>
            </w:r>
            <w:r>
              <w:rPr>
                <w:noProof/>
                <w:webHidden/>
              </w:rPr>
              <w:fldChar w:fldCharType="separate"/>
            </w:r>
            <w:r>
              <w:rPr>
                <w:noProof/>
                <w:webHidden/>
              </w:rPr>
              <w:t>8</w:t>
            </w:r>
            <w:r>
              <w:rPr>
                <w:noProof/>
                <w:webHidden/>
              </w:rPr>
              <w:fldChar w:fldCharType="end"/>
            </w:r>
          </w:hyperlink>
        </w:p>
        <w:p w:rsidR="00615F18" w:rsidRDefault="00615F18" w14:paraId="767A55BB" w14:textId="49CC8451">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0">
            <w:r w:rsidRPr="00C7164C">
              <w:rPr>
                <w:rStyle w:val="Hiperpovezava"/>
                <w:noProof/>
              </w:rPr>
              <w:t xml:space="preserve">Capitolo 2: Ambito di applicazione e definizioni</w:t>
            </w:r>
            <w:r>
              <w:rPr>
                <w:noProof/>
                <w:webHidden/>
              </w:rPr>
              <w:tab/>
            </w:r>
            <w:r>
              <w:rPr>
                <w:noProof/>
                <w:webHidden/>
              </w:rPr>
              <w:fldChar w:fldCharType="begin"/>
            </w:r>
            <w:r>
              <w:rPr>
                <w:noProof/>
                <w:webHidden/>
              </w:rPr>
              <w:instrText xml:space="preserve"> PAGEREF _Toc233699480 \h </w:instrText>
            </w:r>
            <w:r>
              <w:rPr>
                <w:noProof/>
                <w:webHidden/>
              </w:rPr>
              <w:fldChar w:fldCharType="separate"/>
            </w:r>
            <w:r>
              <w:rPr>
                <w:noProof/>
                <w:webHidden/>
              </w:rPr>
              <w:t>11</w:t>
            </w:r>
            <w:r>
              <w:rPr>
                <w:noProof/>
                <w:webHidden/>
              </w:rPr>
              <w:fldChar w:fldCharType="end"/>
            </w:r>
          </w:hyperlink>
        </w:p>
        <w:p w:rsidR="00615F18" w:rsidRDefault="00615F18" w14:paraId="4E37DEAB" w14:textId="150280E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1">
            <w:r w:rsidRPr="00C7164C">
              <w:rPr>
                <w:rStyle w:val="Hiperpovezava"/>
                <w:noProof/>
              </w:rPr>
              <w:t xml:space="preserve">2.1 Requisiti della direttiva</w:t>
            </w:r>
            <w:r>
              <w:rPr>
                <w:noProof/>
                <w:webHidden/>
              </w:rPr>
              <w:tab/>
            </w:r>
            <w:r>
              <w:rPr>
                <w:noProof/>
                <w:webHidden/>
              </w:rPr>
              <w:fldChar w:fldCharType="begin"/>
            </w:r>
            <w:r>
              <w:rPr>
                <w:noProof/>
                <w:webHidden/>
              </w:rPr>
              <w:instrText xml:space="preserve"> PAGEREF _Toc233699481 \h </w:instrText>
            </w:r>
            <w:r>
              <w:rPr>
                <w:noProof/>
                <w:webHidden/>
              </w:rPr>
              <w:fldChar w:fldCharType="separate"/>
            </w:r>
            <w:r>
              <w:rPr>
                <w:noProof/>
                <w:webHidden/>
              </w:rPr>
              <w:t>11</w:t>
            </w:r>
            <w:r>
              <w:rPr>
                <w:noProof/>
                <w:webHidden/>
              </w:rPr>
              <w:fldChar w:fldCharType="end"/>
            </w:r>
          </w:hyperlink>
        </w:p>
        <w:p w:rsidR="00615F18" w:rsidRDefault="00615F18" w14:paraId="50662A26" w14:textId="4D0A28A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2">
            <w:r w:rsidRPr="00C7164C">
              <w:rPr>
                <w:rStyle w:val="Hiperpovezava"/>
                <w:noProof/>
              </w:rPr>
              <w:t xml:space="preserve">2.2 Risultati emersi dalla pratica</w:t>
            </w:r>
            <w:r>
              <w:rPr>
                <w:noProof/>
                <w:webHidden/>
              </w:rPr>
              <w:tab/>
            </w:r>
            <w:r>
              <w:rPr>
                <w:noProof/>
                <w:webHidden/>
              </w:rPr>
              <w:fldChar w:fldCharType="begin"/>
            </w:r>
            <w:r>
              <w:rPr>
                <w:noProof/>
                <w:webHidden/>
              </w:rPr>
              <w:instrText xml:space="preserve"> PAGEREF _Toc233699482 \h </w:instrText>
            </w:r>
            <w:r>
              <w:rPr>
                <w:noProof/>
                <w:webHidden/>
              </w:rPr>
              <w:fldChar w:fldCharType="separate"/>
            </w:r>
            <w:r>
              <w:rPr>
                <w:noProof/>
                <w:webHidden/>
              </w:rPr>
              <w:t>12</w:t>
            </w:r>
            <w:r>
              <w:rPr>
                <w:noProof/>
                <w:webHidden/>
              </w:rPr>
              <w:fldChar w:fldCharType="end"/>
            </w:r>
          </w:hyperlink>
        </w:p>
        <w:p w:rsidR="00615F18" w:rsidRDefault="00615F18" w14:paraId="7A6BE073" w14:textId="56AA867A">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3">
            <w:r w:rsidRPr="00C7164C">
              <w:rPr>
                <w:rStyle w:val="Hiperpovezava"/>
                <w:noProof/>
              </w:rPr>
              <w:t xml:space="preserve">2.3 Raccomandazioni</w:t>
            </w:r>
            <w:r>
              <w:rPr>
                <w:noProof/>
                <w:webHidden/>
              </w:rPr>
              <w:tab/>
            </w:r>
            <w:r>
              <w:rPr>
                <w:noProof/>
                <w:webHidden/>
              </w:rPr>
              <w:fldChar w:fldCharType="begin"/>
            </w:r>
            <w:r>
              <w:rPr>
                <w:noProof/>
                <w:webHidden/>
              </w:rPr>
              <w:instrText xml:space="preserve"> PAGEREF _Toc233699483 \h </w:instrText>
            </w:r>
            <w:r>
              <w:rPr>
                <w:noProof/>
                <w:webHidden/>
              </w:rPr>
              <w:fldChar w:fldCharType="separate"/>
            </w:r>
            <w:r>
              <w:rPr>
                <w:noProof/>
                <w:webHidden/>
              </w:rPr>
              <w:t>13</w:t>
            </w:r>
            <w:r>
              <w:rPr>
                <w:noProof/>
                <w:webHidden/>
              </w:rPr>
              <w:fldChar w:fldCharType="end"/>
            </w:r>
          </w:hyperlink>
        </w:p>
        <w:p w:rsidR="00615F18" w:rsidRDefault="00615F18" w14:paraId="178E8428" w14:textId="02FF9B60">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4">
            <w:r w:rsidRPr="00C7164C">
              <w:rPr>
                <w:rStyle w:val="Hiperpovezava"/>
                <w:noProof/>
              </w:rPr>
              <w:t xml:space="preserve">Capitolo 3: Presunzione legale di rapporto di lavoro e determinazione dello status lavorativo</w:t>
            </w:r>
            <w:r>
              <w:rPr>
                <w:noProof/>
                <w:webHidden/>
              </w:rPr>
              <w:tab/>
            </w:r>
            <w:r>
              <w:rPr>
                <w:noProof/>
                <w:webHidden/>
              </w:rPr>
              <w:fldChar w:fldCharType="begin"/>
            </w:r>
            <w:r>
              <w:rPr>
                <w:noProof/>
                <w:webHidden/>
              </w:rPr>
              <w:instrText xml:space="preserve"> PAGEREF _Toc233699484 \h </w:instrText>
            </w:r>
            <w:r>
              <w:rPr>
                <w:noProof/>
                <w:webHidden/>
              </w:rPr>
              <w:fldChar w:fldCharType="separate"/>
            </w:r>
            <w:r>
              <w:rPr>
                <w:noProof/>
                <w:webHidden/>
              </w:rPr>
              <w:t>17</w:t>
            </w:r>
            <w:r>
              <w:rPr>
                <w:noProof/>
                <w:webHidden/>
              </w:rPr>
              <w:fldChar w:fldCharType="end"/>
            </w:r>
          </w:hyperlink>
        </w:p>
        <w:p w:rsidR="00615F18" w:rsidRDefault="00615F18" w14:paraId="5170A70E" w14:textId="2EF5F821">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5">
            <w:r w:rsidRPr="00C7164C">
              <w:rPr>
                <w:rStyle w:val="Hiperpovezava"/>
                <w:noProof/>
              </w:rPr>
              <w:t xml:space="preserve">3.1 Requisiti della direttiva</w:t>
            </w:r>
            <w:r>
              <w:rPr>
                <w:noProof/>
                <w:webHidden/>
              </w:rPr>
              <w:tab/>
            </w:r>
            <w:r>
              <w:rPr>
                <w:noProof/>
                <w:webHidden/>
              </w:rPr>
              <w:fldChar w:fldCharType="begin"/>
            </w:r>
            <w:r>
              <w:rPr>
                <w:noProof/>
                <w:webHidden/>
              </w:rPr>
              <w:instrText xml:space="preserve"> PAGEREF _Toc233699485 \h </w:instrText>
            </w:r>
            <w:r>
              <w:rPr>
                <w:noProof/>
                <w:webHidden/>
              </w:rPr>
              <w:fldChar w:fldCharType="separate"/>
            </w:r>
            <w:r>
              <w:rPr>
                <w:noProof/>
                <w:webHidden/>
              </w:rPr>
              <w:t>17</w:t>
            </w:r>
            <w:r>
              <w:rPr>
                <w:noProof/>
                <w:webHidden/>
              </w:rPr>
              <w:fldChar w:fldCharType="end"/>
            </w:r>
          </w:hyperlink>
        </w:p>
        <w:p w:rsidR="00615F18" w:rsidRDefault="00615F18" w14:paraId="69C5AA96" w14:textId="11878A0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6">
            <w:r w:rsidRPr="00C7164C">
              <w:rPr>
                <w:rStyle w:val="Hiperpovezava"/>
                <w:noProof/>
              </w:rPr>
              <w:t xml:space="preserve">3.2 Risultati emersi dalla pratica</w:t>
            </w:r>
            <w:r>
              <w:rPr>
                <w:noProof/>
                <w:webHidden/>
              </w:rPr>
              <w:tab/>
            </w:r>
            <w:r>
              <w:rPr>
                <w:noProof/>
                <w:webHidden/>
              </w:rPr>
              <w:fldChar w:fldCharType="begin"/>
            </w:r>
            <w:r>
              <w:rPr>
                <w:noProof/>
                <w:webHidden/>
              </w:rPr>
              <w:instrText xml:space="preserve"> PAGEREF _Toc233699486 \h </w:instrText>
            </w:r>
            <w:r>
              <w:rPr>
                <w:noProof/>
                <w:webHidden/>
              </w:rPr>
              <w:fldChar w:fldCharType="separate"/>
            </w:r>
            <w:r>
              <w:rPr>
                <w:noProof/>
                <w:webHidden/>
              </w:rPr>
              <w:t>18</w:t>
            </w:r>
            <w:r>
              <w:rPr>
                <w:noProof/>
                <w:webHidden/>
              </w:rPr>
              <w:fldChar w:fldCharType="end"/>
            </w:r>
          </w:hyperlink>
        </w:p>
        <w:p w:rsidR="00615F18" w:rsidRDefault="00615F18" w14:paraId="5F2E28E9" w14:textId="2FCEB25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7">
            <w:r w:rsidRPr="00C7164C">
              <w:rPr>
                <w:rStyle w:val="Hiperpovezava"/>
                <w:noProof/>
              </w:rPr>
              <w:t xml:space="preserve">3.3 Raccomandazioni</w:t>
            </w:r>
            <w:r>
              <w:rPr>
                <w:noProof/>
                <w:webHidden/>
              </w:rPr>
              <w:tab/>
            </w:r>
            <w:r>
              <w:rPr>
                <w:noProof/>
                <w:webHidden/>
              </w:rPr>
              <w:fldChar w:fldCharType="begin"/>
            </w:r>
            <w:r>
              <w:rPr>
                <w:noProof/>
                <w:webHidden/>
              </w:rPr>
              <w:instrText xml:space="preserve"> PAGEREF _Toc233699487 \h </w:instrText>
            </w:r>
            <w:r>
              <w:rPr>
                <w:noProof/>
                <w:webHidden/>
              </w:rPr>
              <w:fldChar w:fldCharType="separate"/>
            </w:r>
            <w:r>
              <w:rPr>
                <w:noProof/>
                <w:webHidden/>
              </w:rPr>
              <w:t>20</w:t>
            </w:r>
            <w:r>
              <w:rPr>
                <w:noProof/>
                <w:webHidden/>
              </w:rPr>
              <w:fldChar w:fldCharType="end"/>
            </w:r>
          </w:hyperlink>
        </w:p>
        <w:p w:rsidR="00615F18" w:rsidRDefault="00615F18" w14:paraId="08E46C7B" w14:textId="34A753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8">
            <w:r w:rsidRPr="00C7164C">
              <w:rPr>
                <w:rStyle w:val="Hiperpovezava"/>
                <w:noProof/>
              </w:rPr>
              <w:t xml:space="preserve">Capitolo 4: Gestione algoritmica e controllo umano</w:t>
            </w:r>
            <w:r>
              <w:rPr>
                <w:noProof/>
                <w:webHidden/>
              </w:rPr>
              <w:tab/>
            </w:r>
            <w:r>
              <w:rPr>
                <w:noProof/>
                <w:webHidden/>
              </w:rPr>
              <w:fldChar w:fldCharType="begin"/>
            </w:r>
            <w:r>
              <w:rPr>
                <w:noProof/>
                <w:webHidden/>
              </w:rPr>
              <w:instrText xml:space="preserve"> PAGEREF _Toc233699488 \h </w:instrText>
            </w:r>
            <w:r>
              <w:rPr>
                <w:noProof/>
                <w:webHidden/>
              </w:rPr>
              <w:fldChar w:fldCharType="separate"/>
            </w:r>
            <w:r>
              <w:rPr>
                <w:noProof/>
                <w:webHidden/>
              </w:rPr>
              <w:t>23</w:t>
            </w:r>
            <w:r>
              <w:rPr>
                <w:noProof/>
                <w:webHidden/>
              </w:rPr>
              <w:fldChar w:fldCharType="end"/>
            </w:r>
          </w:hyperlink>
        </w:p>
        <w:p w:rsidR="00615F18" w:rsidRDefault="00615F18" w14:paraId="3E226B7F" w14:textId="01D45BA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9">
            <w:r w:rsidRPr="00C7164C">
              <w:rPr>
                <w:rStyle w:val="Hiperpovezava"/>
                <w:noProof/>
              </w:rPr>
              <w:t xml:space="preserve">4.1 Requisiti della direttiva</w:t>
            </w:r>
            <w:r>
              <w:rPr>
                <w:noProof/>
                <w:webHidden/>
              </w:rPr>
              <w:tab/>
            </w:r>
            <w:r>
              <w:rPr>
                <w:noProof/>
                <w:webHidden/>
              </w:rPr>
              <w:fldChar w:fldCharType="begin"/>
            </w:r>
            <w:r>
              <w:rPr>
                <w:noProof/>
                <w:webHidden/>
              </w:rPr>
              <w:instrText xml:space="preserve"> PAGEREF _Toc233699489 \h </w:instrText>
            </w:r>
            <w:r>
              <w:rPr>
                <w:noProof/>
                <w:webHidden/>
              </w:rPr>
              <w:fldChar w:fldCharType="separate"/>
            </w:r>
            <w:r>
              <w:rPr>
                <w:noProof/>
                <w:webHidden/>
              </w:rPr>
              <w:t>23</w:t>
            </w:r>
            <w:r>
              <w:rPr>
                <w:noProof/>
                <w:webHidden/>
              </w:rPr>
              <w:fldChar w:fldCharType="end"/>
            </w:r>
          </w:hyperlink>
        </w:p>
        <w:p w:rsidR="00615F18" w:rsidRDefault="00615F18" w14:paraId="4982C58C" w14:textId="1C3387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0">
            <w:r w:rsidRPr="00C7164C">
              <w:rPr>
                <w:rStyle w:val="Hiperpovezava"/>
                <w:noProof/>
              </w:rPr>
              <w:t xml:space="preserve">4.2 Risultati emersi dall’esperienza pratica</w:t>
            </w:r>
            <w:r>
              <w:rPr>
                <w:noProof/>
                <w:webHidden/>
              </w:rPr>
              <w:tab/>
            </w:r>
            <w:r>
              <w:rPr>
                <w:noProof/>
                <w:webHidden/>
              </w:rPr>
              <w:fldChar w:fldCharType="begin"/>
            </w:r>
            <w:r>
              <w:rPr>
                <w:noProof/>
                <w:webHidden/>
              </w:rPr>
              <w:instrText xml:space="preserve"> PAGEREF _Toc233699490 \h </w:instrText>
            </w:r>
            <w:r>
              <w:rPr>
                <w:noProof/>
                <w:webHidden/>
              </w:rPr>
              <w:fldChar w:fldCharType="separate"/>
            </w:r>
            <w:r>
              <w:rPr>
                <w:noProof/>
                <w:webHidden/>
              </w:rPr>
              <w:t>24</w:t>
            </w:r>
            <w:r>
              <w:rPr>
                <w:noProof/>
                <w:webHidden/>
              </w:rPr>
              <w:fldChar w:fldCharType="end"/>
            </w:r>
          </w:hyperlink>
        </w:p>
        <w:p w:rsidR="00615F18" w:rsidRDefault="00615F18" w14:paraId="38E1609B" w14:textId="334264C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1">
            <w:r w:rsidRPr="00C7164C">
              <w:rPr>
                <w:rStyle w:val="Hiperpovezava"/>
                <w:noProof/>
              </w:rPr>
              <w:t xml:space="preserve">4.3 Raccomandazioni</w:t>
            </w:r>
            <w:r>
              <w:rPr>
                <w:noProof/>
                <w:webHidden/>
              </w:rPr>
              <w:tab/>
            </w:r>
            <w:r>
              <w:rPr>
                <w:noProof/>
                <w:webHidden/>
              </w:rPr>
              <w:fldChar w:fldCharType="begin"/>
            </w:r>
            <w:r>
              <w:rPr>
                <w:noProof/>
                <w:webHidden/>
              </w:rPr>
              <w:instrText xml:space="preserve"> PAGEREF _Toc233699491 \h </w:instrText>
            </w:r>
            <w:r>
              <w:rPr>
                <w:noProof/>
                <w:webHidden/>
              </w:rPr>
              <w:fldChar w:fldCharType="separate"/>
            </w:r>
            <w:r>
              <w:rPr>
                <w:noProof/>
                <w:webHidden/>
              </w:rPr>
              <w:t>26</w:t>
            </w:r>
            <w:r>
              <w:rPr>
                <w:noProof/>
                <w:webHidden/>
              </w:rPr>
              <w:fldChar w:fldCharType="end"/>
            </w:r>
          </w:hyperlink>
        </w:p>
        <w:p w:rsidR="00615F18" w:rsidRDefault="00615F18" w14:paraId="3943DE7E" w14:textId="58F37BFF">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2">
            <w:r w:rsidRPr="00C7164C">
              <w:rPr>
                <w:rStyle w:val="Hiperpovezava"/>
                <w:noProof/>
              </w:rPr>
              <w:t xml:space="preserve">Capitolo 5: Protezione dei dati e privacy</w:t>
            </w:r>
            <w:r>
              <w:rPr>
                <w:noProof/>
                <w:webHidden/>
              </w:rPr>
              <w:tab/>
            </w:r>
            <w:r>
              <w:rPr>
                <w:noProof/>
                <w:webHidden/>
              </w:rPr>
              <w:fldChar w:fldCharType="begin"/>
            </w:r>
            <w:r>
              <w:rPr>
                <w:noProof/>
                <w:webHidden/>
              </w:rPr>
              <w:instrText xml:space="preserve"> PAGEREF _Toc233699492 \h </w:instrText>
            </w:r>
            <w:r>
              <w:rPr>
                <w:noProof/>
                <w:webHidden/>
              </w:rPr>
              <w:fldChar w:fldCharType="separate"/>
            </w:r>
            <w:r>
              <w:rPr>
                <w:noProof/>
                <w:webHidden/>
              </w:rPr>
              <w:t>29</w:t>
            </w:r>
            <w:r>
              <w:rPr>
                <w:noProof/>
                <w:webHidden/>
              </w:rPr>
              <w:fldChar w:fldCharType="end"/>
            </w:r>
          </w:hyperlink>
        </w:p>
        <w:p w:rsidR="00615F18" w:rsidRDefault="00615F18" w14:paraId="7BBB6CD9" w14:textId="72AF92D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3">
            <w:r w:rsidRPr="00C7164C">
              <w:rPr>
                <w:rStyle w:val="Hiperpovezava"/>
                <w:noProof/>
              </w:rPr>
              <w:t xml:space="preserve">5.1 Requisiti della direttiva</w:t>
            </w:r>
            <w:r>
              <w:rPr>
                <w:noProof/>
                <w:webHidden/>
              </w:rPr>
              <w:tab/>
            </w:r>
            <w:r>
              <w:rPr>
                <w:noProof/>
                <w:webHidden/>
              </w:rPr>
              <w:fldChar w:fldCharType="begin"/>
            </w:r>
            <w:r>
              <w:rPr>
                <w:noProof/>
                <w:webHidden/>
              </w:rPr>
              <w:instrText xml:space="preserve"> PAGEREF _Toc233699493 \h </w:instrText>
            </w:r>
            <w:r>
              <w:rPr>
                <w:noProof/>
                <w:webHidden/>
              </w:rPr>
              <w:fldChar w:fldCharType="separate"/>
            </w:r>
            <w:r>
              <w:rPr>
                <w:noProof/>
                <w:webHidden/>
              </w:rPr>
              <w:t>29</w:t>
            </w:r>
            <w:r>
              <w:rPr>
                <w:noProof/>
                <w:webHidden/>
              </w:rPr>
              <w:fldChar w:fldCharType="end"/>
            </w:r>
          </w:hyperlink>
        </w:p>
        <w:p w:rsidR="00615F18" w:rsidRDefault="00615F18" w14:paraId="604BC24E" w14:textId="380C6B2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4">
            <w:r w:rsidRPr="00C7164C">
              <w:rPr>
                <w:rStyle w:val="Hiperpovezava"/>
                <w:noProof/>
              </w:rPr>
              <w:t xml:space="preserve">5.2 Risultati emersi dalla pratica</w:t>
            </w:r>
            <w:r>
              <w:rPr>
                <w:noProof/>
                <w:webHidden/>
              </w:rPr>
              <w:tab/>
            </w:r>
            <w:r>
              <w:rPr>
                <w:noProof/>
                <w:webHidden/>
              </w:rPr>
              <w:fldChar w:fldCharType="begin"/>
            </w:r>
            <w:r>
              <w:rPr>
                <w:noProof/>
                <w:webHidden/>
              </w:rPr>
              <w:instrText xml:space="preserve"> PAGEREF _Toc233699494 \h </w:instrText>
            </w:r>
            <w:r>
              <w:rPr>
                <w:noProof/>
                <w:webHidden/>
              </w:rPr>
              <w:fldChar w:fldCharType="separate"/>
            </w:r>
            <w:r>
              <w:rPr>
                <w:noProof/>
                <w:webHidden/>
              </w:rPr>
              <w:t>30</w:t>
            </w:r>
            <w:r>
              <w:rPr>
                <w:noProof/>
                <w:webHidden/>
              </w:rPr>
              <w:fldChar w:fldCharType="end"/>
            </w:r>
          </w:hyperlink>
        </w:p>
        <w:p w:rsidR="00615F18" w:rsidRDefault="00615F18" w14:paraId="556A25BE" w14:textId="43DE6E5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5">
            <w:r w:rsidRPr="00C7164C">
              <w:rPr>
                <w:rStyle w:val="Hiperpovezava"/>
                <w:noProof/>
              </w:rPr>
              <w:t xml:space="preserve">5.3 Raccomandazioni</w:t>
            </w:r>
            <w:r>
              <w:rPr>
                <w:noProof/>
                <w:webHidden/>
              </w:rPr>
              <w:tab/>
            </w:r>
            <w:r>
              <w:rPr>
                <w:noProof/>
                <w:webHidden/>
              </w:rPr>
              <w:fldChar w:fldCharType="begin"/>
            </w:r>
            <w:r>
              <w:rPr>
                <w:noProof/>
                <w:webHidden/>
              </w:rPr>
              <w:instrText xml:space="preserve"> PAGEREF _Toc233699495 \h </w:instrText>
            </w:r>
            <w:r>
              <w:rPr>
                <w:noProof/>
                <w:webHidden/>
              </w:rPr>
              <w:fldChar w:fldCharType="separate"/>
            </w:r>
            <w:r>
              <w:rPr>
                <w:noProof/>
                <w:webHidden/>
              </w:rPr>
              <w:t>31</w:t>
            </w:r>
            <w:r>
              <w:rPr>
                <w:noProof/>
                <w:webHidden/>
              </w:rPr>
              <w:fldChar w:fldCharType="end"/>
            </w:r>
          </w:hyperlink>
        </w:p>
        <w:p w:rsidR="00615F18" w:rsidRDefault="00615F18" w14:paraId="6436CA14" w14:textId="5EB594B6">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6">
            <w:r w:rsidRPr="00C7164C">
              <w:rPr>
                <w:rStyle w:val="Hiperpovezava"/>
                <w:noProof/>
              </w:rPr>
              <w:t xml:space="preserve">Capitolo 6: Diritti collettivi e dialogo sociale</w:t>
            </w:r>
            <w:r>
              <w:rPr>
                <w:noProof/>
                <w:webHidden/>
              </w:rPr>
              <w:tab/>
            </w:r>
            <w:r>
              <w:rPr>
                <w:noProof/>
                <w:webHidden/>
              </w:rPr>
              <w:fldChar w:fldCharType="begin"/>
            </w:r>
            <w:r>
              <w:rPr>
                <w:noProof/>
                <w:webHidden/>
              </w:rPr>
              <w:instrText xml:space="preserve"> PAGEREF _Toc233699496 \h </w:instrText>
            </w:r>
            <w:r>
              <w:rPr>
                <w:noProof/>
                <w:webHidden/>
              </w:rPr>
              <w:fldChar w:fldCharType="separate"/>
            </w:r>
            <w:r>
              <w:rPr>
                <w:noProof/>
                <w:webHidden/>
              </w:rPr>
              <w:t>34</w:t>
            </w:r>
            <w:r>
              <w:rPr>
                <w:noProof/>
                <w:webHidden/>
              </w:rPr>
              <w:fldChar w:fldCharType="end"/>
            </w:r>
          </w:hyperlink>
        </w:p>
        <w:p w:rsidR="00615F18" w:rsidRDefault="00615F18" w14:paraId="24F35C3A" w14:textId="492D6662">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7">
            <w:r w:rsidRPr="00C7164C">
              <w:rPr>
                <w:rStyle w:val="Hiperpovezava"/>
                <w:noProof/>
              </w:rPr>
              <w:t xml:space="preserve">6.1 Requisiti della direttiva</w:t>
            </w:r>
            <w:r>
              <w:rPr>
                <w:noProof/>
                <w:webHidden/>
              </w:rPr>
              <w:tab/>
            </w:r>
            <w:r>
              <w:rPr>
                <w:noProof/>
                <w:webHidden/>
              </w:rPr>
              <w:fldChar w:fldCharType="begin"/>
            </w:r>
            <w:r>
              <w:rPr>
                <w:noProof/>
                <w:webHidden/>
              </w:rPr>
              <w:instrText xml:space="preserve"> PAGEREF _Toc233699497 \h </w:instrText>
            </w:r>
            <w:r>
              <w:rPr>
                <w:noProof/>
                <w:webHidden/>
              </w:rPr>
              <w:fldChar w:fldCharType="separate"/>
            </w:r>
            <w:r>
              <w:rPr>
                <w:noProof/>
                <w:webHidden/>
              </w:rPr>
              <w:t>34</w:t>
            </w:r>
            <w:r>
              <w:rPr>
                <w:noProof/>
                <w:webHidden/>
              </w:rPr>
              <w:fldChar w:fldCharType="end"/>
            </w:r>
          </w:hyperlink>
        </w:p>
        <w:p w:rsidR="00615F18" w:rsidRDefault="00615F18" w14:paraId="2725D352" w14:textId="1FB7C1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8">
            <w:r w:rsidRPr="00C7164C">
              <w:rPr>
                <w:rStyle w:val="Hiperpovezava"/>
                <w:noProof/>
              </w:rPr>
              <w:t xml:space="preserve">6.2 Risultati emersi dalla pratica</w:t>
            </w:r>
            <w:r>
              <w:rPr>
                <w:noProof/>
                <w:webHidden/>
              </w:rPr>
              <w:tab/>
            </w:r>
            <w:r>
              <w:rPr>
                <w:noProof/>
                <w:webHidden/>
              </w:rPr>
              <w:fldChar w:fldCharType="begin"/>
            </w:r>
            <w:r>
              <w:rPr>
                <w:noProof/>
                <w:webHidden/>
              </w:rPr>
              <w:instrText xml:space="preserve"> PAGEREF _Toc233699498 \h </w:instrText>
            </w:r>
            <w:r>
              <w:rPr>
                <w:noProof/>
                <w:webHidden/>
              </w:rPr>
              <w:fldChar w:fldCharType="separate"/>
            </w:r>
            <w:r>
              <w:rPr>
                <w:noProof/>
                <w:webHidden/>
              </w:rPr>
              <w:t>35</w:t>
            </w:r>
            <w:r>
              <w:rPr>
                <w:noProof/>
                <w:webHidden/>
              </w:rPr>
              <w:fldChar w:fldCharType="end"/>
            </w:r>
          </w:hyperlink>
        </w:p>
        <w:p w:rsidR="00615F18" w:rsidRDefault="00615F18" w14:paraId="7128B7BE" w14:textId="5EBD029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9">
            <w:r w:rsidRPr="00C7164C">
              <w:rPr>
                <w:rStyle w:val="Hiperpovezava"/>
                <w:noProof/>
              </w:rPr>
              <w:t xml:space="preserve">6.3 Raccomandazioni</w:t>
            </w:r>
            <w:r>
              <w:rPr>
                <w:noProof/>
                <w:webHidden/>
              </w:rPr>
              <w:tab/>
            </w:r>
            <w:r>
              <w:rPr>
                <w:noProof/>
                <w:webHidden/>
              </w:rPr>
              <w:fldChar w:fldCharType="begin"/>
            </w:r>
            <w:r>
              <w:rPr>
                <w:noProof/>
                <w:webHidden/>
              </w:rPr>
              <w:instrText xml:space="preserve"> PAGEREF _Toc233699499 \h </w:instrText>
            </w:r>
            <w:r>
              <w:rPr>
                <w:noProof/>
                <w:webHidden/>
              </w:rPr>
              <w:fldChar w:fldCharType="separate"/>
            </w:r>
            <w:r>
              <w:rPr>
                <w:noProof/>
                <w:webHidden/>
              </w:rPr>
              <w:t>37</w:t>
            </w:r>
            <w:r>
              <w:rPr>
                <w:noProof/>
                <w:webHidden/>
              </w:rPr>
              <w:fldChar w:fldCharType="end"/>
            </w:r>
          </w:hyperlink>
        </w:p>
        <w:p w:rsidR="00615F18" w:rsidRDefault="00615F18" w14:paraId="421DF4C0" w14:textId="132FFB59">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0">
            <w:r w:rsidRPr="00C7164C">
              <w:rPr>
                <w:rStyle w:val="Hiperpovezava"/>
                <w:noProof/>
              </w:rPr>
              <w:t xml:space="preserve">Capitolo 7: Applicazione e mezzi di ricorso</w:t>
            </w:r>
            <w:r>
              <w:rPr>
                <w:noProof/>
                <w:webHidden/>
              </w:rPr>
              <w:tab/>
            </w:r>
            <w:r>
              <w:rPr>
                <w:noProof/>
                <w:webHidden/>
              </w:rPr>
              <w:fldChar w:fldCharType="begin"/>
            </w:r>
            <w:r>
              <w:rPr>
                <w:noProof/>
                <w:webHidden/>
              </w:rPr>
              <w:instrText xml:space="preserve"> PAGEREF _Toc233699500 \h </w:instrText>
            </w:r>
            <w:r>
              <w:rPr>
                <w:noProof/>
                <w:webHidden/>
              </w:rPr>
              <w:fldChar w:fldCharType="separate"/>
            </w:r>
            <w:r>
              <w:rPr>
                <w:noProof/>
                <w:webHidden/>
              </w:rPr>
              <w:t>40</w:t>
            </w:r>
            <w:r>
              <w:rPr>
                <w:noProof/>
                <w:webHidden/>
              </w:rPr>
              <w:fldChar w:fldCharType="end"/>
            </w:r>
          </w:hyperlink>
        </w:p>
        <w:p w:rsidR="00615F18" w:rsidRDefault="00615F18" w14:paraId="124345FD" w14:textId="14569ED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1">
            <w:r w:rsidRPr="00C7164C">
              <w:rPr>
                <w:rStyle w:val="Hiperpovezava"/>
                <w:noProof/>
              </w:rPr>
              <w:t xml:space="preserve">7.1 Requisiti della direttiva</w:t>
            </w:r>
            <w:r>
              <w:rPr>
                <w:noProof/>
                <w:webHidden/>
              </w:rPr>
              <w:tab/>
            </w:r>
            <w:r>
              <w:rPr>
                <w:noProof/>
                <w:webHidden/>
              </w:rPr>
              <w:fldChar w:fldCharType="begin"/>
            </w:r>
            <w:r>
              <w:rPr>
                <w:noProof/>
                <w:webHidden/>
              </w:rPr>
              <w:instrText xml:space="preserve"> PAGEREF _Toc233699501 \h </w:instrText>
            </w:r>
            <w:r>
              <w:rPr>
                <w:noProof/>
                <w:webHidden/>
              </w:rPr>
              <w:fldChar w:fldCharType="separate"/>
            </w:r>
            <w:r>
              <w:rPr>
                <w:noProof/>
                <w:webHidden/>
              </w:rPr>
              <w:t>40</w:t>
            </w:r>
            <w:r>
              <w:rPr>
                <w:noProof/>
                <w:webHidden/>
              </w:rPr>
              <w:fldChar w:fldCharType="end"/>
            </w:r>
          </w:hyperlink>
        </w:p>
        <w:p w:rsidR="00615F18" w:rsidRDefault="00615F18" w14:paraId="39E0C564" w14:textId="7015E8C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2">
            <w:r w:rsidRPr="00C7164C">
              <w:rPr>
                <w:rStyle w:val="Hiperpovezava"/>
                <w:noProof/>
              </w:rPr>
              <w:t xml:space="preserve">7.2 Risultati emersi dalla pratica</w:t>
            </w:r>
            <w:r>
              <w:rPr>
                <w:noProof/>
                <w:webHidden/>
              </w:rPr>
              <w:tab/>
            </w:r>
            <w:r>
              <w:rPr>
                <w:noProof/>
                <w:webHidden/>
              </w:rPr>
              <w:fldChar w:fldCharType="begin"/>
            </w:r>
            <w:r>
              <w:rPr>
                <w:noProof/>
                <w:webHidden/>
              </w:rPr>
              <w:instrText xml:space="preserve"> PAGEREF _Toc233699502 \h </w:instrText>
            </w:r>
            <w:r>
              <w:rPr>
                <w:noProof/>
                <w:webHidden/>
              </w:rPr>
              <w:fldChar w:fldCharType="separate"/>
            </w:r>
            <w:r>
              <w:rPr>
                <w:noProof/>
                <w:webHidden/>
              </w:rPr>
              <w:t>41</w:t>
            </w:r>
            <w:r>
              <w:rPr>
                <w:noProof/>
                <w:webHidden/>
              </w:rPr>
              <w:fldChar w:fldCharType="end"/>
            </w:r>
          </w:hyperlink>
        </w:p>
        <w:p w:rsidR="00615F18" w:rsidRDefault="00615F18" w14:paraId="7F0155EE" w14:textId="2184F91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3">
            <w:r w:rsidRPr="00C7164C">
              <w:rPr>
                <w:rStyle w:val="Hiperpovezava"/>
                <w:noProof/>
              </w:rPr>
              <w:t xml:space="preserve">7.3 Raccomandazioni</w:t>
            </w:r>
            <w:r>
              <w:rPr>
                <w:noProof/>
                <w:webHidden/>
              </w:rPr>
              <w:tab/>
            </w:r>
            <w:r>
              <w:rPr>
                <w:noProof/>
                <w:webHidden/>
              </w:rPr>
              <w:fldChar w:fldCharType="begin"/>
            </w:r>
            <w:r>
              <w:rPr>
                <w:noProof/>
                <w:webHidden/>
              </w:rPr>
              <w:instrText xml:space="preserve"> PAGEREF _Toc233699503 \h </w:instrText>
            </w:r>
            <w:r>
              <w:rPr>
                <w:noProof/>
                <w:webHidden/>
              </w:rPr>
              <w:fldChar w:fldCharType="separate"/>
            </w:r>
            <w:r>
              <w:rPr>
                <w:noProof/>
                <w:webHidden/>
              </w:rPr>
              <w:t>42</w:t>
            </w:r>
            <w:r>
              <w:rPr>
                <w:noProof/>
                <w:webHidden/>
              </w:rPr>
              <w:fldChar w:fldCharType="end"/>
            </w:r>
          </w:hyperlink>
        </w:p>
        <w:p w:rsidR="00615F18" w:rsidRDefault="00615F18" w14:paraId="714A8C09" w14:textId="446CE3B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4">
            <w:r w:rsidRPr="00C7164C">
              <w:rPr>
                <w:rStyle w:val="Hiperpovezava"/>
                <w:noProof/>
              </w:rPr>
              <w:t xml:space="preserve">Capitolo 8: Estensione dell’applicazione della direttiva al di là del lavoro su piattaforma</w:t>
            </w:r>
            <w:r>
              <w:rPr>
                <w:noProof/>
                <w:webHidden/>
              </w:rPr>
              <w:tab/>
            </w:r>
            <w:r>
              <w:rPr>
                <w:noProof/>
                <w:webHidden/>
              </w:rPr>
              <w:fldChar w:fldCharType="begin"/>
            </w:r>
            <w:r>
              <w:rPr>
                <w:noProof/>
                <w:webHidden/>
              </w:rPr>
              <w:instrText xml:space="preserve"> PAGEREF _Toc233699504 \h </w:instrText>
            </w:r>
            <w:r>
              <w:rPr>
                <w:noProof/>
                <w:webHidden/>
              </w:rPr>
              <w:fldChar w:fldCharType="separate"/>
            </w:r>
            <w:r>
              <w:rPr>
                <w:noProof/>
                <w:webHidden/>
              </w:rPr>
              <w:t>46</w:t>
            </w:r>
            <w:r>
              <w:rPr>
                <w:noProof/>
                <w:webHidden/>
              </w:rPr>
              <w:fldChar w:fldCharType="end"/>
            </w:r>
          </w:hyperlink>
        </w:p>
        <w:p w:rsidR="00615F18" w:rsidRDefault="00615F18" w14:paraId="53EB29C8" w14:textId="14D3DC1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5">
            <w:r w:rsidRPr="00C7164C">
              <w:rPr>
                <w:rStyle w:val="Hiperpovezava"/>
                <w:noProof/>
              </w:rPr>
              <w:t xml:space="preserve">8.1 Cosa prevede la direttiva al di là del lavoro su piattaforma</w:t>
            </w:r>
            <w:r>
              <w:rPr>
                <w:noProof/>
                <w:webHidden/>
              </w:rPr>
              <w:tab/>
            </w:r>
            <w:r>
              <w:rPr>
                <w:noProof/>
                <w:webHidden/>
              </w:rPr>
              <w:fldChar w:fldCharType="begin"/>
            </w:r>
            <w:r>
              <w:rPr>
                <w:noProof/>
                <w:webHidden/>
              </w:rPr>
              <w:instrText xml:space="preserve"> PAGEREF _Toc233699505 \h </w:instrText>
            </w:r>
            <w:r>
              <w:rPr>
                <w:noProof/>
                <w:webHidden/>
              </w:rPr>
              <w:fldChar w:fldCharType="separate"/>
            </w:r>
            <w:r>
              <w:rPr>
                <w:noProof/>
                <w:webHidden/>
              </w:rPr>
              <w:t>46</w:t>
            </w:r>
            <w:r>
              <w:rPr>
                <w:noProof/>
                <w:webHidden/>
              </w:rPr>
              <w:fldChar w:fldCharType="end"/>
            </w:r>
          </w:hyperlink>
        </w:p>
        <w:p w:rsidR="00615F18" w:rsidRDefault="00615F18" w14:paraId="7FAEC8E0" w14:textId="25B499C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6">
            <w:r w:rsidRPr="00C7164C">
              <w:rPr>
                <w:rStyle w:val="Hiperpovezava"/>
                <w:noProof/>
              </w:rPr>
              <w:t xml:space="preserve">8.2 Risultati emersi dalla pratica</w:t>
            </w:r>
            <w:r>
              <w:rPr>
                <w:noProof/>
                <w:webHidden/>
              </w:rPr>
              <w:tab/>
            </w:r>
            <w:r>
              <w:rPr>
                <w:noProof/>
                <w:webHidden/>
              </w:rPr>
              <w:fldChar w:fldCharType="begin"/>
            </w:r>
            <w:r>
              <w:rPr>
                <w:noProof/>
                <w:webHidden/>
              </w:rPr>
              <w:instrText xml:space="preserve"> PAGEREF _Toc233699506 \h </w:instrText>
            </w:r>
            <w:r>
              <w:rPr>
                <w:noProof/>
                <w:webHidden/>
              </w:rPr>
              <w:fldChar w:fldCharType="separate"/>
            </w:r>
            <w:r>
              <w:rPr>
                <w:noProof/>
                <w:webHidden/>
              </w:rPr>
              <w:t>46</w:t>
            </w:r>
            <w:r>
              <w:rPr>
                <w:noProof/>
                <w:webHidden/>
              </w:rPr>
              <w:fldChar w:fldCharType="end"/>
            </w:r>
          </w:hyperlink>
        </w:p>
        <w:p w:rsidR="00615F18" w:rsidRDefault="00615F18" w14:paraId="6F5D36CD" w14:textId="52C7C2B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7">
            <w:r w:rsidRPr="00C7164C">
              <w:rPr>
                <w:rStyle w:val="Hiperpovezava"/>
                <w:noProof/>
              </w:rPr>
              <w:t xml:space="preserve">8.3 Raccomandazioni</w:t>
            </w:r>
            <w:r>
              <w:rPr>
                <w:noProof/>
                <w:webHidden/>
              </w:rPr>
              <w:tab/>
            </w:r>
            <w:r>
              <w:rPr>
                <w:noProof/>
                <w:webHidden/>
              </w:rPr>
              <w:fldChar w:fldCharType="begin"/>
            </w:r>
            <w:r>
              <w:rPr>
                <w:noProof/>
                <w:webHidden/>
              </w:rPr>
              <w:instrText xml:space="preserve"> PAGEREF _Toc233699507 \h </w:instrText>
            </w:r>
            <w:r>
              <w:rPr>
                <w:noProof/>
                <w:webHidden/>
              </w:rPr>
              <w:fldChar w:fldCharType="separate"/>
            </w:r>
            <w:r>
              <w:rPr>
                <w:noProof/>
                <w:webHidden/>
              </w:rPr>
              <w:t>48</w:t>
            </w:r>
            <w:r>
              <w:rPr>
                <w:noProof/>
                <w:webHidden/>
              </w:rPr>
              <w:fldChar w:fldCharType="end"/>
            </w:r>
          </w:hyperlink>
        </w:p>
        <w:p w:rsidR="00615F18" w:rsidRDefault="00615F18" w14:paraId="660C595F" w14:textId="5B0AC8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8">
            <w:r w:rsidRPr="00C7164C">
              <w:rPr>
                <w:rStyle w:val="Hiperpovezava"/>
                <w:noProof/>
              </w:rPr>
              <w:t xml:space="preserve">Capitolo 9: Sfide di attuazione e strategie di elusione</w:t>
            </w:r>
            <w:r>
              <w:rPr>
                <w:noProof/>
                <w:webHidden/>
              </w:rPr>
              <w:tab/>
            </w:r>
            <w:r>
              <w:rPr>
                <w:noProof/>
                <w:webHidden/>
              </w:rPr>
              <w:fldChar w:fldCharType="begin"/>
            </w:r>
            <w:r>
              <w:rPr>
                <w:noProof/>
                <w:webHidden/>
              </w:rPr>
              <w:instrText xml:space="preserve"> PAGEREF _Toc233699508 \h </w:instrText>
            </w:r>
            <w:r>
              <w:rPr>
                <w:noProof/>
                <w:webHidden/>
              </w:rPr>
              <w:fldChar w:fldCharType="separate"/>
            </w:r>
            <w:r>
              <w:rPr>
                <w:noProof/>
                <w:webHidden/>
              </w:rPr>
              <w:t>50</w:t>
            </w:r>
            <w:r>
              <w:rPr>
                <w:noProof/>
                <w:webHidden/>
              </w:rPr>
              <w:fldChar w:fldCharType="end"/>
            </w:r>
          </w:hyperlink>
        </w:p>
        <w:p w:rsidR="00615F18" w:rsidRDefault="00615F18" w14:paraId="02CD77F1" w14:textId="64A72F70">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9">
            <w:r w:rsidRPr="00C7164C">
              <w:rPr>
                <w:rStyle w:val="Hiperpovezava"/>
                <w:noProof/>
              </w:rPr>
              <w:t xml:space="preserve">9.1 Sfide strutturali nell’attuazione</w:t>
            </w:r>
            <w:r>
              <w:rPr>
                <w:noProof/>
                <w:webHidden/>
              </w:rPr>
              <w:tab/>
            </w:r>
            <w:r>
              <w:rPr>
                <w:noProof/>
                <w:webHidden/>
              </w:rPr>
              <w:fldChar w:fldCharType="begin"/>
            </w:r>
            <w:r>
              <w:rPr>
                <w:noProof/>
                <w:webHidden/>
              </w:rPr>
              <w:instrText xml:space="preserve"> PAGEREF _Toc233699509 \h </w:instrText>
            </w:r>
            <w:r>
              <w:rPr>
                <w:noProof/>
                <w:webHidden/>
              </w:rPr>
              <w:fldChar w:fldCharType="separate"/>
            </w:r>
            <w:r>
              <w:rPr>
                <w:noProof/>
                <w:webHidden/>
              </w:rPr>
              <w:t>50</w:t>
            </w:r>
            <w:r>
              <w:rPr>
                <w:noProof/>
                <w:webHidden/>
              </w:rPr>
              <w:fldChar w:fldCharType="end"/>
            </w:r>
          </w:hyperlink>
        </w:p>
        <w:p w:rsidR="00615F18" w:rsidRDefault="00615F18" w14:paraId="1F7F17A5" w14:textId="62325ED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0">
            <w:r w:rsidRPr="00C7164C">
              <w:rPr>
                <w:rStyle w:val="Hiperpovezava"/>
                <w:noProof/>
              </w:rPr>
              <w:t xml:space="preserve">9.2 Strategie di elusione delle piattaforme</w:t>
            </w:r>
            <w:r>
              <w:rPr>
                <w:noProof/>
                <w:webHidden/>
              </w:rPr>
              <w:tab/>
            </w:r>
            <w:r>
              <w:rPr>
                <w:noProof/>
                <w:webHidden/>
              </w:rPr>
              <w:fldChar w:fldCharType="begin"/>
            </w:r>
            <w:r>
              <w:rPr>
                <w:noProof/>
                <w:webHidden/>
              </w:rPr>
              <w:instrText xml:space="preserve"> PAGEREF _Toc233699510 \h </w:instrText>
            </w:r>
            <w:r>
              <w:rPr>
                <w:noProof/>
                <w:webHidden/>
              </w:rPr>
              <w:fldChar w:fldCharType="separate"/>
            </w:r>
            <w:r>
              <w:rPr>
                <w:noProof/>
                <w:webHidden/>
              </w:rPr>
              <w:t>50</w:t>
            </w:r>
            <w:r>
              <w:rPr>
                <w:noProof/>
                <w:webHidden/>
              </w:rPr>
              <w:fldChar w:fldCharType="end"/>
            </w:r>
          </w:hyperlink>
        </w:p>
        <w:p w:rsidR="00615F18" w:rsidRDefault="00615F18" w14:paraId="69BAC62B" w14:textId="19B1266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1">
            <w:r w:rsidRPr="00C7164C">
              <w:rPr>
                <w:rStyle w:val="Hiperpovezava"/>
                <w:noProof/>
              </w:rPr>
              <w:t xml:space="preserve">9.3 Raccomandazioni</w:t>
            </w:r>
            <w:r>
              <w:rPr>
                <w:noProof/>
                <w:webHidden/>
              </w:rPr>
              <w:tab/>
            </w:r>
            <w:r>
              <w:rPr>
                <w:noProof/>
                <w:webHidden/>
              </w:rPr>
              <w:fldChar w:fldCharType="begin"/>
            </w:r>
            <w:r>
              <w:rPr>
                <w:noProof/>
                <w:webHidden/>
              </w:rPr>
              <w:instrText xml:space="preserve"> PAGEREF _Toc233699511 \h </w:instrText>
            </w:r>
            <w:r>
              <w:rPr>
                <w:noProof/>
                <w:webHidden/>
              </w:rPr>
              <w:fldChar w:fldCharType="separate"/>
            </w:r>
            <w:r>
              <w:rPr>
                <w:noProof/>
                <w:webHidden/>
              </w:rPr>
              <w:t>53</w:t>
            </w:r>
            <w:r>
              <w:rPr>
                <w:noProof/>
                <w:webHidden/>
              </w:rPr>
              <w:fldChar w:fldCharType="end"/>
            </w:r>
          </w:hyperlink>
        </w:p>
        <w:p w:rsidR="00615F18" w:rsidRDefault="00615F18" w14:paraId="3D515D6D" w14:textId="18A8856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12">
            <w:r w:rsidRPr="00C7164C">
              <w:rPr>
                <w:rStyle w:val="Hiperpovezava"/>
                <w:noProof/>
              </w:rPr>
              <w:t xml:space="preserve">Capitolo 10: Conclusione</w:t>
            </w:r>
            <w:r>
              <w:rPr>
                <w:noProof/>
                <w:webHidden/>
              </w:rPr>
              <w:tab/>
            </w:r>
            <w:r>
              <w:rPr>
                <w:noProof/>
                <w:webHidden/>
              </w:rPr>
              <w:fldChar w:fldCharType="begin"/>
            </w:r>
            <w:r>
              <w:rPr>
                <w:noProof/>
                <w:webHidden/>
              </w:rPr>
              <w:instrText xml:space="preserve"> PAGEREF _Toc233699512 \h </w:instrText>
            </w:r>
            <w:r>
              <w:rPr>
                <w:noProof/>
                <w:webHidden/>
              </w:rPr>
              <w:fldChar w:fldCharType="separate"/>
            </w:r>
            <w:r>
              <w:rPr>
                <w:noProof/>
                <w:webHidden/>
              </w:rPr>
              <w:t>55</w:t>
            </w:r>
            <w:r>
              <w:rPr>
                <w:noProof/>
                <w:webHidden/>
              </w:rPr>
              <w:fldChar w:fldCharType="end"/>
            </w:r>
          </w:hyperlink>
        </w:p>
        <w:p w:rsidR="00983F19" w:rsidP="00750824" w:rsidRDefault="00000000" w14:paraId="50005A1E" w14:textId="7579F776">
          <w:pPr>
            <w:jc w:val="both"/>
          </w:pPr>
          <w:r>
            <w:fldChar w:fldCharType="end"/>
          </w:r>
        </w:p>
      </w:sdtContent>
    </w:sdt>
    <w:p w:rsidR="00983F19" w:rsidP="00750824" w:rsidRDefault="00983F19" w14:paraId="388E2317" w14:textId="77777777">
      <w:pPr>
        <w:jc w:val="both"/>
      </w:pPr>
      <w:bookmarkStart w:name="predgovor" w:id="3"/>
    </w:p>
    <w:p w:rsidR="00D90A18" w:rsidP="00750824" w:rsidRDefault="00D90A18" w14:paraId="3FE4FC4D" w14:textId="77777777">
      <w:pPr>
        <w:pStyle w:val="Naslov1"/>
        <w:jc w:val="both"/>
      </w:pPr>
      <w:bookmarkStart w:name="poglavje-2-izvršni-povzetek" w:id="4"/>
      <w:bookmarkEnd w:id="3"/>
    </w:p>
    <w:p w:rsidR="00750824" w:rsidRDefault="00750824" w14:paraId="03C58A13" w14:textId="77777777">
      <w:pPr>
        <w:rPr>
          <w:b/>
          <w:bCs/>
          <w:color w:val="1F3864"/>
          <w:sz w:val="36"/>
          <w:szCs w:val="36"/>
        </w:rPr>
      </w:pPr>
      <w:r>
        <w:br w:type="page"/>
      </w:r>
    </w:p>
    <w:p w:rsidR="00983F19" w:rsidP="00750824" w:rsidRDefault="00000000" w14:paraId="4EAFF2BC" w14:textId="72716891">
      <w:pPr>
        <w:pStyle w:val="Naslov1"/>
        <w:jc w:val="both"/>
      </w:pPr>
      <w:bookmarkStart w:name="_Toc233699479" w:id="5"/>
      <w:r>
        <w:lastRenderedPageBreak/>
      </w:r>
      <w:r>
        <w:t xml:space="preserve">Capitolo 1: Introduzione</w:t>
      </w:r>
      <w:bookmarkEnd w:id="5"/>
    </w:p>
    <w:p w:rsidR="00983F19" w:rsidP="00750824" w:rsidRDefault="00000000" w14:paraId="4EFFEB31" w14:textId="677BFD55">
      <w:pPr>
        <w:jc w:val="both"/>
      </w:pPr>
      <w:r>
        <w:t xml:space="preserve">La direttiva (UE) 2024/2831 sul miglioramento delle condizioni di lavoro nel </w:t>
      </w:r>
      <w:r>
        <w:t xml:space="preserve">settore del lavoro </w:t>
      </w:r>
      <w:r>
        <w:t xml:space="preserve">tramite piattaforme </w:t>
      </w:r>
      <w:r>
        <w:t xml:space="preserve">è stata adottata il 23 ottobre 2024 e gli Stati membri sono tenuti a recepirla nella legislazione nazionale entro il 2 dicembre 2026. Si tratta della prima risposta legislativa dell’Unione europea a un modello di business che, nel corso di quindici anni, ha dato origine a una nuova forma </w:t>
      </w:r>
      <w:r>
        <w:t xml:space="preserve">di lavoro </w:t>
      </w:r>
      <w:r>
        <w:t xml:space="preserve">precario</w:t>
      </w:r>
      <w:r>
        <w:t xml:space="preserve">.</w:t>
      </w:r>
      <w:r w:rsidR="00DC6DE9">
        <w:t xml:space="preserve"> Per oltre 28 milioni di persone nell’UE, </w:t>
      </w:r>
      <w:r w:rsidR="00DC6DE9">
        <w:t xml:space="preserve">il lavoro è organizzato </w:t>
      </w:r>
      <w:r>
        <w:t xml:space="preserve">tramite la gestione algoritmica (</w:t>
      </w:r>
      <w:r w:rsidR="008920C5">
        <w:t xml:space="preserve">«</w:t>
      </w:r>
      <w:r>
        <w:t xml:space="preserve">algorithmic </w:t>
      </w:r>
      <w:r>
        <w:t xml:space="preserve">management </w:t>
      </w:r>
      <w:r w:rsidR="008920C5">
        <w:t xml:space="preserve">(</w:t>
      </w:r>
      <w:r>
        <w:t xml:space="preserve">AM</w:t>
      </w:r>
      <w:r w:rsidR="008920C5">
        <w:t xml:space="preserve">)»</w:t>
      </w:r>
      <w:r>
        <w:t xml:space="preserve">) attraverso piattaforme digitali, ma senza le tutele fondamentali: senza retribuzione minima, senza contributi previdenziali, senza il diritto a ottenere spiegazioni </w:t>
      </w:r>
      <w:r w:rsidR="00DC6DE9">
        <w:t xml:space="preserve">sulle decisioni dei modelli algoritmici</w:t>
      </w:r>
      <w:r>
        <w:t xml:space="preserve">. Il progetto SDDP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ha studiato, nell’arco di due anni, in cinque paesi partner (Austria, Italia, Belgio, Slovenia, Polonia) e in collaborazione con la CES</w:t>
      </w:r>
      <w:r>
        <w:t xml:space="preserve">,</w:t>
      </w:r>
      <w:r>
        <w:t xml:space="preserve"> come </w:t>
      </w:r>
      <w:r>
        <w:t xml:space="preserve">trasporre </w:t>
      </w:r>
      <w:r>
        <w:t xml:space="preserve">la direttiva </w:t>
      </w:r>
      <w:r w:rsidR="00DC6DE9">
        <w:t xml:space="preserve">nelle legislazioni nazionali </w:t>
      </w:r>
      <w:r>
        <w:t xml:space="preserve">in modo da modificare e migliorare effettivamente le condizioni di lavoro </w:t>
      </w:r>
      <w:r w:rsidR="00DC6DE9">
        <w:t xml:space="preserve">dei lavoratori delle </w:t>
      </w:r>
      <w:r w:rsidR="00DC6DE9">
        <w:t xml:space="preserve">imprese </w:t>
      </w:r>
      <w:r w:rsidR="00DC6DE9">
        <w:t xml:space="preserve">di piattaforma</w:t>
      </w:r>
      <w:r>
        <w:t xml:space="preserve">. Il presente documento è il risultato di tale lavoro: raccomandazioni rivolte ai ministeri del lavoro e alle parti sociali, basate sulle esperienze dei cinque paesi partner e sul dialogo con partner di riferimento provenienti dalla Spagna (</w:t>
      </w:r>
      <w:r>
        <w:t xml:space="preserve">Observatorio </w:t>
      </w:r>
      <w:r>
        <w:t xml:space="preserve">de </w:t>
      </w:r>
      <w:r>
        <w:t xml:space="preserve">trabajo </w:t>
      </w:r>
      <w:r>
        <w:t xml:space="preserve">algorítmico </w:t>
      </w:r>
      <w:r>
        <w:t xml:space="preserve">y </w:t>
      </w:r>
      <w:r>
        <w:t xml:space="preserve">sociedad </w:t>
      </w:r>
      <w:r w:rsidR="00D7386B">
        <w:t xml:space="preserve">– </w:t>
      </w:r>
      <w:r>
        <w:t xml:space="preserve">Observatorio </w:t>
      </w:r>
      <w:r>
        <w:t xml:space="preserve">TAS) e dalla Germania (</w:t>
      </w:r>
      <w:r>
        <w:t xml:space="preserve">Lieferando </w:t>
      </w:r>
      <w:r>
        <w:t xml:space="preserve">Workers </w:t>
      </w:r>
      <w:r>
        <w:t xml:space="preserve">Collective</w:t>
      </w:r>
      <w:r>
        <w:t xml:space="preserve">).</w:t>
      </w:r>
    </w:p>
    <w:p w:rsidR="00D90A18" w:rsidP="00750824" w:rsidRDefault="00D90A18" w14:paraId="4AEE88EC" w14:textId="77777777">
      <w:pPr>
        <w:jc w:val="both"/>
      </w:pPr>
    </w:p>
    <w:p w:rsidR="00983F19" w:rsidP="00750824" w:rsidRDefault="00000000" w14:paraId="3C07A292" w14:textId="23D1CD6D">
      <w:pPr>
        <w:jc w:val="both"/>
      </w:pPr>
      <w:r>
        <w:t xml:space="preserve">La direttiva richiede tre cose agli Stati membri. In primo luogo, l’istituzione di una presunzione giuridica </w:t>
      </w:r>
      <w:r w:rsidR="00CF3B80">
        <w:t xml:space="preserve">di rapporto di lavoro </w:t>
      </w:r>
      <w:r>
        <w:t xml:space="preserve">per </w:t>
      </w:r>
      <w:r>
        <w:t xml:space="preserve">i lavoratori </w:t>
      </w:r>
      <w:r>
        <w:t xml:space="preserve">delle piattaforme</w:t>
      </w:r>
      <w:r w:rsidR="00DC6DE9">
        <w:t xml:space="preserve">: </w:t>
      </w:r>
      <w:r>
        <w:t xml:space="preserve">se i fatti dimostrano </w:t>
      </w:r>
      <w:r w:rsidR="00DC6DE9">
        <w:t xml:space="preserve">che il lavoratore riceve </w:t>
      </w:r>
      <w:r>
        <w:t xml:space="preserve">istruzioni </w:t>
      </w:r>
      <w:r w:rsidR="00DC6DE9">
        <w:t xml:space="preserve">per lo svolgimento del lavoro </w:t>
      </w:r>
      <w:r>
        <w:t xml:space="preserve">ed </w:t>
      </w:r>
      <w:r w:rsidR="00DC6DE9">
        <w:t xml:space="preserve">è sottoposto </w:t>
      </w:r>
      <w:r w:rsidR="00DC6DE9">
        <w:t xml:space="preserve">a supervisione</w:t>
      </w:r>
      <w:r>
        <w:t xml:space="preserve">, il rapporto è considerato </w:t>
      </w:r>
      <w:r w:rsidR="00CF3B80">
        <w:t xml:space="preserve">un rapporto di lavoro</w:t>
      </w:r>
      <w:r>
        <w:t xml:space="preserve">, e </w:t>
      </w:r>
      <w:r>
        <w:t xml:space="preserve">spetta</w:t>
      </w:r>
      <w:r w:rsidR="00DC6DE9">
        <w:t xml:space="preserve"> alla</w:t>
      </w:r>
      <w:r>
        <w:t xml:space="preserve"> piattaforma </w:t>
      </w:r>
      <w:r>
        <w:t xml:space="preserve">dimostrare il contrario </w:t>
      </w:r>
      <w:r>
        <w:t xml:space="preserve">in caso </w:t>
      </w:r>
      <w:r w:rsidR="00DC6DE9">
        <w:t xml:space="preserve">di contestazione</w:t>
      </w:r>
      <w:r>
        <w:t xml:space="preserve">.</w:t>
      </w:r>
    </w:p>
    <w:p w:rsidR="00D90A18" w:rsidP="00750824" w:rsidRDefault="00D90A18" w14:paraId="0BF496E8" w14:textId="77777777">
      <w:pPr>
        <w:jc w:val="both"/>
      </w:pPr>
    </w:p>
    <w:p w:rsidR="00983F19" w:rsidP="00750824" w:rsidRDefault="00000000" w14:paraId="414DE9EB" w14:textId="2F8E2726">
      <w:pPr>
        <w:jc w:val="both"/>
      </w:pPr>
      <w:r>
        <w:t xml:space="preserve">In secondo luogo, la regolamentazione della gestione algoritmica (</w:t>
      </w:r>
      <w:r>
        <w:t xml:space="preserve">«algorithmic </w:t>
      </w:r>
      <w:r>
        <w:t xml:space="preserve">management </w:t>
      </w:r>
      <w:r w:rsidR="00DC6DE9">
        <w:t xml:space="preserve">(</w:t>
      </w:r>
      <w:r>
        <w:t xml:space="preserve">AM</w:t>
      </w:r>
      <w:r w:rsidR="00DC6DE9">
        <w:t xml:space="preserve">)»</w:t>
      </w:r>
      <w:r>
        <w:t xml:space="preserve">): le piattaforme devono rivelare come funziona l’algoritmo </w:t>
      </w:r>
      <w:r>
        <w:t xml:space="preserve">che assegna i compiti, determina la retribuzione e </w:t>
      </w:r>
      <w:r w:rsidR="00DC6DE9">
        <w:t xml:space="preserve">sanziona </w:t>
      </w:r>
      <w:r>
        <w:t xml:space="preserve">i lavoratori</w:t>
      </w:r>
      <w:r w:rsidR="00DC6DE9">
        <w:t xml:space="preserve">. </w:t>
      </w:r>
      <w:r>
        <w:t xml:space="preserve">È assolutamente vietata la raccolta di dati relativi allo stato emotivo, all’appartenenza sindacale o alle conversazioni private.</w:t>
      </w:r>
    </w:p>
    <w:p w:rsidR="00D90A18" w:rsidP="00750824" w:rsidRDefault="00D90A18" w14:paraId="6513B994" w14:textId="77777777">
      <w:pPr>
        <w:jc w:val="both"/>
      </w:pPr>
    </w:p>
    <w:p w:rsidR="00983F19" w:rsidP="00750824" w:rsidRDefault="00000000" w14:paraId="40C36178" w14:textId="77777777">
      <w:pPr>
        <w:jc w:val="both"/>
      </w:pPr>
      <w:r>
        <w:t xml:space="preserve">In terzo luogo, la garanzia di rimedi giuridici e diritti collettivi: i sindacati devono poter avviare procedimenti senza il consenso di ogni singolo lavoratore, mentre i lavoratori devono avere accesso a canali di comunicazione indipendenti dalla piattaforma. Questo è il minimo indispensabile. Se uno Stato membro si limiterà a recepire la direttiva nella legislazione nazionale senza prevedere meccanismi di attuazione, ripeterà l’esperienza belga, dove la legge sul </w:t>
      </w:r>
      <w:r>
        <w:t xml:space="preserve">lavoro </w:t>
      </w:r>
      <w:r>
        <w:t xml:space="preserve">delle piattaforme</w:t>
      </w:r>
      <w:r>
        <w:t xml:space="preserve"> è </w:t>
      </w:r>
      <w:r>
        <w:t xml:space="preserve">rimasta inefficace dal 2023 perché il Ministero del Lavoro non disponeva delle procedure per la sua applicazione.</w:t>
      </w:r>
    </w:p>
    <w:p w:rsidR="00D90A18" w:rsidP="00750824" w:rsidRDefault="00D90A18" w14:paraId="227F185B" w14:textId="77777777">
      <w:pPr>
        <w:jc w:val="both"/>
      </w:pPr>
    </w:p>
    <w:p w:rsidR="00983F19" w:rsidP="00750824" w:rsidRDefault="00000000" w14:paraId="00D613C9" w14:textId="77777777">
      <w:pPr>
        <w:jc w:val="both"/>
      </w:pPr>
      <w:r>
        <w:t xml:space="preserve">Il presente documento raccomanda agli Stati membri di andare oltre il minimo in cinque ambiti chiave:</w:t>
      </w:r>
    </w:p>
    <w:p w:rsidR="00D90A18" w:rsidP="00750824" w:rsidRDefault="00D90A18" w14:paraId="2FC1A664" w14:textId="77777777">
      <w:pPr>
        <w:jc w:val="both"/>
      </w:pPr>
    </w:p>
    <w:p w:rsidR="00983F19" w:rsidP="00750824" w:rsidRDefault="00000000" w14:paraId="33190FCA" w14:textId="532FEADF">
      <w:pPr>
        <w:jc w:val="both"/>
      </w:pPr>
      <w:r>
        <w:t xml:space="preserve">In primo luogo, nel recepire la presunzione di diritto, non devono aggiungere criteri propri che consentirebbero alle piattaforme di eluderla formalmente</w:t>
      </w:r>
      <w:r w:rsidR="00DC6DE9">
        <w:t xml:space="preserve">: </w:t>
      </w:r>
      <w:r>
        <w:t xml:space="preserve">lo standard deve basarsi su </w:t>
      </w:r>
      <w:r>
        <w:rPr>
          <w:b/>
          <w:bCs/>
        </w:rPr>
        <w:t xml:space="preserve">fatti che indichino la </w:t>
      </w:r>
      <w:r w:rsidR="00DC6DE9">
        <w:rPr>
          <w:b/>
          <w:bCs/>
        </w:rPr>
        <w:t xml:space="preserve">presenza di</w:t>
      </w:r>
      <w:r>
        <w:rPr>
          <w:b/>
          <w:bCs/>
        </w:rPr>
        <w:t xml:space="preserve"> istruzioni e controllo </w:t>
      </w:r>
      <w:r w:rsidR="00DC6DE9">
        <w:rPr>
          <w:b/>
          <w:bCs/>
        </w:rPr>
        <w:t xml:space="preserve">nell’esecuzione del lavoro </w:t>
      </w:r>
      <w:r>
        <w:t xml:space="preserve">(prima </w:t>
      </w:r>
      <w:r>
        <w:t xml:space="preserve">facie</w:t>
      </w:r>
      <w:r>
        <w:t xml:space="preserve">), senza condizioni aggiuntive</w:t>
      </w:r>
      <w:r w:rsidR="00DC6DE9">
        <w:t xml:space="preserve">.</w:t>
      </w:r>
    </w:p>
    <w:p w:rsidR="00D90A18" w:rsidP="00750824" w:rsidRDefault="00D90A18" w14:paraId="637F85F8" w14:textId="77777777">
      <w:pPr>
        <w:jc w:val="both"/>
      </w:pPr>
    </w:p>
    <w:p w:rsidR="00983F19" w:rsidP="00750824" w:rsidRDefault="00000000" w14:paraId="2E436B86" w14:textId="77C901B7">
      <w:pPr>
        <w:jc w:val="both"/>
      </w:pPr>
      <w:r>
        <w:t xml:space="preserve">In secondo luogo, le procedure per l’accertamento del corretto status lavorativo devono essere efficaci e prevalentemente amministrative, non giudiziarie: le battaglie legali dureranno anni, mentre i lavoratori</w:t>
      </w:r>
      <w:r>
        <w:lastRenderedPageBreak/>
      </w:r>
      <w:r>
        <w:t xml:space="preserve"> hanno bisogno che il loro status venga definito subito </w:t>
      </w:r>
      <w:r w:rsidR="00D7386B">
        <w:t xml:space="preserve">– </w:t>
      </w:r>
      <w:r>
        <w:t xml:space="preserve">gli ispettorati del lavoro potenziati devono avere la competenza e l’obbligo di determinare lo status con una decisione, senza attendere il ricorso in sede giudiziaria.</w:t>
      </w:r>
    </w:p>
    <w:p w:rsidR="00DC6DE9" w:rsidP="00750824" w:rsidRDefault="00DC6DE9" w14:paraId="7FE5F913" w14:textId="77777777">
      <w:pPr>
        <w:jc w:val="both"/>
      </w:pPr>
    </w:p>
    <w:p w:rsidR="00983F19" w:rsidP="00750824" w:rsidRDefault="00000000" w14:paraId="6B80CF8A" w14:textId="60893ECA">
      <w:pPr>
        <w:jc w:val="both"/>
      </w:pPr>
      <w:r>
        <w:t xml:space="preserve">In terzo luogo, occorre istituire un meccanismo di tutela collettiva provvisoria: quando l’ispettorato del lavoro accerta che la piattaforma è un datore di lavoro, entro quindici giorni al massimo </w:t>
      </w:r>
      <w:r w:rsidR="00D7386B">
        <w:t xml:space="preserve">– </w:t>
      </w:r>
      <w:r>
        <w:t xml:space="preserve">o entro un termine più breve consentito dall’ordinamento giuridico nazionale </w:t>
      </w:r>
      <w:r w:rsidR="00D7386B">
        <w:t xml:space="preserve">– </w:t>
      </w:r>
      <w:r>
        <w:t xml:space="preserve">si avvii un dialogo tripartito obbligatorio che garantisca una retribuzione minima e la sicurezza sociale per la durata del procedimento giudiziario </w:t>
      </w:r>
      <w:r w:rsidR="00D7386B">
        <w:t xml:space="preserve">– </w:t>
      </w:r>
      <w:r>
        <w:t xml:space="preserve">altrimenti i lavoratori aspetteranno anni per una sentenza definitiva senza alcuna tutela.</w:t>
      </w:r>
    </w:p>
    <w:p w:rsidR="00D90A18" w:rsidP="00750824" w:rsidRDefault="00D90A18" w14:paraId="47A6D57F" w14:textId="77777777">
      <w:pPr>
        <w:jc w:val="both"/>
      </w:pPr>
    </w:p>
    <w:p w:rsidR="00983F19" w:rsidP="00750824" w:rsidRDefault="00000000" w14:paraId="6659466C" w14:textId="3AC3790E">
      <w:pPr>
        <w:jc w:val="both"/>
      </w:pPr>
      <w:r>
        <w:t xml:space="preserve">In quarto luogo, </w:t>
      </w:r>
      <w:r>
        <w:t xml:space="preserve">la responsabilità </w:t>
      </w:r>
      <w:r w:rsidR="00A25A76">
        <w:t xml:space="preserve">solidale </w:t>
      </w:r>
      <w:r>
        <w:t xml:space="preserve">lungo l’intera catena di intermediari deve essere obbligatoria, non solo consentita: il «sistema di flotta» (</w:t>
      </w:r>
      <w:r>
        <w:t xml:space="preserve">«fleet </w:t>
      </w:r>
      <w:r w:rsidR="00DC6DE9">
        <w:t xml:space="preserve">system»</w:t>
      </w:r>
      <w:r>
        <w:t xml:space="preserve">), in cui le piattaforme trasferiscono il rischio ai </w:t>
      </w:r>
      <w:r w:rsidR="00DC6DE9">
        <w:t xml:space="preserve">subappaltatori e </w:t>
      </w:r>
      <w:r>
        <w:t xml:space="preserve">alle società di comodo (</w:t>
      </w:r>
      <w:r>
        <w:t xml:space="preserve">«shell</w:t>
      </w:r>
      <w:r w:rsidR="00DC6DE9">
        <w:t xml:space="preserve"> </w:t>
      </w:r>
      <w:r w:rsidR="00DC6DE9">
        <w:t xml:space="preserve">companies»</w:t>
      </w:r>
      <w:r>
        <w:t xml:space="preserve">), è presente in quasi la metà delle piattaforme analizzate ed è concepito proprio per impedire l’esercizio dei diritti </w:t>
      </w:r>
      <w:r w:rsidR="00DC6DE9">
        <w:t xml:space="preserve">dei lavoratori direttamente presso la piattaforma, esentando quest’ultima da sanzioni in caso di violazioni della legislazione</w:t>
      </w:r>
      <w:r>
        <w:t xml:space="preserve">.</w:t>
      </w:r>
    </w:p>
    <w:p w:rsidR="00D90A18" w:rsidP="00750824" w:rsidRDefault="00D90A18" w14:paraId="09EF7C8C" w14:textId="77777777">
      <w:pPr>
        <w:jc w:val="both"/>
      </w:pPr>
    </w:p>
    <w:p w:rsidR="00983F19" w:rsidP="00750824" w:rsidRDefault="00000000" w14:paraId="4389BC22" w14:textId="76814AC7">
      <w:pPr>
        <w:jc w:val="both"/>
      </w:pPr>
      <w:r>
        <w:t xml:space="preserve">In quinto luogo, la trasparenza degli algoritmi e tutti gli altri diritti previsti dalla direttiva devono essere sostenuti da meccanismi di attuazione</w:t>
      </w:r>
      <w:r w:rsidR="00DC6DE9">
        <w:t xml:space="preserve">: </w:t>
      </w:r>
      <w:r>
        <w:t xml:space="preserve">ispettorati del lavoro potenziati e qualificati per i sistemi algoritmici, sanzioni chiare e la possibilità di azioni collettive, che attualmente la legislazione di molti Stati membri non consente.</w:t>
      </w:r>
    </w:p>
    <w:p w:rsidR="00D90A18" w:rsidP="00750824" w:rsidRDefault="00D90A18" w14:paraId="160343D0" w14:textId="77777777">
      <w:pPr>
        <w:jc w:val="both"/>
      </w:pPr>
    </w:p>
    <w:p w:rsidR="00D90A18" w:rsidP="00750824" w:rsidRDefault="00000000" w14:paraId="164D45C7" w14:textId="476C2080">
      <w:pPr>
        <w:jc w:val="both"/>
      </w:pPr>
      <w:r>
        <w:t xml:space="preserve">Il filo conduttore del documento non è una singola raccomandazione, bensì il ruolo del dialogo sociale, con un ruolo proattivo dello Stato e delle istituzioni come ponte tra l’adozione della direttiva e la sua effettiva attuazione. Le esperienze di tutti i paesi partner dimostrano che la legge di per sé non modifica la prassi: la legge spagnola sui corrieri (</w:t>
      </w:r>
      <w:r>
        <w:rPr>
          <w:i/>
          <w:iCs/>
        </w:rPr>
        <w:t xml:space="preserve">«Ley </w:t>
      </w:r>
      <w:r w:rsidR="00DC6DE9">
        <w:rPr>
          <w:i/>
          <w:iCs/>
        </w:rPr>
        <w:t xml:space="preserve">Rider»</w:t>
      </w:r>
      <w:r>
        <w:t xml:space="preserve">) non ha impedito a </w:t>
      </w:r>
      <w:r>
        <w:t xml:space="preserve">Glovo</w:t>
      </w:r>
      <w:r>
        <w:t xml:space="preserve"> di </w:t>
      </w:r>
      <w:r>
        <w:t xml:space="preserve">ristrutturare l’intero modello di business in un sistema basato esclusivamente su subappaltatori; il contratto collettivo austriaco per i corrieri non ha impedito a </w:t>
      </w:r>
      <w:r>
        <w:t xml:space="preserve">Lieferando</w:t>
      </w:r>
      <w:r>
        <w:t xml:space="preserve"> di </w:t>
      </w:r>
      <w:r>
        <w:t xml:space="preserve">licenziare</w:t>
      </w:r>
      <w:r>
        <w:t xml:space="preserve">,</w:t>
      </w:r>
      <w:r>
        <w:t xml:space="preserve"> nel marzo 2025, quasi un migliaio di dipendenti e di trasformarli in liberi professionisti privi di tutela; la presunzione legale </w:t>
      </w:r>
      <w:r w:rsidR="00CF3B80">
        <w:t xml:space="preserve">di rapporto di lavoro </w:t>
      </w:r>
      <w:r>
        <w:t xml:space="preserve">in Belgio </w:t>
      </w:r>
      <w:r>
        <w:t xml:space="preserve">non ha modificato lo status lavorativo di nemmeno un lavoratore, poiché la legge non prevedeva procedure che ne consentissero l’applicazione. </w:t>
      </w:r>
    </w:p>
    <w:p w:rsidR="00D90A18" w:rsidP="00750824" w:rsidRDefault="00D90A18" w14:paraId="2D7A9426" w14:textId="77777777">
      <w:pPr>
        <w:jc w:val="both"/>
      </w:pPr>
    </w:p>
    <w:p w:rsidR="00983F19" w:rsidP="00750824" w:rsidRDefault="00000000" w14:paraId="529239C4" w14:textId="4FFC3CF6">
      <w:pPr>
        <w:jc w:val="both"/>
      </w:pPr>
      <w:r>
        <w:t xml:space="preserve">In tutti questi casi, il dialogo sociale, inteso come parte strutturale dell’attuazione </w:t>
      </w:r>
      <w:r w:rsidR="00D7386B">
        <w:t xml:space="preserve">– </w:t>
      </w:r>
      <w:r>
        <w:t xml:space="preserve">con lo Stato come mediatore attivo e garante, non solo come osservatore passivo </w:t>
      </w:r>
      <w:r w:rsidR="00D7386B">
        <w:t xml:space="preserve">– </w:t>
      </w:r>
      <w:r>
        <w:t xml:space="preserve">avrebbe </w:t>
      </w:r>
      <w:r>
        <w:t xml:space="preserve">sicuramente </w:t>
      </w:r>
      <w:r w:rsidR="0086131C">
        <w:t xml:space="preserve">contribuito a formulare proposte di legge più efficaci, che sarebbero state applicate nella pratica in modo da tutelare effettivamente i lavoratori nella misura massima possibile.</w:t>
      </w:r>
      <w:r>
        <w:t xml:space="preserve"> </w:t>
      </w:r>
      <w:r w:rsidR="0086131C">
        <w:t xml:space="preserve">Il dialogo sociale non deve essere solo </w:t>
      </w:r>
      <w:r>
        <w:t xml:space="preserve">un invito alla negoziazione, ma un obbligo per la piattaforma di avviare il dialogo, con sanzioni in caso di rifiuto e con una protezione temporanea dei lavoratori fino a quando il dialogo non dia i suoi frutti. Pertanto</w:t>
      </w:r>
      <w:r>
        <w:t xml:space="preserve">,</w:t>
      </w:r>
      <w:r>
        <w:t xml:space="preserve"> il presente documento propone il Protocollo SDDP </w:t>
      </w:r>
      <w:r w:rsidR="00D7386B">
        <w:t xml:space="preserve">– </w:t>
      </w:r>
      <w:r>
        <w:t xml:space="preserve">un quadro di dialogo sociale che possa fungere da ponte tra l’adozione della direttiva e la sua effettiva attuazione. La direttiva lo incoraggia all’articolo 25 e, all’articolo 29, consente espressamente agli Stati membri di affidarne l’attuazione alle parti sociali tramite contratti collettivi. Il presente documento </w:t>
      </w:r>
      <w:r w:rsidR="0086131C">
        <w:t xml:space="preserve">fornisce le argomentazioni a sostegno del fatto che </w:t>
      </w:r>
      <w:r>
        <w:t xml:space="preserve">questa dovrebbe essere la via prioritaria.</w:t>
      </w:r>
    </w:p>
    <w:p w:rsidR="00D90A18" w:rsidP="00750824" w:rsidRDefault="00D90A18" w14:paraId="4EBEE460" w14:textId="77777777">
      <w:pPr>
        <w:jc w:val="both"/>
      </w:pPr>
    </w:p>
    <w:p w:rsidR="00983F19" w:rsidP="00750824" w:rsidRDefault="00000000" w14:paraId="0C4C1E5B" w14:textId="5E79699E">
      <w:pPr>
        <w:jc w:val="both"/>
      </w:pPr>
      <w:r>
        <w:t xml:space="preserve">Il termine per il recepimento è il 2 dicembre 2026. Ogni mese di ritardo rappresenta un mese in cui i lavoratori operano senza una retribuzione minima, senza contributi previdenziali e senza il diritto di sapere perché l’algoritmo abbia chiuso il loro account. Il ritardo non danneggia le piattaforme</w:t>
      </w:r>
      <w:r w:rsidR="00D7386B">
        <w:t xml:space="preserve">: </w:t>
      </w:r>
      <w:r>
        <w:t xml:space="preserve">sono proprio le piattaforme a cercarlo attivamente, poiché ogni mese senza regolamentazione equivale a un mese senza costi. Ma soprattutto danneggia i lavoratori stessi, che in questo periodo si assumono le responsabilità, i rischi e i costi che dovrebbero essere a carico del datore di lavoro: carburante,</w:t>
      </w:r>
      <w:r>
        <w:lastRenderedPageBreak/>
      </w:r>
      <w:r>
        <w:t xml:space="preserve"> manutenzione del veicolo, assicurazione, assenze per malattia. Danneggia anche le imprese oneste che assumono e versano i contributi </w:t>
      </w:r>
      <w:r w:rsidR="0086131C">
        <w:t xml:space="preserve">per i propri lavoratori, poiché le piattaforme rappresentano per loro una concorrenza sleale</w:t>
      </w:r>
      <w:r>
        <w:t xml:space="preserve">. Con il presente documento, il progetto SDDP offre </w:t>
      </w:r>
      <w:r>
        <w:t xml:space="preserve">raccomandazioni </w:t>
      </w:r>
      <w:r>
        <w:t xml:space="preserve">concrete, </w:t>
      </w:r>
      <w:r>
        <w:t xml:space="preserve">verificabili</w:t>
      </w:r>
      <w:r w:rsidR="0086131C">
        <w:t xml:space="preserve"> sulla base delle pratiche passate</w:t>
      </w:r>
      <w:r>
        <w:t xml:space="preserve">, e rimane a disposizione di ogni Stato membro che intenda attuare la direttiva in modo da tutelare effettivamente coloro a cui la legge si rivolge.</w:t>
      </w:r>
    </w:p>
    <w:p w:rsidR="00D90A18" w:rsidP="00750824" w:rsidRDefault="00D90A18" w14:paraId="177D0FA9" w14:textId="77777777">
      <w:pPr>
        <w:jc w:val="both"/>
      </w:pPr>
    </w:p>
    <w:p w:rsidR="00D90A18" w:rsidP="00750824" w:rsidRDefault="00D90A18" w14:paraId="33CE8C14" w14:textId="77777777">
      <w:pPr>
        <w:jc w:val="both"/>
      </w:pPr>
    </w:p>
    <w:p w:rsidR="00D90A18" w:rsidP="00750824" w:rsidRDefault="00D90A18" w14:paraId="15E0B243" w14:textId="77777777">
      <w:pPr>
        <w:jc w:val="both"/>
      </w:pPr>
    </w:p>
    <w:p w:rsidR="00750824" w:rsidRDefault="00750824" w14:paraId="02D201EA" w14:textId="77777777">
      <w:pPr>
        <w:rPr>
          <w:b/>
          <w:bCs/>
          <w:color w:val="1F3864"/>
          <w:sz w:val="36"/>
          <w:szCs w:val="36"/>
        </w:rPr>
      </w:pPr>
      <w:r>
        <w:br w:type="page"/>
      </w:r>
    </w:p>
    <w:p w:rsidR="00983F19" w:rsidP="00750824" w:rsidRDefault="00000000" w14:paraId="68236365" w14:textId="4C4EB712">
      <w:pPr>
        <w:pStyle w:val="Naslov1"/>
        <w:jc w:val="both"/>
      </w:pPr>
      <w:bookmarkStart w:name="_Toc233699480" w:id="6"/>
      <w:r>
        <w:lastRenderedPageBreak/>
      </w:r>
      <w:r>
        <w:t xml:space="preserve">Capitolo 2: Ambito di applicazione e definizioni</w:t>
      </w:r>
      <w:bookmarkEnd w:id="6"/>
    </w:p>
    <w:p w:rsidR="00D90A18" w:rsidP="00750824" w:rsidRDefault="00000000" w14:paraId="30A8F63B" w14:textId="1F9821E7">
      <w:pPr>
        <w:jc w:val="both"/>
      </w:pPr>
      <w:r>
        <w:t xml:space="preserve">La direttiva UE 2024/2831 sul </w:t>
      </w:r>
      <w:r>
        <w:t xml:space="preserve">lavoro </w:t>
      </w:r>
      <w:r>
        <w:t xml:space="preserve">tramite piattaforme </w:t>
      </w:r>
      <w:r>
        <w:t xml:space="preserve">non inizia con la definizione dei diritti, ma con la domanda su chi rientri effettivamente nella sua protezione. Gli articoli 1, 2 e 3 gettano le basi dell’intero quadro normativo: ne stabiliscono lo scopo e il campo di applicazione, definiscono i concetti chiave e disciplinano la posizione degli intermediari. Poiché questi testi sono </w:t>
      </w:r>
      <w:r w:rsidR="00EA618C">
        <w:t xml:space="preserve">più vaghi </w:t>
      </w:r>
      <w:r>
        <w:t xml:space="preserve">rispetto ad altre parti della direttiva, rappresentano al contempo </w:t>
      </w:r>
      <w:r w:rsidR="00EA618C">
        <w:t xml:space="preserve">il punto </w:t>
      </w:r>
      <w:r>
        <w:t xml:space="preserve">in cui le piattaforme cercano e continueranno a cercare delle lacune. Un’attuazione rigorosa richiede che gli Stati membri traspongano le definizioni in modo restrittivo e concreto.</w:t>
      </w:r>
    </w:p>
    <w:p w:rsidR="00983F19" w:rsidP="00750824" w:rsidRDefault="00000000" w14:paraId="5CFAF56C" w14:textId="77777777">
      <w:pPr>
        <w:pStyle w:val="Naslov2"/>
        <w:jc w:val="both"/>
      </w:pPr>
      <w:bookmarkStart w:name="_Toc233699481" w:id="7"/>
      <w:r>
        <w:t xml:space="preserve">2.1 Requisiti della direttiva</w:t>
      </w:r>
      <w:bookmarkEnd w:id="7"/>
    </w:p>
    <w:p w:rsidR="00983F19" w:rsidP="00750824" w:rsidRDefault="00000000" w14:paraId="22A60EB9" w14:textId="5FDEE535">
      <w:pPr>
        <w:jc w:val="both"/>
      </w:pPr>
      <w:r>
        <w:t xml:space="preserve">L’articolo 1 definisce il duplice obiettivo della direttiva: il miglioramento delle condizioni di lavoro </w:t>
      </w:r>
      <w:r>
        <w:t xml:space="preserve">dei lavoratori </w:t>
      </w:r>
      <w:r>
        <w:t xml:space="preserve">delle piattaforme </w:t>
      </w:r>
      <w:r>
        <w:t xml:space="preserve">e la protezione dei dati personali di tutte le persone che svolgono </w:t>
      </w:r>
      <w:r>
        <w:t xml:space="preserve">attività lavorative </w:t>
      </w:r>
      <w:r>
        <w:t xml:space="preserve">tramite piattaforme</w:t>
      </w:r>
      <w:r>
        <w:t xml:space="preserve">. Queste due dimensioni sono indissolubilmente legate – la gestione algoritmica è al tempo stesso una questione di diritto del lavoro e una questione di protezione dei dati – e non è ammissibile attribuire loro un peso diverso. Ai sensi degli articoli 1, paragrafi 2 e 3, la direttiva si applica a qualsiasi persona che svolga </w:t>
      </w:r>
      <w:r>
        <w:t xml:space="preserve">un’attività lavorativa su piattaforma </w:t>
      </w:r>
      <w:r w:rsidR="00EA618C">
        <w:t xml:space="preserve">nell’Unione europea</w:t>
      </w:r>
      <w:r>
        <w:t xml:space="preserve">, indipendentemente dal fatto che abbia un contratto di lavoro formale e a prescindere dalla sede </w:t>
      </w:r>
      <w:r w:rsidR="00EA618C">
        <w:t xml:space="preserve">legale </w:t>
      </w:r>
      <w:r>
        <w:t xml:space="preserve">della piattaforma</w:t>
      </w:r>
      <w:r>
        <w:t xml:space="preserve">.</w:t>
      </w:r>
    </w:p>
    <w:p w:rsidR="00D90A18" w:rsidP="00750824" w:rsidRDefault="00D90A18" w14:paraId="578F848E" w14:textId="77777777">
      <w:pPr>
        <w:jc w:val="both"/>
      </w:pPr>
    </w:p>
    <w:p w:rsidR="00983F19" w:rsidP="00750824" w:rsidRDefault="00000000" w14:paraId="37DD2204" w14:textId="21A98098">
      <w:pPr>
        <w:jc w:val="both"/>
      </w:pPr>
      <w:r>
        <w:t xml:space="preserve">L’ambito di applicazione territoriale della direttiva è chiaro: l’articolo 1, paragrafo 3, stabilisce che la direttiva si applica a tutte le piattaforme di lavoro digitali che organizzano il lavoro nel territorio dell’Unione, indipendentemente dalla sede della piattaforma o dalla legge </w:t>
      </w:r>
      <w:r>
        <w:t xml:space="preserve">applicabile</w:t>
      </w:r>
      <w:r>
        <w:t xml:space="preserve"> al contratto </w:t>
      </w:r>
      <w:r w:rsidR="00EA618C">
        <w:t xml:space="preserve">stipulato tra il lavoratore e la piattaforma</w:t>
      </w:r>
      <w:r>
        <w:t xml:space="preserve">. Un gruppo di esperti della Commissione europea </w:t>
      </w:r>
      <w:r w:rsidR="00EA618C">
        <w:t xml:space="preserve">(CE) </w:t>
      </w:r>
      <w:r>
        <w:t xml:space="preserve">lo ha confermato: una piattaforma straniera che organizza consegne a Lubiana o a Varsavia è pienamente soggetta alla direttiva. Una clausola contrattuale che prevede la scelta di una legge straniera non priva di tale tutela, poiché si tratta di </w:t>
      </w:r>
      <w:r>
        <w:t xml:space="preserve">norme </w:t>
      </w:r>
      <w:r>
        <w:t xml:space="preserve">imperative </w:t>
      </w:r>
      <w:r>
        <w:t xml:space="preserve">del diritto internazionale privato.</w:t>
      </w:r>
    </w:p>
    <w:p w:rsidR="00EA618C" w:rsidP="00750824" w:rsidRDefault="00EA618C" w14:paraId="4E8E8883" w14:textId="77777777">
      <w:pPr>
        <w:jc w:val="both"/>
      </w:pPr>
    </w:p>
    <w:p w:rsidR="00983F19" w:rsidP="00750824" w:rsidRDefault="00000000" w14:paraId="396EB28B" w14:textId="12D3BE02">
      <w:pPr>
        <w:jc w:val="both"/>
      </w:pPr>
      <w:r>
        <w:t xml:space="preserve">Le piattaforme con sede al di fuori dell’UE che non organizzano il lavoro all’interno dell’Unione non rientrano nel campo di applicazione. Una questione meno discussa, ma altrettanto seria, è cosa accada quando una piattaforma europea opera in paesi al di fuori dell’UE e lì sfrutta i lavoratori in condizioni che sarebbero vietate in Europa. Gli articoli 1 e 26 della direttiva non affrontano questa questione: si tratta di una lacuna che viene trattata nella raccomandazione 2.6.</w:t>
      </w:r>
    </w:p>
    <w:p w:rsidR="00D90A18" w:rsidP="00750824" w:rsidRDefault="00D90A18" w14:paraId="66C45616" w14:textId="77777777">
      <w:pPr>
        <w:jc w:val="both"/>
      </w:pPr>
    </w:p>
    <w:p w:rsidR="00D90A18" w:rsidP="00750824" w:rsidRDefault="00000000" w14:paraId="152770CC" w14:textId="44B432F6">
      <w:pPr>
        <w:jc w:val="both"/>
      </w:pPr>
      <w:r>
        <w:t xml:space="preserve">L’articolo 2 introduce le definizioni </w:t>
      </w:r>
      <w:r>
        <w:t xml:space="preserve">dei</w:t>
      </w:r>
      <w:r w:rsidR="00EA618C">
        <w:t xml:space="preserve"> termini </w:t>
      </w:r>
      <w:r w:rsidR="00EA618C">
        <w:t xml:space="preserve">utilizzati nella </w:t>
      </w:r>
      <w:r>
        <w:t xml:space="preserve">direttiva. Di fondamentale importanza è la definizione di «piattaforma di lavoro digitale» (</w:t>
      </w:r>
      <w:r w:rsidR="00EA618C">
        <w:t xml:space="preserve">«</w:t>
      </w:r>
      <w:r>
        <w:t xml:space="preserve">digital </w:t>
      </w:r>
      <w:r>
        <w:t xml:space="preserve">labour </w:t>
      </w:r>
      <w:r>
        <w:t xml:space="preserve">platform </w:t>
      </w:r>
      <w:r w:rsidR="00EA618C">
        <w:t xml:space="preserve">(DLP)»</w:t>
      </w:r>
      <w:r>
        <w:t xml:space="preserve">), che deve soddisfare cumulativamente quattro condizioni:</w:t>
      </w:r>
    </w:p>
    <w:p w:rsidR="00D90A18" w:rsidP="00750824" w:rsidRDefault="00000000" w14:paraId="251EFDAE" w14:textId="77777777">
      <w:pPr>
        <w:jc w:val="both"/>
      </w:pPr>
      <w:r>
        <w:t xml:space="preserve"> • il servizio è fornito, almeno in parte, a distanza tramite mezzi elettronici (web o applicazione); </w:t>
      </w:r>
    </w:p>
    <w:p w:rsidR="00D90A18" w:rsidP="00750824" w:rsidRDefault="00000000" w14:paraId="30F6BF33" w14:textId="77777777">
      <w:pPr>
        <w:jc w:val="both"/>
      </w:pPr>
      <w:r>
        <w:t xml:space="preserve">• il servizio è fornito su richiesta del destinatario del servizio – in modo una tantum o ricorrente; </w:t>
      </w:r>
    </w:p>
    <w:p w:rsidR="00D90A18" w:rsidP="00750824" w:rsidRDefault="00000000" w14:paraId="0511C9D8" w14:textId="77777777">
      <w:pPr>
        <w:jc w:val="both"/>
      </w:pPr>
      <w:r>
        <w:t xml:space="preserve">• l’organizzazione del lavoro delle persone a titolo oneroso è una componente necessaria ed essenziale del servizio – non solo un’attività accessoria; </w:t>
      </w:r>
    </w:p>
    <w:p w:rsidR="00983F19" w:rsidP="00750824" w:rsidRDefault="00000000" w14:paraId="16790D6E" w14:textId="77777777">
      <w:pPr>
        <w:jc w:val="both"/>
      </w:pPr>
      <w:r>
        <w:t xml:space="preserve">• il servizio prevede l’utilizzo di sistemi automatizzati per il controllo o il processo decisionale (o entrambi).</w:t>
      </w:r>
    </w:p>
    <w:p w:rsidR="00D90A18" w:rsidP="00750824" w:rsidRDefault="00D90A18" w14:paraId="3D050403" w14:textId="77777777">
      <w:pPr>
        <w:jc w:val="both"/>
      </w:pPr>
    </w:p>
    <w:p w:rsidR="00983F19" w:rsidP="00750824" w:rsidRDefault="00000000" w14:paraId="0477B2C5" w14:textId="76B31296">
      <w:pPr>
        <w:jc w:val="both"/>
      </w:pPr>
      <w:r>
        <w:t xml:space="preserve">Tutte e quattro le condizioni devono essere soddisfatte contemporaneamente. Viene valutato il servizio specifico, non l’intera impresa: la stessa impresa può essere considerata un DLP per uno dei suoi servizi, ma non per un altro. Il gruppo di esperti della CE ha espressamente confermato che nessun settore è escluso</w:t>
      </w:r>
      <w:r w:rsidR="00EA618C">
        <w:t xml:space="preserve">; </w:t>
      </w:r>
      <w:r>
        <w:t xml:space="preserve">la valutazione è sempre specifica, caso per caso. Le agenzie di lavoro interinale sono DLP se soddisfano</w:t>
      </w:r>
      <w:r>
        <w:lastRenderedPageBreak/>
      </w:r>
      <w:r>
        <w:t xml:space="preserve"> tutte e quattro le condizioni. Le piattaforme che si limitano a pubblicare le offerte dei prestatori di servizi senza svolgere un ruolo attivo nell’organizzazione del lavoro non sono DLP.</w:t>
      </w:r>
    </w:p>
    <w:p w:rsidR="00EA618C" w:rsidP="00750824" w:rsidRDefault="00EA618C" w14:paraId="39409103" w14:textId="77777777">
      <w:pPr>
        <w:jc w:val="both"/>
      </w:pPr>
    </w:p>
    <w:p w:rsidR="00983F19" w:rsidP="00750824" w:rsidRDefault="00000000" w14:paraId="7F11F492" w14:textId="102CBD0B">
      <w:pPr>
        <w:jc w:val="both"/>
      </w:pPr>
      <w:r>
        <w:t xml:space="preserve">Per</w:t>
      </w:r>
      <w:r>
        <w:t xml:space="preserve"> «persona che svolge </w:t>
      </w:r>
      <w:r>
        <w:t xml:space="preserve">lavoro </w:t>
      </w:r>
      <w:r>
        <w:t xml:space="preserve">su </w:t>
      </w:r>
      <w:r>
        <w:t xml:space="preserve">piattaforma</w:t>
      </w:r>
      <w:r>
        <w:t xml:space="preserve">»</w:t>
      </w:r>
      <w:r>
        <w:t xml:space="preserve"> (</w:t>
      </w:r>
      <w:r w:rsidR="00EA618C">
        <w:t xml:space="preserve">«</w:t>
      </w:r>
      <w:r>
        <w:t xml:space="preserve">person </w:t>
      </w:r>
      <w:r>
        <w:t xml:space="preserve">performing </w:t>
      </w:r>
      <w:r>
        <w:t xml:space="preserve">platform </w:t>
      </w:r>
      <w:r>
        <w:t xml:space="preserve">work </w:t>
      </w:r>
      <w:r w:rsidR="00EA618C">
        <w:t xml:space="preserve">(</w:t>
      </w:r>
      <w:r>
        <w:t xml:space="preserve">PPPW</w:t>
      </w:r>
      <w:r w:rsidR="00EA618C">
        <w:t xml:space="preserve">)»</w:t>
      </w:r>
      <w:r>
        <w:t xml:space="preserve">) si intende qualsiasi individuo che svolga </w:t>
      </w:r>
      <w:r>
        <w:t xml:space="preserve">lavoro </w:t>
      </w:r>
      <w:r>
        <w:t xml:space="preserve">su piattaforma</w:t>
      </w:r>
      <w:r>
        <w:t xml:space="preserve">, indipendentemente dalla denominazione </w:t>
      </w:r>
      <w:r w:rsidR="00EA618C">
        <w:t xml:space="preserve">o dalla definizione giuridica </w:t>
      </w:r>
      <w:r>
        <w:t xml:space="preserve">del suo rapporto contrattuale</w:t>
      </w:r>
      <w:r>
        <w:t xml:space="preserve">. La sottocategoria </w:t>
      </w:r>
      <w:r>
        <w:t xml:space="preserve">«lavoratore </w:t>
      </w:r>
      <w:r>
        <w:t xml:space="preserve">della piattaforma</w:t>
      </w:r>
      <w:r>
        <w:t xml:space="preserve">» indica quel PPPW che soddisfa o, sulla base dei fatti, si ritiene che </w:t>
      </w:r>
      <w:r w:rsidR="00EA618C">
        <w:t xml:space="preserve">soddisfi i requisiti per </w:t>
      </w:r>
      <w:r w:rsidR="00CF3B80">
        <w:t xml:space="preserve">l’assunzione</w:t>
      </w:r>
      <w:r>
        <w:t xml:space="preserve">. La distinzione è fondamentale: i diritti di cui al capo II della direttiva (presunzione giuridica) e alcuni diritti di cui al capo III (gestione algoritmica da parte del datore di lavoro) si applicano esclusivamente ai </w:t>
      </w:r>
      <w:r>
        <w:t xml:space="preserve">lavoratori </w:t>
      </w:r>
      <w:r>
        <w:t xml:space="preserve">della piattaforma</w:t>
      </w:r>
      <w:r>
        <w:t xml:space="preserve">, mentre i divieti relativi al trattamento dei dati e alla trasparenza degli algoritmi si applicano a tutti i PPPW.</w:t>
      </w:r>
    </w:p>
    <w:p w:rsidR="00D90A18" w:rsidP="00750824" w:rsidRDefault="00D90A18" w14:paraId="6EE09067" w14:textId="77777777">
      <w:pPr>
        <w:jc w:val="both"/>
      </w:pPr>
    </w:p>
    <w:p w:rsidR="00983F19" w:rsidP="00750824" w:rsidRDefault="00000000" w14:paraId="3810B9ED" w14:textId="1E98A7C2">
      <w:pPr>
        <w:jc w:val="both"/>
      </w:pPr>
      <w:r>
        <w:t xml:space="preserve">L’intermediario è definito all’articolo 2, paragrafo 1, lettera e), come una persona fisica o giuridica il cui scopo è consentire alla piattaforma, o tramite essa</w:t>
      </w:r>
      <w:r w:rsidR="00A16E80">
        <w:t xml:space="preserve">,</w:t>
      </w:r>
      <w:r>
        <w:t xml:space="preserve"> lo svolgimento </w:t>
      </w:r>
      <w:r>
        <w:t xml:space="preserve">di lavoro </w:t>
      </w:r>
      <w:r>
        <w:t xml:space="preserve">su piattaforma</w:t>
      </w:r>
      <w:r w:rsidR="00A16E80">
        <w:t xml:space="preserve">, </w:t>
      </w:r>
      <w:r>
        <w:t xml:space="preserve">sia instaurando un rapporto contrattuale con entrambe le parti</w:t>
      </w:r>
      <w:r w:rsidR="00A16E80">
        <w:t xml:space="preserve">, </w:t>
      </w:r>
      <w:r>
        <w:t xml:space="preserve">sia inserendosi nella </w:t>
      </w:r>
      <w:r>
        <w:t xml:space="preserve">catena </w:t>
      </w:r>
      <w:r>
        <w:t xml:space="preserve">di subappalto</w:t>
      </w:r>
      <w:r>
        <w:t xml:space="preserve">. La definizione è volutamente ampia. Il gruppo di esperti della Commissione europea ha chiarito che gli intermediari possono essere persone fisiche</w:t>
      </w:r>
      <w:r w:rsidR="00A16E80">
        <w:t xml:space="preserve">: </w:t>
      </w:r>
      <w:r>
        <w:t xml:space="preserve">la sublocazione di un account (</w:t>
      </w:r>
      <w:r>
        <w:t xml:space="preserve">«account </w:t>
      </w:r>
      <w:r w:rsidR="00A16E80">
        <w:t xml:space="preserve">subletting»</w:t>
      </w:r>
      <w:r>
        <w:t xml:space="preserve">) costituisce intermediazione quando lo scopo di tale sublocazione è lo svolgimento </w:t>
      </w:r>
      <w:r>
        <w:t xml:space="preserve">di lavoro </w:t>
      </w:r>
      <w:r>
        <w:t xml:space="preserve">su piattaforma</w:t>
      </w:r>
      <w:r w:rsidR="00A16E80">
        <w:t xml:space="preserve">. L’obiettivo </w:t>
      </w:r>
      <w:r>
        <w:t xml:space="preserve">di</w:t>
      </w:r>
      <w:r w:rsidR="00A16E80">
        <w:t xml:space="preserve"> tale </w:t>
      </w:r>
      <w:r>
        <w:t xml:space="preserve">definizione è impedire l’elusione </w:t>
      </w:r>
      <w:r w:rsidR="00A16E80">
        <w:t xml:space="preserve">delle disposizioni della direttiva </w:t>
      </w:r>
      <w:r>
        <w:t xml:space="preserve">tramite terzi. I sistemi di flotta (</w:t>
      </w:r>
      <w:r>
        <w:t xml:space="preserve">«fleet </w:t>
      </w:r>
      <w:r w:rsidR="00A16E80">
        <w:t xml:space="preserve">systems»</w:t>
      </w:r>
      <w:r>
        <w:t xml:space="preserve">) – in cui la piattaforma stipula un contratto con l’operatore di flotta, il quale a sua volta stipula un contratto con i corrieri – costituiscono un esempio paradigmatico di intermediazione espressamente disciplinata dalla direttiva.</w:t>
      </w:r>
    </w:p>
    <w:p w:rsidR="00D90A18" w:rsidP="00750824" w:rsidRDefault="00D90A18" w14:paraId="74B99256" w14:textId="77777777">
      <w:pPr>
        <w:jc w:val="both"/>
      </w:pPr>
    </w:p>
    <w:p w:rsidR="00983F19" w:rsidP="00750824" w:rsidRDefault="00000000" w14:paraId="0E2FD3E6" w14:textId="6CE0F423">
      <w:pPr>
        <w:jc w:val="both"/>
      </w:pPr>
      <w:r>
        <w:t xml:space="preserve">L’articolo 3 prevede che le persone che svolgono </w:t>
      </w:r>
      <w:r>
        <w:t xml:space="preserve">un’attività </w:t>
      </w:r>
      <w:r>
        <w:t xml:space="preserve">su piattaforma </w:t>
      </w:r>
      <w:r>
        <w:t xml:space="preserve">tramite un intermediario godano di </w:t>
      </w:r>
      <w:r>
        <w:t xml:space="preserve">un livello di tutela </w:t>
      </w:r>
      <w:r w:rsidR="00A16E80">
        <w:t xml:space="preserve">del tutto </w:t>
      </w:r>
      <w:r>
        <w:t xml:space="preserve">equivalente a quello delle persone che intrattengono un rapporto contrattuale diretto con la piattaforma. Gli Stati membri devono istituire meccanismi adeguati che includano</w:t>
      </w:r>
      <w:r w:rsidR="00A16E80">
        <w:t xml:space="preserve">, </w:t>
      </w:r>
      <w:r>
        <w:t xml:space="preserve">ove opportuno</w:t>
      </w:r>
      <w:r w:rsidR="00A16E80">
        <w:t xml:space="preserve">, </w:t>
      </w:r>
      <w:r>
        <w:t xml:space="preserve">la responsabilità </w:t>
      </w:r>
      <w:r w:rsidR="00A25A76">
        <w:t xml:space="preserve">solidale </w:t>
      </w:r>
      <w:r>
        <w:t xml:space="preserve">(</w:t>
      </w:r>
      <w:r>
        <w:t xml:space="preserve">«joint </w:t>
      </w:r>
      <w:r>
        <w:t xml:space="preserve">and </w:t>
      </w:r>
      <w:r>
        <w:t xml:space="preserve">several </w:t>
      </w:r>
      <w:r w:rsidR="00A16E80">
        <w:t xml:space="preserve">liability»</w:t>
      </w:r>
      <w:r>
        <w:t xml:space="preserve">). L’espressione </w:t>
      </w:r>
      <w:r w:rsidR="00A16E80">
        <w:t xml:space="preserve">«</w:t>
      </w:r>
      <w:r>
        <w:t xml:space="preserve">ove </w:t>
      </w:r>
      <w:r w:rsidR="00A16E80">
        <w:t xml:space="preserve">opportuno» </w:t>
      </w:r>
      <w:r w:rsidR="00792F1C">
        <w:t xml:space="preserve">costituisce </w:t>
      </w:r>
      <w:r>
        <w:t xml:space="preserve">una clausola aperta: la direttiva </w:t>
      </w:r>
      <w:r>
        <w:t xml:space="preserve">non impone la responsabilità </w:t>
      </w:r>
      <w:r w:rsidR="00A25A76">
        <w:t xml:space="preserve">solidale </w:t>
      </w:r>
      <w:r>
        <w:t xml:space="preserve">in modo incondizionato, ma ne lascia la valutazione alla discrezionalità degli Stati membri. Si tratta di una delle principali lacune che devono essere colmate in sede di recepimento.</w:t>
      </w:r>
    </w:p>
    <w:p w:rsidR="00D90A18" w:rsidP="00750824" w:rsidRDefault="00D90A18" w14:paraId="5BE0CC56" w14:textId="77777777">
      <w:pPr>
        <w:jc w:val="both"/>
      </w:pPr>
    </w:p>
    <w:p w:rsidR="00983F19" w:rsidP="00750824" w:rsidRDefault="00000000" w14:paraId="5A0BD868" w14:textId="77777777">
      <w:pPr>
        <w:pStyle w:val="Naslov2"/>
        <w:jc w:val="both"/>
      </w:pPr>
      <w:bookmarkStart w:name="_Toc233699482" w:id="8"/>
      <w:r>
        <w:t xml:space="preserve">2.2 Risultati emersi dalla pratica</w:t>
      </w:r>
      <w:bookmarkEnd w:id="8"/>
    </w:p>
    <w:p w:rsidR="00983F19" w:rsidP="00750824" w:rsidRDefault="00000000" w14:paraId="1379ED78" w14:textId="0D5B2637">
      <w:pPr>
        <w:jc w:val="both"/>
      </w:pPr>
      <w:r>
        <w:t xml:space="preserve">Le esperienze dei paesi partner del progetto SDDP rivelano tre modelli strutturali di elusione </w:t>
      </w:r>
      <w:r w:rsidR="000052A5">
        <w:t xml:space="preserve">delle disposizioni, definiti anche nella </w:t>
      </w:r>
      <w:r>
        <w:t xml:space="preserve">direttiva </w:t>
      </w:r>
      <w:r w:rsidR="000052A5">
        <w:t xml:space="preserve">e </w:t>
      </w:r>
      <w:r>
        <w:t xml:space="preserve">direttamente rilevanti per l’interpretazione e il recepimento degli articoli da 1 a 3.</w:t>
      </w:r>
    </w:p>
    <w:p w:rsidR="00D90A18" w:rsidP="00750824" w:rsidRDefault="00D90A18" w14:paraId="4797C659" w14:textId="77777777">
      <w:pPr>
        <w:jc w:val="both"/>
      </w:pPr>
    </w:p>
    <w:p w:rsidR="00983F19" w:rsidP="00750824" w:rsidRDefault="00000000" w14:paraId="24A10F30" w14:textId="49A6EB71">
      <w:pPr>
        <w:jc w:val="both"/>
      </w:pPr>
      <w:r>
        <w:rPr>
          <w:b/>
          <w:bCs/>
        </w:rPr>
        <w:t xml:space="preserve">La classificazione settoriale come strumento di elusione.</w:t>
      </w:r>
      <w:r>
        <w:t xml:space="preserve"> </w:t>
      </w:r>
      <w:r w:rsidR="000052A5">
        <w:t xml:space="preserve">Il caso belga è particolarmente illustrativo</w:t>
      </w:r>
      <w:r>
        <w:t xml:space="preserve">. Takeaway.com si è registrata per un certo periodo come società pubblicitaria e non come piattaforma di consegna di cibo</w:t>
      </w:r>
      <w:r w:rsidR="000052A5">
        <w:t xml:space="preserve">, </w:t>
      </w:r>
      <w:r>
        <w:t xml:space="preserve">cercando in tal modo di evitare che le si applicassero gli obblighi di diritto del lavoro derivanti dalla classificazione settoriale. La direttiva rende impossibile questa strategia: poiché valuta il servizio concreto e non il settore in </w:t>
      </w:r>
      <w:r w:rsidR="006F2B87">
        <w:t xml:space="preserve">cui </w:t>
      </w:r>
      <w:r>
        <w:t xml:space="preserve">l’azienda è ufficialmente iscritta, la forma giuridica o la classificazione nel registro delle imprese non può essere determinante. Le leggi che consentirebbero l’elusione tramite la classificazione nel registro non sono conformi alla direttiva.</w:t>
      </w:r>
    </w:p>
    <w:p w:rsidR="00D90A18" w:rsidP="00750824" w:rsidRDefault="00D90A18" w14:paraId="51D06985" w14:textId="77777777">
      <w:pPr>
        <w:jc w:val="both"/>
      </w:pPr>
    </w:p>
    <w:p w:rsidR="00983F19" w:rsidP="00750824" w:rsidRDefault="00000000" w14:paraId="436CFF4A" w14:textId="116E3461">
      <w:pPr>
        <w:jc w:val="both"/>
      </w:pPr>
      <w:r>
        <w:rPr>
          <w:b/>
          <w:bCs/>
        </w:rPr>
        <w:t xml:space="preserve">Il sistema a flotta come meccanismo strutturale di intermediazione. </w:t>
      </w:r>
      <w:r>
        <w:t xml:space="preserve">L’analisi di 91 piattaforme nei paesi partner mostra che il sistema a flotta è presente in almeno 41 di esse: non si tratta di un’eccezione, ma di parte integrante del modello di business. </w:t>
      </w:r>
      <w:r>
        <w:t xml:space="preserve">Uber </w:t>
      </w:r>
      <w:r>
        <w:t xml:space="preserve">Eats </w:t>
      </w:r>
      <w:r>
        <w:t xml:space="preserve">in Germania ne è un chiaro esempio: i fattorini lavorano tramite subappaltatori che trattengono fino al 35% dei loro guadagni, oltre a una commissione</w:t>
      </w:r>
      <w:r>
        <w:lastRenderedPageBreak/>
      </w:r>
      <w:r>
        <w:t xml:space="preserve"> fino a 500 euro. Le esperienze croate e serbe con le società di comodo (</w:t>
      </w:r>
      <w:r>
        <w:t xml:space="preserve">«shell </w:t>
      </w:r>
      <w:r w:rsidR="006F2B87">
        <w:t xml:space="preserve">companies»</w:t>
      </w:r>
      <w:r>
        <w:t xml:space="preserve">) rappresentano un caso estremo di questo modello</w:t>
      </w:r>
      <w:r w:rsidR="00A60485">
        <w:t xml:space="preserve">: </w:t>
      </w:r>
      <w:r>
        <w:t xml:space="preserve">quando un subappaltatore chiude l’azienda, i lavoratori rimangono privi di tutela giuridica e senza </w:t>
      </w:r>
      <w:r w:rsidR="00A60485">
        <w:t xml:space="preserve">alcun </w:t>
      </w:r>
      <w:r w:rsidR="00A60485">
        <w:t xml:space="preserve">mezzo per </w:t>
      </w:r>
      <w:r>
        <w:t xml:space="preserve">far valere i propri diritti. L’esperienza spagnola dopo l’entrata in vigore </w:t>
      </w:r>
      <w:r>
        <w:t xml:space="preserve">della Legge sui corrieri (</w:t>
      </w:r>
      <w:r>
        <w:t xml:space="preserve">«Ley </w:t>
      </w:r>
      <w:r w:rsidR="00A60485">
        <w:t xml:space="preserve">Rider»</w:t>
      </w:r>
      <w:r>
        <w:t xml:space="preserve">) nel 2021 ha dimostrato che, proprio in seguito all’introduzione della normativa, le piattaforme sono passate in massa al sistema a flotta. La direttiva </w:t>
      </w:r>
      <w:r>
        <w:t xml:space="preserve">probabilmente scatenerà </w:t>
      </w:r>
      <w:r w:rsidR="00A60485">
        <w:t xml:space="preserve">una reazione simile </w:t>
      </w:r>
      <w:r>
        <w:t xml:space="preserve">laddove i sistemi di intermediazione non siano adeguatamente regolamentati.</w:t>
      </w:r>
    </w:p>
    <w:p w:rsidR="00D90A18" w:rsidP="00750824" w:rsidRDefault="00D90A18" w14:paraId="478A89E8" w14:textId="77777777">
      <w:pPr>
        <w:jc w:val="both"/>
      </w:pPr>
    </w:p>
    <w:p w:rsidR="00983F19" w:rsidP="00750824" w:rsidRDefault="00000000" w14:paraId="28D962D3" w14:textId="0E4A0B63">
      <w:pPr>
        <w:jc w:val="both"/>
      </w:pPr>
      <w:r>
        <w:rPr>
          <w:b/>
          <w:bCs/>
        </w:rPr>
        <w:t xml:space="preserve">Affitto di conti nella zona grigia.</w:t>
      </w:r>
      <w:r>
        <w:t xml:space="preserve"> In pratica, capita che il titolare di un conto presso una piattaforma ceda tale conto a un’altra persona</w:t>
      </w:r>
      <w:r w:rsidR="00A60485">
        <w:t xml:space="preserve">, </w:t>
      </w:r>
      <w:r>
        <w:t xml:space="preserve">spesso </w:t>
      </w:r>
      <w:r w:rsidR="00A60485">
        <w:t xml:space="preserve">un lavoratore </w:t>
      </w:r>
      <w:r w:rsidR="00A60485">
        <w:t xml:space="preserve">migrante </w:t>
      </w:r>
      <w:r>
        <w:t xml:space="preserve">privo </w:t>
      </w:r>
      <w:r>
        <w:t xml:space="preserve">di documenti</w:t>
      </w:r>
      <w:r w:rsidR="00A60485">
        <w:t xml:space="preserve"> in regola</w:t>
      </w:r>
      <w:r>
        <w:t xml:space="preserve">. Il gruppo di esperti della Commissione europea ha chiarito </w:t>
      </w:r>
      <w:r w:rsidR="00A60485">
        <w:t xml:space="preserve">che, </w:t>
      </w:r>
      <w:r>
        <w:t xml:space="preserve">quando lo scopo di tale cessione è proprio lo svolgimento </w:t>
      </w:r>
      <w:r>
        <w:t xml:space="preserve">di un’attività </w:t>
      </w:r>
      <w:r>
        <w:t xml:space="preserve">su piattaforma </w:t>
      </w:r>
      <w:r>
        <w:t xml:space="preserve">e la piattaforma ne è a conoscenza o lo consente, si tratta di intermediazione</w:t>
      </w:r>
      <w:r w:rsidR="00A60485">
        <w:t xml:space="preserve">, come definita dalla direttiva</w:t>
      </w:r>
      <w:r>
        <w:t xml:space="preserve">. Quando invece la piattaforma non è a conoscenza della cessione e non la autorizza, il subaffittuario non è formalmente considerato un PPPW</w:t>
      </w:r>
      <w:r w:rsidR="00A60485">
        <w:t xml:space="preserve">, </w:t>
      </w:r>
      <w:r>
        <w:t xml:space="preserve">ma la direttiva incoraggia gli Stati a proteggere anche questi individui con misure proprie.</w:t>
      </w:r>
    </w:p>
    <w:p w:rsidR="00D90A18" w:rsidP="00750824" w:rsidRDefault="00D90A18" w14:paraId="36B0EE74" w14:textId="77777777">
      <w:pPr>
        <w:jc w:val="both"/>
      </w:pPr>
    </w:p>
    <w:p w:rsidR="00983F19" w:rsidP="00750824" w:rsidRDefault="00000000" w14:paraId="3CB89BA7" w14:textId="673BFC82">
      <w:pPr>
        <w:jc w:val="both"/>
      </w:pPr>
      <w:r>
        <w:t xml:space="preserve">In occasione della conferenza intermedia del progetto SDDP tenutasi a Lubiana nel maggio 2025</w:t>
      </w:r>
      <w:r w:rsidR="00A60485">
        <w:t xml:space="preserve">,</w:t>
      </w:r>
      <w:r>
        <w:t xml:space="preserve"> tutti i partner hanno convenuto </w:t>
      </w:r>
      <w:r w:rsidR="00A60485">
        <w:t xml:space="preserve">che </w:t>
      </w:r>
      <w:r>
        <w:t xml:space="preserve">le definizioni contenute nella direttiva </w:t>
      </w:r>
      <w:r w:rsidR="00A60485">
        <w:t xml:space="preserve">sono </w:t>
      </w:r>
      <w:r>
        <w:t xml:space="preserve">sufficientemente ampie da coprire tutti i casi rilevanti, ma proprio questa ampiezza richiede che le legislazioni nazionali le </w:t>
      </w:r>
      <w:r>
        <w:t xml:space="preserve">rendano operative</w:t>
      </w:r>
      <w:r w:rsidR="00A60485">
        <w:t xml:space="preserve"> in modo preciso</w:t>
      </w:r>
      <w:r w:rsidR="00A60485">
        <w:t xml:space="preserve">, </w:t>
      </w:r>
      <w:r>
        <w:t xml:space="preserve">altrimenti le piattaforme </w:t>
      </w:r>
      <w:r>
        <w:t xml:space="preserve">riempiranno </w:t>
      </w:r>
      <w:r w:rsidR="00A60485">
        <w:t xml:space="preserve">lo spazio </w:t>
      </w:r>
      <w:r>
        <w:t xml:space="preserve">con le proprie interpretazioni</w:t>
      </w:r>
      <w:r w:rsidR="00A60485">
        <w:t xml:space="preserve">, attraverso le quali cercheranno di eludere le responsabilità</w:t>
      </w:r>
      <w:r>
        <w:t xml:space="preserve">.</w:t>
      </w:r>
    </w:p>
    <w:p w:rsidR="00D90A18" w:rsidP="00750824" w:rsidRDefault="00D90A18" w14:paraId="11382266" w14:textId="77777777">
      <w:pPr>
        <w:jc w:val="both"/>
      </w:pPr>
    </w:p>
    <w:p w:rsidR="00983F19" w:rsidP="00750824" w:rsidRDefault="00000000" w14:paraId="318C5688" w14:textId="15F944CC">
      <w:pPr>
        <w:jc w:val="both"/>
      </w:pPr>
      <w:r>
        <w:t xml:space="preserve">È opportuno sottolineare </w:t>
      </w:r>
      <w:r w:rsidR="00A60485">
        <w:t xml:space="preserve">in particolare </w:t>
      </w:r>
      <w:r>
        <w:t xml:space="preserve">le affermazioni diffuse dalle stesse piattaforme nei negoziati </w:t>
      </w:r>
      <w:r w:rsidR="00A60485">
        <w:t xml:space="preserve">con le parti sociali </w:t>
      </w:r>
      <w:r>
        <w:t xml:space="preserve">e </w:t>
      </w:r>
      <w:r w:rsidR="00A60485">
        <w:t xml:space="preserve">nei </w:t>
      </w:r>
      <w:r>
        <w:t xml:space="preserve">procedimenti dinanzi alle autorità nazionali. I dirigenti di alcune piattaforme – tra cui</w:t>
      </w:r>
      <w:r w:rsidR="00A60485">
        <w:t xml:space="preserve">, ad esempio</w:t>
      </w:r>
      <w:r>
        <w:t xml:space="preserve">,</w:t>
      </w:r>
      <w:r w:rsidR="00A60485">
        <w:t xml:space="preserve"> </w:t>
      </w:r>
      <w:r>
        <w:t xml:space="preserve">Wolt </w:t>
      </w:r>
      <w:r>
        <w:t xml:space="preserve">nelle trattative con i sindacati sloveni – sostengono regolarmente che determinati obblighi previsti dalla direttiva non siano applicabili al loro caso o che determinati organi non siano competenti a valutare il loro modello di business. La direttiva non ammette tali argomentazioni: la competenza deriva dal luogo in cui viene svolto il lavoro, non dal luogo in cui ha sede la piattaforma.</w:t>
      </w:r>
    </w:p>
    <w:p w:rsidR="00D90A18" w:rsidP="00750824" w:rsidRDefault="00D90A18" w14:paraId="6FE07113" w14:textId="77777777">
      <w:pPr>
        <w:jc w:val="both"/>
      </w:pPr>
    </w:p>
    <w:p w:rsidR="00983F19" w:rsidP="00750824" w:rsidRDefault="00000000" w14:paraId="105EE5A9" w14:textId="007C3416">
      <w:pPr>
        <w:jc w:val="both"/>
      </w:pPr>
      <w:r>
        <w:t xml:space="preserve">Rimane tuttavia una lacuna che la direttiva non affronta: cosa succede quando una piattaforma europea applica due pesi e due misure</w:t>
      </w:r>
      <w:r w:rsidR="00A60485">
        <w:t xml:space="preserve">, </w:t>
      </w:r>
      <w:r>
        <w:t xml:space="preserve">rispettando le regole all’interno dell’UE ma non al di fuori di essa? </w:t>
      </w:r>
      <w:r>
        <w:t xml:space="preserve">Glovo</w:t>
      </w:r>
      <w:r>
        <w:t xml:space="preserve">, di cui </w:t>
      </w:r>
      <w:r>
        <w:t xml:space="preserve">Delivery </w:t>
      </w:r>
      <w:r>
        <w:t xml:space="preserve">Hero</w:t>
      </w:r>
      <w:r>
        <w:t xml:space="preserve">, con sede in Germania, </w:t>
      </w:r>
      <w:r>
        <w:t xml:space="preserve">è azionista di maggioranza</w:t>
      </w:r>
      <w:r>
        <w:t xml:space="preserve">, opera in diversi paesi in via di sviluppo: Marocco, Ghana, Kazakistan, Perù e altrove. Le condizioni di lavoro dei corrieri in quei paesi sono spesso ben al di sotto degli standard che la direttiva richiederebbe nell’UE. Poiché la piattaforma è di proprietà europea e finanziata con capitali europei, si pone una questione che l’attuale direttiva non disciplina: l’UE dovrebbe imporre almeno degli standard minimi per i lavoratori che operano per piattaforme europee al di fuori del suo territorio? Si tratta </w:t>
      </w:r>
      <w:r w:rsidR="00A60485">
        <w:t xml:space="preserve">di una</w:t>
      </w:r>
      <w:r>
        <w:t xml:space="preserve"> competenza che </w:t>
      </w:r>
      <w:r>
        <w:t xml:space="preserve">l’attuale direttiva </w:t>
      </w:r>
      <w:r w:rsidR="00A60485">
        <w:t xml:space="preserve">non definisce</w:t>
      </w:r>
      <w:r>
        <w:t xml:space="preserve">.</w:t>
      </w:r>
    </w:p>
    <w:p w:rsidR="00D90A18" w:rsidP="00750824" w:rsidRDefault="00D90A18" w14:paraId="239D2C55" w14:textId="77777777">
      <w:pPr>
        <w:jc w:val="both"/>
      </w:pPr>
    </w:p>
    <w:p w:rsidR="00983F19" w:rsidP="00750824" w:rsidRDefault="00000000" w14:paraId="5FBA8B99" w14:textId="77777777">
      <w:pPr>
        <w:pStyle w:val="Naslov2"/>
        <w:jc w:val="both"/>
      </w:pPr>
      <w:bookmarkStart w:name="_Toc233699483" w:id="9"/>
      <w:r>
        <w:t xml:space="preserve">2.3 Raccomandazioni</w:t>
      </w:r>
      <w:bookmarkEnd w:id="9"/>
    </w:p>
    <w:p w:rsidR="00983F19" w:rsidP="00750824" w:rsidRDefault="00000000" w14:paraId="128A5ACE" w14:textId="1BF77777">
      <w:pPr>
        <w:jc w:val="both"/>
      </w:pPr>
      <w:r>
        <w:t xml:space="preserve">Le seguenti raccomandazioni sono rivolte ai ministeri </w:t>
      </w:r>
      <w:r w:rsidR="00A60485">
        <w:t xml:space="preserve">competenti per l’attuazione </w:t>
      </w:r>
      <w:r w:rsidR="00A60485">
        <w:t xml:space="preserve">della direttiva </w:t>
      </w:r>
      <w:r>
        <w:t xml:space="preserve">negli Stati </w:t>
      </w:r>
      <w:r>
        <w:t xml:space="preserve">membri dell’UE e alle parti sociali nel quadro del recepimento della direttiva. Esse derivano dai requisiti normativi della direttiva e dalle esperienze dei paesi partner del progetto SDDP. Ogni raccomandazione è contrassegnata da un livello di ambizione: [DIRETTIVA] significa che si tratta di un requisito imposto dalla direttiva e che deve essere recepito dalla legge; [SUPERA IL MINIMO] significa che la raccomandazione supera i requisiti minimi della direttiva, ma è giuridicamente ammissibile ai sensi dell’articolo 26, paragrafo 2;</w:t>
      </w:r>
      <w:r>
        <w:lastRenderedPageBreak/>
      </w:r>
      <w:r>
        <w:t xml:space="preserve"> [</w:t>
      </w:r>
      <w:r>
        <w:t xml:space="preserve">AMBIZIOSO] significa che la raccomandazione va oltre il quadro della direttiva </w:t>
      </w:r>
      <w:r w:rsidR="00A60485">
        <w:t xml:space="preserve">per garantire un livello ancora più elevato di tutela dei lavoratori, </w:t>
      </w:r>
      <w:r w:rsidR="00A60485">
        <w:t xml:space="preserve">oppure </w:t>
      </w:r>
      <w:r>
        <w:t xml:space="preserve">è finalizzata alla revisione del 2029.</w:t>
      </w:r>
    </w:p>
    <w:p w:rsidR="00D90A18" w:rsidP="00750824" w:rsidRDefault="00D90A18" w14:paraId="60CA4BBA" w14:textId="77777777">
      <w:pPr>
        <w:jc w:val="both"/>
      </w:pPr>
    </w:p>
    <w:p w:rsidR="00983F19" w:rsidP="00750824" w:rsidRDefault="00000000" w14:paraId="4BC815EE" w14:textId="77777777">
      <w:pPr>
        <w:pStyle w:val="Naslov3"/>
        <w:jc w:val="both"/>
      </w:pPr>
      <w:r>
        <w:t xml:space="preserve">Raccomandazione 2.1 [DIRETTIVA]: Definizione settorialmente neutra di piattaforma di lavoro digitale</w:t>
      </w:r>
    </w:p>
    <w:p w:rsidR="00983F19" w:rsidP="00750824" w:rsidRDefault="00000000" w14:paraId="55FE32DC" w14:textId="3182B3FD">
      <w:pPr>
        <w:jc w:val="both"/>
      </w:pPr>
      <w:r>
        <w:t xml:space="preserve">Le leggi nazionali devono recepire la definizione di piattaforma di lavoro digitale senza eccezioni o limitazioni settoriali. Nessun settore – trasporti, consegne, pulizie, IT, sanità o </w:t>
      </w:r>
      <w:r>
        <w:t xml:space="preserve">micro-lavori </w:t>
      </w:r>
      <w:r>
        <w:t xml:space="preserve">– è né deve essere escluso a priori. La valutazione del fatto che un soggetto rientri nella definizione di piattaforma di lavoro digitale deve basarsi sul servizio concreto e sul suo ruolo nell’organizzazione del lavoro, non sulla classificazione settoriale nel registro delle imprese o sulla categoria fiscale. Raccomandiamo ai ministeri di includere nella legge una disposizione esplicita che vieti di fare riferimento alla classificazione nel registro come motivo di esclusione dal campo di applicazione della direttiva. </w:t>
      </w:r>
    </w:p>
    <w:p w:rsidR="00792F1C" w:rsidP="00750824" w:rsidRDefault="00792F1C" w14:paraId="1D09979B" w14:textId="77777777">
      <w:pPr>
        <w:jc w:val="both"/>
      </w:pPr>
    </w:p>
    <w:p w:rsidR="00983F19" w:rsidP="00750824" w:rsidRDefault="00000000" w14:paraId="13F2153D" w14:textId="697CE53C">
      <w:pPr>
        <w:pStyle w:val="Blokbesedila"/>
      </w:pPr>
      <w:r>
        <w:t xml:space="preserve">Contesto: il caso belga di Takeaway.com dimostra come la categoria di iscrizione al registro di un’impresa pubblicitaria diventi un pretesto per eludere gli obblighi in materia di diritto del lavoro. Il gruppo di esperti della CE ha confermato: la valutazione deve sempre basarsi </w:t>
      </w:r>
      <w:r w:rsidR="00A60485">
        <w:t xml:space="preserve">sul</w:t>
      </w:r>
      <w:r>
        <w:t xml:space="preserve"> servizio </w:t>
      </w:r>
      <w:r w:rsidR="00A60485">
        <w:t xml:space="preserve">offerto dall’impresa, </w:t>
      </w:r>
      <w:r>
        <w:t xml:space="preserve">non sul settore </w:t>
      </w:r>
      <w:r w:rsidR="00A60485">
        <w:t xml:space="preserve">in cui opera ufficialmente</w:t>
      </w:r>
      <w:r>
        <w:t xml:space="preserve">.</w:t>
      </w:r>
    </w:p>
    <w:p w:rsidR="00D90A18" w:rsidP="00750824" w:rsidRDefault="00D90A18" w14:paraId="49258D8A" w14:textId="77777777">
      <w:pPr>
        <w:jc w:val="both"/>
      </w:pPr>
    </w:p>
    <w:p w:rsidR="00983F19" w:rsidP="00750824" w:rsidRDefault="00000000" w14:paraId="40B3D2CE" w14:textId="77777777">
      <w:pPr>
        <w:pStyle w:val="Naslov3"/>
        <w:jc w:val="both"/>
      </w:pPr>
      <w:r>
        <w:t xml:space="preserve">Raccomandazione 2.2 [DIRETTIVA]: Regolamentazione esplicita del sistema a flotta e delle catene di intermediazione</w:t>
      </w:r>
    </w:p>
    <w:p w:rsidR="00983F19" w:rsidP="00750824" w:rsidRDefault="00000000" w14:paraId="4DAB0359" w14:textId="1C4B87AA">
      <w:pPr>
        <w:jc w:val="both"/>
      </w:pPr>
      <w:r>
        <w:t xml:space="preserve">Le leggi nazionali devono concretizzare la definizione di intermediario in modo da includere espressamente tutte le forme di sistema a flotta, comprese </w:t>
      </w:r>
      <w:r>
        <w:t xml:space="preserve">le catene </w:t>
      </w:r>
      <w:r>
        <w:t xml:space="preserve">di subappalto</w:t>
      </w:r>
      <w:r>
        <w:t xml:space="preserve"> a più livelli</w:t>
      </w:r>
      <w:r>
        <w:t xml:space="preserve">. La legge deve stabilire che qualsiasi soggetto</w:t>
      </w:r>
      <w:r w:rsidR="00A60485">
        <w:t xml:space="preserve">, </w:t>
      </w:r>
      <w:r>
        <w:t xml:space="preserve">persona fisica o giuridica</w:t>
      </w:r>
      <w:r w:rsidR="00A60485">
        <w:t xml:space="preserve">, </w:t>
      </w:r>
      <w:r w:rsidR="00A60485">
        <w:t xml:space="preserve">il cui </w:t>
      </w:r>
      <w:r>
        <w:t xml:space="preserve">scopo </w:t>
      </w:r>
      <w:r w:rsidR="00A60485">
        <w:t xml:space="preserve">sia </w:t>
      </w:r>
      <w:r>
        <w:t xml:space="preserve">organizzare o mediare </w:t>
      </w:r>
      <w:r>
        <w:t xml:space="preserve">il lavoro </w:t>
      </w:r>
      <w:r>
        <w:t xml:space="preserve">su piattaforma</w:t>
      </w:r>
      <w:r>
        <w:t xml:space="preserve">, </w:t>
      </w:r>
      <w:r>
        <w:t xml:space="preserve">sia considerato </w:t>
      </w:r>
      <w:r>
        <w:t xml:space="preserve">un intermediario. La cessione di un account, consentita o tollerata dalla piattaforma, è considerata intermediazione. Raccomandiamo ai ministeri di istituire un registro accessibile al pubblico degli intermediari che operano per conto delle piattaforme.</w:t>
      </w:r>
    </w:p>
    <w:p w:rsidR="00D90A18" w:rsidP="00750824" w:rsidRDefault="00D90A18" w14:paraId="34AC575B" w14:textId="77777777">
      <w:pPr>
        <w:jc w:val="both"/>
      </w:pPr>
    </w:p>
    <w:p w:rsidR="00D90A18" w:rsidP="00750824" w:rsidRDefault="00000000" w14:paraId="52A018B9" w14:textId="5D50A1D9">
      <w:pPr>
        <w:pStyle w:val="Blokbesedila"/>
      </w:pPr>
      <w:r>
        <w:t xml:space="preserve">Contesto: il sistema delle società di facciata è presente in almeno 41 delle 91 piattaforme analizzate. </w:t>
      </w:r>
      <w:r>
        <w:t xml:space="preserve">Uber </w:t>
      </w:r>
      <w:r>
        <w:t xml:space="preserve">Eats </w:t>
      </w:r>
      <w:r>
        <w:t xml:space="preserve">Germania, le esperienze con le società di facciata in Croazia e in Serbia e l’esperienza spagnola in seguito alla legge sui corrieri (</w:t>
      </w:r>
      <w:r>
        <w:t xml:space="preserve">Ley </w:t>
      </w:r>
      <w:r>
        <w:t xml:space="preserve">Rider</w:t>
      </w:r>
      <w:r>
        <w:t xml:space="preserve">) sono esempi documentati di come le piattaforme, con l’aiuto degli intermediari, trasferiscano il rischio giuridico ai lavoratori </w:t>
      </w:r>
      <w:r w:rsidR="00A60485">
        <w:t xml:space="preserve">e/o alle società intermediarie</w:t>
      </w:r>
      <w:r>
        <w:t xml:space="preserve">.</w:t>
      </w:r>
    </w:p>
    <w:p w:rsidR="00D90A18" w:rsidP="00750824" w:rsidRDefault="00D90A18" w14:paraId="62E142CD" w14:textId="77777777">
      <w:pPr>
        <w:jc w:val="both"/>
      </w:pPr>
    </w:p>
    <w:p w:rsidR="00983F19" w:rsidP="00750824" w:rsidRDefault="00000000" w14:paraId="76CCAB41" w14:textId="09B6CB43">
      <w:pPr>
        <w:pStyle w:val="Naslov3"/>
        <w:jc w:val="both"/>
      </w:pPr>
      <w:r>
        <w:t xml:space="preserve">Raccomandazione 2.3 [SUPERA IL MINIMO]: </w:t>
      </w:r>
      <w:r>
        <w:t xml:space="preserve">La responsabilità </w:t>
      </w:r>
      <w:r w:rsidR="00A25A76">
        <w:t xml:space="preserve">solidale </w:t>
      </w:r>
      <w:r>
        <w:t xml:space="preserve">come </w:t>
      </w:r>
      <w:r w:rsidR="00A60485">
        <w:t xml:space="preserve">requisito</w:t>
      </w:r>
      <w:r>
        <w:t xml:space="preserve"> giuridico</w:t>
      </w:r>
      <w:r>
        <w:t xml:space="preserve">, non solo come opzione</w:t>
      </w:r>
    </w:p>
    <w:p w:rsidR="00983F19" w:rsidP="00750824" w:rsidRDefault="00000000" w14:paraId="24D2D553" w14:textId="13267CCE">
      <w:pPr>
        <w:jc w:val="both"/>
      </w:pPr>
      <w:r>
        <w:t xml:space="preserve">L’articolo 3 della direttiva richiede che i lavoratori </w:t>
      </w:r>
      <w:r w:rsidR="00A60485">
        <w:t xml:space="preserve">che </w:t>
      </w:r>
      <w:r w:rsidR="00A60485">
        <w:t xml:space="preserve">svolgono</w:t>
      </w:r>
      <w:r w:rsidR="00A60485">
        <w:t xml:space="preserve"> la propria attività </w:t>
      </w:r>
      <w:r>
        <w:t xml:space="preserve">tramite intermediari </w:t>
      </w:r>
      <w:r>
        <w:t xml:space="preserve">godano dello stesso livello di tutela. Per raggiungere questo obiettivo, è </w:t>
      </w:r>
      <w:r w:rsidR="00A60485">
        <w:t xml:space="preserve">indispensabile ricorrere </w:t>
      </w:r>
      <w:r>
        <w:t xml:space="preserve">alla responsabilità </w:t>
      </w:r>
      <w:r w:rsidR="00A25A76">
        <w:t xml:space="preserve">solidale </w:t>
      </w:r>
      <w:r>
        <w:t xml:space="preserve">della piattaforma e dell’intermediario. La formulazione </w:t>
      </w:r>
      <w:r>
        <w:t xml:space="preserve">«ove </w:t>
      </w:r>
      <w:r w:rsidR="00320506">
        <w:t xml:space="preserve">opportuno» </w:t>
      </w:r>
      <w:r>
        <w:t xml:space="preserve">costituisce uno standard minimo </w:t>
      </w:r>
      <w:r w:rsidR="00320506">
        <w:t xml:space="preserve">e non </w:t>
      </w:r>
      <w:r>
        <w:t xml:space="preserve">costituisce un ostacolo a una regolamentazione più rigorosa. Raccomandiamo ai ministeri di </w:t>
      </w:r>
      <w:r>
        <w:t xml:space="preserve">affermare la responsabilità </w:t>
      </w:r>
      <w:r w:rsidR="00A25A76">
        <w:t xml:space="preserve">solidale </w:t>
      </w:r>
      <w:r>
        <w:t xml:space="preserve">come presunzione giuridica: la piattaforma e l’intermediario sono </w:t>
      </w:r>
      <w:r w:rsidR="00A25A76">
        <w:t xml:space="preserve">solidalmente </w:t>
      </w:r>
      <w:r>
        <w:t xml:space="preserve">responsabili di tutti gli obblighi previsti dalla direttiva, a meno che la piattaforma non dimostri che l’esistenza di un rapporto di lavoro ricada al di fuori della sua sfera di influenza. </w:t>
      </w:r>
      <w:r>
        <w:t xml:space="preserve">La responsabilità</w:t>
      </w:r>
      <w:r w:rsidR="00320506">
        <w:t xml:space="preserve"> solidale </w:t>
      </w:r>
      <w:r>
        <w:t xml:space="preserve">deve coprire almeno la retribuzione, i contributi </w:t>
      </w:r>
      <w:r w:rsidR="00320506">
        <w:t xml:space="preserve">derivanti dal lavoro </w:t>
      </w:r>
      <w:r>
        <w:t xml:space="preserve">e il diritto di organizzazione.</w:t>
      </w:r>
    </w:p>
    <w:p w:rsidR="00D90A18" w:rsidP="00750824" w:rsidRDefault="00D90A18" w14:paraId="474E9C9B" w14:textId="77777777">
      <w:pPr>
        <w:jc w:val="both"/>
      </w:pPr>
    </w:p>
    <w:p w:rsidR="00983F19" w:rsidP="00750824" w:rsidRDefault="00000000" w14:paraId="2DDABCC7" w14:textId="44C2EF04">
      <w:pPr>
        <w:pStyle w:val="Blokbesedila"/>
      </w:pPr>
      <w:r>
        <w:lastRenderedPageBreak/>
      </w:r>
      <w:r>
        <w:t xml:space="preserve">Contesto: Il gruppo di esperti della Commissione europea ha chiarito che </w:t>
      </w:r>
      <w:r>
        <w:t xml:space="preserve">la responsabilità </w:t>
      </w:r>
      <w:r w:rsidR="00A25A76">
        <w:t xml:space="preserve">solidale </w:t>
      </w:r>
      <w:r>
        <w:t xml:space="preserve">non è obbligatoria in tutti i casi, ma è appropriata ogni volta che, in sua assenza, il lavoratore sarebbe costretto a far valere i propri diritti nei confronti di un soggetto con cui non ha un contratto diretto. Le esperienze con le società di comodo dimostrano che, in caso di chiusura di un subappaltatore, i lavoratori rimangono privi di qualsiasi tutela. La bozza di contratto collettivo ZSSS/Sindicato Mladi plus per </w:t>
      </w:r>
      <w:r>
        <w:t xml:space="preserve">Wolt </w:t>
      </w:r>
      <w:r>
        <w:t xml:space="preserve">Slovenia contiene </w:t>
      </w:r>
      <w:r>
        <w:t xml:space="preserve">un divieto contrattuale e giuridico del sistema a flotta con una sanzione di 5.000 EUR per lavoratore: si tratta di un modello che deve essere sostenuto a livello normativo.</w:t>
      </w:r>
    </w:p>
    <w:p w:rsidR="00983F19" w:rsidP="00750824" w:rsidRDefault="00000000" w14:paraId="3B88E94C" w14:textId="0AAD5ED6">
      <w:pPr>
        <w:pStyle w:val="Naslov3"/>
        <w:jc w:val="both"/>
      </w:pPr>
      <w:r>
        <w:t xml:space="preserve">Raccomandazione 2.4 [SUPERA IL MINIMO]: </w:t>
      </w:r>
      <w:r>
        <w:t xml:space="preserve">Controllo temporale</w:t>
      </w:r>
      <w:r w:rsidR="00FD0595">
        <w:t xml:space="preserve"> effettivo </w:t>
      </w:r>
      <w:r>
        <w:t xml:space="preserve">delle catene di intermediazione tramite ELA</w:t>
      </w:r>
    </w:p>
    <w:p w:rsidR="00983F19" w:rsidP="00750824" w:rsidRDefault="00000000" w14:paraId="0E6ADBA2" w14:textId="496AC0C6">
      <w:pPr>
        <w:jc w:val="both"/>
      </w:pPr>
      <w:r>
        <w:t xml:space="preserve">In conformità con il Protocollo delle parti sociali SDDP, raccomandiamo che gli Stati membri impongano alle piattaforme di istituire un accesso digitale per le autorità di controllo e per l’Autorità europea del lavoro (</w:t>
      </w:r>
      <w:r w:rsidR="00FD0595">
        <w:t xml:space="preserve">«</w:t>
      </w:r>
      <w:r>
        <w:t xml:space="preserve">European </w:t>
      </w:r>
      <w:r>
        <w:t xml:space="preserve">Labour </w:t>
      </w:r>
      <w:r>
        <w:t xml:space="preserve">Authority </w:t>
      </w:r>
      <w:r w:rsidR="00FD0595">
        <w:t xml:space="preserve">(ELA)»</w:t>
      </w:r>
      <w:r>
        <w:t xml:space="preserve">), che </w:t>
      </w:r>
      <w:r>
        <w:t xml:space="preserve">mostri </w:t>
      </w:r>
      <w:r>
        <w:t xml:space="preserve">in tempo reale e </w:t>
      </w:r>
      <w:r>
        <w:t xml:space="preserve">in forma anonimizzata </w:t>
      </w:r>
      <w:r>
        <w:t xml:space="preserve">il numero di lavoratori attivi, i subappaltatori presenti e i dati aggregati relativi alle retribuzioni. La piattaforma </w:t>
      </w:r>
      <w:r w:rsidR="00FD0595">
        <w:t xml:space="preserve">deve </w:t>
      </w:r>
      <w:r>
        <w:t xml:space="preserve">presentare il registro iniziale entro</w:t>
      </w:r>
      <w:r w:rsidR="00FD0595">
        <w:t xml:space="preserve"> 60 </w:t>
      </w:r>
      <w:r>
        <w:t xml:space="preserve">giorni dall’entrata in vigore della legge di recepimento e aggiornarlo mensilmente. L’Ispettorato </w:t>
      </w:r>
      <w:r w:rsidR="00FD0595">
        <w:t xml:space="preserve">dovrà </w:t>
      </w:r>
      <w:r>
        <w:t xml:space="preserve">confermare il funzionamento dell’accesso entro 15 giorni; in assenza di conferma, il certificato sociale verrà sospeso. I dati devono essere anonimi e conformi al regolamento sulla protezione dei dati personali (GDPR). Lo scopo non è il controllo dei singoli lavoratori, bensì l’individuazione </w:t>
      </w:r>
      <w:r>
        <w:t xml:space="preserve">di rapporti </w:t>
      </w:r>
      <w:r>
        <w:t xml:space="preserve">di subappalto</w:t>
      </w:r>
      <w:r>
        <w:t xml:space="preserve"> occulti </w:t>
      </w:r>
      <w:r>
        <w:t xml:space="preserve">e </w:t>
      </w:r>
      <w:r>
        <w:t xml:space="preserve">del trasferimento sistematico dei rischi. </w:t>
      </w:r>
      <w:r>
        <w:t xml:space="preserve">Anche i sindacati </w:t>
      </w:r>
      <w:r w:rsidR="00FD0595">
        <w:t xml:space="preserve">dovrebbero </w:t>
      </w:r>
      <w:r>
        <w:t xml:space="preserve">avere </w:t>
      </w:r>
      <w:r>
        <w:t xml:space="preserve">accesso ai dati aggregati </w:t>
      </w:r>
      <w:r>
        <w:t xml:space="preserve">nell’ambito delle trattative collettive. L’ELA </w:t>
      </w:r>
      <w:r w:rsidR="00FD0595">
        <w:t xml:space="preserve">dovrebbe </w:t>
      </w:r>
      <w:r>
        <w:t xml:space="preserve">fungere da mediatore nei casi transfrontalieri e coordinare le ispezioni congiunte.</w:t>
      </w:r>
      <w:r>
        <w:rPr>
          <w:rStyle w:val="Sprotnaopomba-sklic"/>
        </w:rPr>
        <w:footnoteReference w:id="1"/>
      </w:r>
    </w:p>
    <w:p w:rsidR="00D90A18" w:rsidP="00750824" w:rsidRDefault="00D90A18" w14:paraId="34789338" w14:textId="77777777">
      <w:pPr>
        <w:jc w:val="both"/>
      </w:pPr>
    </w:p>
    <w:p w:rsidR="00983F19" w:rsidP="00750824" w:rsidRDefault="00000000" w14:paraId="10B49C1F" w14:textId="77777777">
      <w:pPr>
        <w:pStyle w:val="Blokbesedila"/>
      </w:pPr>
      <w:r>
        <w:t xml:space="preserve">Contesto: il protocollo delle parti sociali SDDP (III pilastro) prevede </w:t>
      </w:r>
      <w:r>
        <w:t xml:space="preserve">un registro </w:t>
      </w:r>
      <w:r>
        <w:t xml:space="preserve">in tempo reale </w:t>
      </w:r>
      <w:r>
        <w:t xml:space="preserve">come strumento per prevenire </w:t>
      </w:r>
      <w:r>
        <w:t xml:space="preserve">gli abusi </w:t>
      </w:r>
      <w:r>
        <w:t xml:space="preserve">nel subappalto</w:t>
      </w:r>
      <w:r>
        <w:t xml:space="preserve">. Senza una fonte indipendente di dati, i sindacati e gli ispettorati si trovano strutturalmente in una posizione di svantaggio nelle trattative. L’ELA dispone già dei poteri necessari per lo scambio transfrontaliero di informazioni: questo meccanismo la coinvolgerebbe direttamente nel controllo preventivo.</w:t>
      </w:r>
    </w:p>
    <w:p w:rsidR="00D90A18" w:rsidP="00750824" w:rsidRDefault="00D90A18" w14:paraId="7BD5FD64" w14:textId="77777777">
      <w:pPr>
        <w:jc w:val="both"/>
      </w:pPr>
    </w:p>
    <w:p w:rsidR="00983F19" w:rsidP="00750824" w:rsidRDefault="00000000" w14:paraId="5B66E501" w14:textId="77777777">
      <w:pPr>
        <w:pStyle w:val="Naslov3"/>
        <w:jc w:val="both"/>
      </w:pPr>
      <w:r>
        <w:t xml:space="preserve">Raccomandazione 2.5 [DIRETTIVA]: Chiara regolamentazione della competenza territoriale</w:t>
      </w:r>
    </w:p>
    <w:p w:rsidR="00983F19" w:rsidP="00750824" w:rsidRDefault="00000000" w14:paraId="156C44FC" w14:textId="14D819C7">
      <w:pPr>
        <w:jc w:val="both"/>
      </w:pPr>
      <w:r>
        <w:t xml:space="preserve">I ministeri devono includere nella legge di recepimento una disposizione esplicita che autorizzi e obblighi l’ispettorato del lavoro a intervenire nei confronti di qualsiasi piattaforma che organizzi il lavoro sul territorio nazionale</w:t>
      </w:r>
      <w:r w:rsidR="00FD0595">
        <w:t xml:space="preserve">, </w:t>
      </w:r>
      <w:r>
        <w:t xml:space="preserve">indipendentemente dalla sede della piattaforma o </w:t>
      </w:r>
      <w:r w:rsidR="00FD0595">
        <w:t xml:space="preserve">dall’applicazione dell’ordinamento giuridico previsto </w:t>
      </w:r>
      <w:r>
        <w:t xml:space="preserve">dai contratti. Il richiamo alla sede estera o alla scelta del diritto straniero come motivo di incompetenza non è ammissibile. Le piattaforme che non hanno sede nell’UE devono disporre di un rappresentante nell’Unione. Raccomandiamo ai ministeri di includere nella legge un divieto esplicito che impedisca a una piattaforma di invocare la sede all’estero come motivo per limitare le proprie responsabilità nel corso di negoziazioni o procedimenti dinanzi alle autorità.</w:t>
      </w:r>
      <w:r>
        <w:rPr>
          <w:rStyle w:val="Sprotnaopomba-sklic"/>
        </w:rPr>
        <w:footnoteReference w:id="2"/>
      </w:r>
    </w:p>
    <w:p w:rsidR="00D90A18" w:rsidP="00750824" w:rsidRDefault="00D90A18" w14:paraId="759F476B" w14:textId="77777777">
      <w:pPr>
        <w:jc w:val="both"/>
      </w:pPr>
    </w:p>
    <w:p w:rsidR="00D90A18" w:rsidP="00750824" w:rsidRDefault="00000000" w14:paraId="7A83C5D5" w14:textId="011814CF">
      <w:pPr>
        <w:pStyle w:val="Blokbesedila"/>
      </w:pPr>
      <w:r>
        <w:t xml:space="preserve">Contesto: l’articolo 1, paragrafo 3, della direttiva, in combinato disposto con il regolamento Roma I</w:t>
      </w:r>
      <w:r w:rsidR="00FD0595">
        <w:t xml:space="preserve">,</w:t>
      </w:r>
      <w:r>
        <w:t xml:space="preserve"> crea un solido quadro giuridico per la competenza territoriale. </w:t>
      </w:r>
      <w:r>
        <w:t xml:space="preserve">Le</w:t>
      </w:r>
      <w:r>
        <w:t xml:space="preserve"> affermazioni </w:t>
      </w:r>
      <w:r w:rsidR="00FD0595">
        <w:t xml:space="preserve">di</w:t>
      </w:r>
      <w:r>
        <w:t xml:space="preserve"> alcune piattaforme </w:t>
      </w:r>
      <w:r>
        <w:t xml:space="preserve">secondo cui determinati obblighi non si applicano a loro</w:t>
      </w:r>
      <w:r>
        <w:lastRenderedPageBreak/>
      </w:r>
      <w:r>
        <w:t xml:space="preserve"> o che determinati organi non sono </w:t>
      </w:r>
      <w:r w:rsidR="00792F1C">
        <w:t xml:space="preserve">competenti </w:t>
      </w:r>
      <w:r>
        <w:t xml:space="preserve">sono in contrasto con la direttiva e devono essere escluse già nel testo della legge.</w:t>
      </w:r>
      <w:r>
        <w:rPr>
          <w:rStyle w:val="Sprotnaopomba-sklic"/>
        </w:rPr>
        <w:footnoteReference w:id="3"/>
      </w:r>
    </w:p>
    <w:p w:rsidR="00D90A18" w:rsidP="00750824" w:rsidRDefault="00D90A18" w14:paraId="2C498739" w14:textId="77777777">
      <w:pPr>
        <w:jc w:val="both"/>
      </w:pPr>
    </w:p>
    <w:p w:rsidR="00983F19" w:rsidP="00750824" w:rsidRDefault="00000000" w14:paraId="25DDBE1E" w14:textId="77777777">
      <w:pPr>
        <w:pStyle w:val="Naslov3"/>
        <w:jc w:val="both"/>
      </w:pPr>
      <w:r>
        <w:t xml:space="preserve">Raccomandazione 2.6 [SUPERA IL MINIMO]: Il dialogo sociale come strumento per determinare l’ambito di applicazione</w:t>
      </w:r>
    </w:p>
    <w:p w:rsidR="00983F19" w:rsidP="00750824" w:rsidRDefault="00000000" w14:paraId="46D33B99" w14:textId="77777777">
      <w:pPr>
        <w:jc w:val="both"/>
      </w:pPr>
      <w:r>
        <w:t xml:space="preserve">I ministeri dovrebbero includere nella legge di recepimento un meccanismo che consenta alle parti sociali di presentare un’iniziativa formale per determinare se un determinato modello di business soddisfi i criteri della DLP. Nell’ambito di tale meccanismo, l’autorità competente dovrebbe esprimere, entro un determinato termine (ad esempio 60 giorni), un parere vincolante che costituisca la base per le procedure successive. Tali accertamenti si basano sul dialogo sociale tra il ministero, i sindacati e i datori di lavoro, e sono più rapidi, meno costosi e più equi rispetto alle cause individuali, che spesso i singoli lavoratori non sono in grado di sostenere finanziariamente.</w:t>
      </w:r>
    </w:p>
    <w:p w:rsidR="00FD0595" w:rsidP="00750824" w:rsidRDefault="00FD0595" w14:paraId="1BEA3115" w14:textId="77777777">
      <w:pPr>
        <w:jc w:val="both"/>
      </w:pPr>
    </w:p>
    <w:p w:rsidR="00983F19" w:rsidP="00750824" w:rsidRDefault="00000000" w14:paraId="30A226FD" w14:textId="77777777">
      <w:pPr>
        <w:pStyle w:val="Blokbesedila"/>
      </w:pPr>
      <w:r>
        <w:t xml:space="preserve">Contesto: Il filo conduttore di questo documento è che il dialogo sociale costituirà il ponte che colmerà il divario tra l’adozione della direttiva e la sua effettiva attuazione. Un meccanismo collettivo per la risoluzione delle questioni di ampia portata è più efficace dei procedimenti giudiziari individuali.</w:t>
      </w:r>
    </w:p>
    <w:p w:rsidR="00D90A18" w:rsidP="00750824" w:rsidRDefault="00D90A18" w14:paraId="57BE798C" w14:textId="77777777">
      <w:pPr>
        <w:jc w:val="both"/>
      </w:pPr>
    </w:p>
    <w:p w:rsidRPr="00D90A18" w:rsidR="00983F19" w:rsidP="00750824" w:rsidRDefault="00000000" w14:paraId="4149CE32" w14:textId="77777777">
      <w:pPr>
        <w:jc w:val="both"/>
        <w:rPr>
          <w:rStyle w:val="Neenpoudarek"/>
        </w:rPr>
      </w:pPr>
      <w:r>
        <w:rPr>
          <w:rStyle w:val="Neenpoudarek"/>
        </w:rPr>
        <w:t xml:space="preserve">Nota sull’attuazione</w:t>
      </w:r>
    </w:p>
    <w:p w:rsidRPr="00D90A18" w:rsidR="00983F19" w:rsidP="00750824" w:rsidRDefault="00000000" w14:paraId="477821F1" w14:textId="4BED8176">
      <w:pPr>
        <w:jc w:val="both"/>
        <w:rPr>
          <w:rStyle w:val="Neenpoudarek"/>
        </w:rPr>
      </w:pPr>
      <w:r>
        <w:rPr>
          <w:rStyle w:val="Neenpoudarek"/>
        </w:rPr>
        <w:t xml:space="preserve">Le definizioni contenute in questo capitolo costituiscono la base su cui si fondano tutti i capitoli successivi del presente documento. La presunzione giuridica di rapporto di lavoro (</w:t>
      </w:r>
      <w:r>
        <w:rPr>
          <w:rStyle w:val="Neenpoudarek"/>
        </w:rPr>
        <w:t xml:space="preserve">cap</w:t>
      </w:r>
      <w:r>
        <w:rPr>
          <w:rStyle w:val="Neenpoudarek"/>
        </w:rPr>
        <w:t xml:space="preserve">. 4) sarà efficace solo se il concetto di DLP verrà applicato senza lacune settoriali. La gestione algoritmica (</w:t>
      </w:r>
      <w:r>
        <w:rPr>
          <w:rStyle w:val="Neenpoudarek"/>
        </w:rPr>
        <w:t xml:space="preserve">cap</w:t>
      </w:r>
      <w:r>
        <w:rPr>
          <w:rStyle w:val="Neenpoudarek"/>
        </w:rPr>
        <w:t xml:space="preserve">. 5) tutelerà solo coloro che sono PPPW ai sensi della direttiva. I diritti collettivi (</w:t>
      </w:r>
      <w:r>
        <w:rPr>
          <w:rStyle w:val="Neenpoudarek"/>
        </w:rPr>
        <w:t xml:space="preserve">cap</w:t>
      </w:r>
      <w:r>
        <w:rPr>
          <w:rStyle w:val="Neenpoudarek"/>
        </w:rPr>
        <w:t xml:space="preserve">. 7) saranno accessibili solo se la catena di intermediazione sarà chiaramente regolamentata. L’accuratezza nel recepimento degli articoli 1–3 non è un requisito formale, ma è una condizione imprescindibile per tutte le altre tutele </w:t>
      </w:r>
      <w:r w:rsidR="00FD0595">
        <w:rPr>
          <w:rStyle w:val="Neenpoudarek"/>
        </w:rPr>
        <w:t xml:space="preserve">derivanti dalla direttiva</w:t>
      </w:r>
      <w:r>
        <w:rPr>
          <w:rStyle w:val="Neenpoudarek"/>
        </w:rPr>
        <w:t xml:space="preserve">.</w:t>
      </w:r>
    </w:p>
    <w:p w:rsidR="00750824" w:rsidRDefault="00750824" w14:paraId="1079C305" w14:textId="77777777">
      <w:pPr>
        <w:rPr>
          <w:b/>
          <w:bCs/>
          <w:color w:val="1F3864"/>
          <w:sz w:val="36"/>
          <w:szCs w:val="36"/>
        </w:rPr>
      </w:pPr>
      <w:bookmarkStart w:name="X2ed98e4ec239b0ccf1f85db2f0674c03d64541e" w:id="10"/>
      <w:bookmarkEnd w:id="4"/>
      <w:r>
        <w:br w:type="page"/>
      </w:r>
    </w:p>
    <w:p w:rsidR="00983F19" w:rsidP="00750824" w:rsidRDefault="00000000" w14:paraId="66BAE2DB" w14:textId="646347CD">
      <w:pPr>
        <w:pStyle w:val="Naslov1"/>
        <w:jc w:val="both"/>
      </w:pPr>
      <w:bookmarkStart w:name="_Toc233699484" w:id="11"/>
      <w:r>
        <w:lastRenderedPageBreak/>
      </w:r>
      <w:r>
        <w:t xml:space="preserve">Capitolo 3: Presunzione giuridica </w:t>
      </w:r>
      <w:r w:rsidR="00CF3B80">
        <w:t xml:space="preserve">di rapporto di lavoro </w:t>
      </w:r>
      <w:r>
        <w:t xml:space="preserve">e determinazione dello status lavorativo</w:t>
      </w:r>
      <w:bookmarkEnd w:id="11"/>
    </w:p>
    <w:p w:rsidR="00983F19" w:rsidP="00750824" w:rsidRDefault="00000000" w14:paraId="2A9DD044" w14:textId="77777777">
      <w:pPr>
        <w:pStyle w:val="Naslov2"/>
        <w:jc w:val="both"/>
      </w:pPr>
      <w:bookmarkStart w:name="_Toc233699485" w:id="12"/>
      <w:bookmarkStart w:name="zahteve-direktive" w:id="13"/>
      <w:r>
        <w:t xml:space="preserve">3.1 Requisiti della direttiva</w:t>
      </w:r>
      <w:bookmarkEnd w:id="12"/>
    </w:p>
    <w:p w:rsidR="00983F19" w:rsidP="00750824" w:rsidRDefault="00000000" w14:paraId="034B78FA" w14:textId="75AB6398">
      <w:pPr>
        <w:jc w:val="both"/>
      </w:pPr>
      <w:r>
        <w:t xml:space="preserve">La direttiva UE 2024/2831 sul </w:t>
      </w:r>
      <w:r>
        <w:t xml:space="preserve">lavoro </w:t>
      </w:r>
      <w:r>
        <w:t xml:space="preserve">tramite piattaforma </w:t>
      </w:r>
      <w:r w:rsidR="00C91807">
        <w:t xml:space="preserve">dedica </w:t>
      </w:r>
      <w:r>
        <w:t xml:space="preserve">il capitolo II (articoli 4–6) alla</w:t>
      </w:r>
      <w:r>
        <w:t xml:space="preserve"> questione dello status lavorativo</w:t>
      </w:r>
      <w:r>
        <w:t xml:space="preserve">, che il rapporto del gruppo di esperti della Commissione europea definisce giustamente come l’area centrale dell’intera direttiva. Senza una soluzione efficace alla questione se una persona che svolge </w:t>
      </w:r>
      <w:r>
        <w:t xml:space="preserve">lavoro </w:t>
      </w:r>
      <w:r>
        <w:t xml:space="preserve">tramite piattaforma</w:t>
      </w:r>
      <w:r>
        <w:t xml:space="preserve"> sia </w:t>
      </w:r>
      <w:r>
        <w:t xml:space="preserve">un lavoratore dipendente o un lavoratore autonomo, tutte le altre disposizioni della direttiva rimangono praticamente prive di significato.</w:t>
      </w:r>
    </w:p>
    <w:p w:rsidR="00D90A18" w:rsidP="00750824" w:rsidRDefault="00D90A18" w14:paraId="016CD21C" w14:textId="77777777">
      <w:pPr>
        <w:jc w:val="both"/>
      </w:pPr>
    </w:p>
    <w:p w:rsidR="00983F19" w:rsidP="00750824" w:rsidRDefault="00000000" w14:paraId="46C533FF" w14:textId="24CB1F4A">
      <w:pPr>
        <w:jc w:val="both"/>
      </w:pPr>
      <w:r>
        <w:rPr>
          <w:b/>
          <w:bCs/>
        </w:rPr>
        <w:t xml:space="preserve">La determinazione del corretto status lavorativo (articolo 4) </w:t>
      </w:r>
      <w:r>
        <w:t xml:space="preserve">richiede che gli Stati membri istituiscano procedure adeguate ed efficaci per accertare il corretto status lavorativo delle persone che svolgono </w:t>
      </w:r>
      <w:r>
        <w:t xml:space="preserve">lavoro </w:t>
      </w:r>
      <w:r>
        <w:t xml:space="preserve">tramite piattaforme</w:t>
      </w:r>
      <w:r>
        <w:t xml:space="preserve">. L’articolo introduce il principio </w:t>
      </w:r>
      <w:r>
        <w:rPr>
          <w:b/>
          <w:bCs/>
        </w:rPr>
        <w:t xml:space="preserve">della preminenza dei fatti </w:t>
      </w:r>
      <w:r>
        <w:t xml:space="preserve">(</w:t>
      </w:r>
      <w:r w:rsidRPr="00792F1C">
        <w:t xml:space="preserve">«primacy </w:t>
      </w:r>
      <w:r w:rsidRPr="00792F1C">
        <w:t xml:space="preserve">of </w:t>
      </w:r>
      <w:r w:rsidRPr="00792F1C" w:rsidR="000D74B6">
        <w:t xml:space="preserve">facts»</w:t>
      </w:r>
      <w:r>
        <w:t xml:space="preserve">): nel determinare l’esistenza </w:t>
      </w:r>
      <w:r w:rsidR="00CF3B80">
        <w:t xml:space="preserve">di un rapporto di lavoro</w:t>
      </w:r>
      <w:r>
        <w:t xml:space="preserve">, i fatti devono sempre prevalere sulla volontà delle parti o sulla configurazione contrattuale del rapporto. In altre parole, la piattaforma non può escludere l’esistenza </w:t>
      </w:r>
      <w:r>
        <w:t xml:space="preserve">di</w:t>
      </w:r>
      <w:r w:rsidR="00CF3B80">
        <w:t xml:space="preserve"> un rapporto di lavoro</w:t>
      </w:r>
      <w:r>
        <w:t xml:space="preserve">, come dimostrato dalle circostanze effettive del lavoro,</w:t>
      </w:r>
      <w:r>
        <w:t xml:space="preserve"> facendo riferimento a un contratto che essa stessa ha unilateralmente redatto e proposto per la firma</w:t>
      </w:r>
      <w:r>
        <w:t xml:space="preserve">. L’articolo 4 richiede inoltre una chiara identificazione del datore di lavoro, il che risulta particolarmente complesso in situazioni in cui tra la piattaforma e il lavoratore si interpone una catena di intermediari o subappaltatori.</w:t>
      </w:r>
    </w:p>
    <w:p w:rsidR="00D90A18" w:rsidP="00750824" w:rsidRDefault="00D90A18" w14:paraId="1668947A" w14:textId="77777777">
      <w:pPr>
        <w:jc w:val="both"/>
      </w:pPr>
    </w:p>
    <w:p w:rsidR="00983F19" w:rsidP="00750824" w:rsidRDefault="00000000" w14:paraId="4514C0B2" w14:textId="42C2910F">
      <w:pPr>
        <w:jc w:val="both"/>
      </w:pPr>
      <w:r>
        <w:rPr>
          <w:b/>
          <w:bCs/>
        </w:rPr>
        <w:t xml:space="preserve">La presunzione giuridica </w:t>
      </w:r>
      <w:r w:rsidR="00CF3B80">
        <w:rPr>
          <w:b/>
          <w:bCs/>
        </w:rPr>
        <w:t xml:space="preserve">di rapporto di lavoro </w:t>
      </w:r>
      <w:r>
        <w:rPr>
          <w:b/>
          <w:bCs/>
        </w:rPr>
        <w:t xml:space="preserve">(articolo 5) </w:t>
      </w:r>
      <w:r>
        <w:t xml:space="preserve">è uno strumento fondamentale della direttiva. Essa stabilisce una presunzione legale confutabile secondo cui il rapporto contrattuale tra una piattaforma di lavoro digitale e la persona che svolge un'attività lavorativa tramite essa costituisce </w:t>
      </w:r>
      <w:r w:rsidR="00CF3B80">
        <w:rPr>
          <w:b/>
          <w:bCs/>
        </w:rPr>
        <w:t xml:space="preserve">un rapporto di lavoro</w:t>
      </w:r>
      <w:r>
        <w:t xml:space="preserve">, qualora siano accertati fatti che indicano la presenza di istruzioni e controllo (</w:t>
      </w:r>
      <w:r w:rsidRPr="00792F1C">
        <w:t xml:space="preserve">«direction </w:t>
      </w:r>
      <w:r w:rsidRPr="00792F1C">
        <w:t xml:space="preserve">and </w:t>
      </w:r>
      <w:r w:rsidRPr="00792F1C" w:rsidR="000D74B6">
        <w:t xml:space="preserve">control»</w:t>
      </w:r>
      <w:r>
        <w:t xml:space="preserve">). La direttiva interpreta questo concetto in senso ampio: esso comprende non solo le istruzioni dirette, ma anche l’orientamento indiretto del comportamento attraverso sistemi algoritmici, pratiche punitive e </w:t>
      </w:r>
      <w:r w:rsidR="000D74B6">
        <w:t xml:space="preserve">pressioni </w:t>
      </w:r>
      <w:r>
        <w:t xml:space="preserve">(considerando 30). Nel contesto del recepimento, è fondamentale che il concetto nazionale </w:t>
      </w:r>
      <w:r>
        <w:t xml:space="preserve">di </w:t>
      </w:r>
      <w:r w:rsidR="000D74B6">
        <w:t xml:space="preserve">«</w:t>
      </w:r>
      <w:r>
        <w:t xml:space="preserve">direzione e </w:t>
      </w:r>
      <w:r w:rsidR="000D74B6">
        <w:t xml:space="preserve">controllo» </w:t>
      </w:r>
      <w:r>
        <w:t xml:space="preserve">(ad esempio nell’articolo 4 della legge slovena ZDR-1) </w:t>
      </w:r>
      <w:r>
        <w:t xml:space="preserve">sia </w:t>
      </w:r>
      <w:r>
        <w:t xml:space="preserve">interpretato in modo da comprendere anche queste forme indirette </w:t>
      </w:r>
      <w:r w:rsidR="000D74B6">
        <w:t xml:space="preserve">di subordinazione</w:t>
      </w:r>
      <w:r>
        <w:t xml:space="preserve">.</w:t>
      </w:r>
    </w:p>
    <w:p w:rsidR="00D90A18" w:rsidP="00750824" w:rsidRDefault="00D90A18" w14:paraId="4831453B" w14:textId="77777777">
      <w:pPr>
        <w:jc w:val="both"/>
      </w:pPr>
    </w:p>
    <w:p w:rsidR="00983F19" w:rsidP="00750824" w:rsidRDefault="00000000" w14:paraId="2539B6BC" w14:textId="77DCA821">
      <w:pPr>
        <w:jc w:val="both"/>
      </w:pPr>
      <w:r>
        <w:t xml:space="preserve">L’onere della </w:t>
      </w:r>
      <w:r w:rsidRPr="00792F1C">
        <w:t xml:space="preserve">prova</w:t>
      </w:r>
      <w:r>
        <w:t xml:space="preserve"> (</w:t>
      </w:r>
      <w:r w:rsidRPr="00792F1C">
        <w:t xml:space="preserve">«burden </w:t>
      </w:r>
      <w:r w:rsidRPr="00792F1C">
        <w:t xml:space="preserve">of </w:t>
      </w:r>
      <w:r w:rsidRPr="00792F1C" w:rsidR="000D74B6">
        <w:t xml:space="preserve">proof»</w:t>
      </w:r>
      <w:r>
        <w:t xml:space="preserve">) per confutare tale presunzione ricade sulla piattaforma. Quest’ultima</w:t>
      </w:r>
      <w:r w:rsidR="000D74B6">
        <w:t xml:space="preserve">, se non accetta la presunzione, </w:t>
      </w:r>
      <w:r>
        <w:t xml:space="preserve">deve dimostrare che il rapporto contrattuale non costituisce </w:t>
      </w:r>
      <w:r w:rsidR="00CF3B80">
        <w:t xml:space="preserve">un rapporto di lavoro</w:t>
      </w:r>
      <w:r>
        <w:t xml:space="preserve">. La direttiva non inasprisce tale standard con la richiesta di criteri supplementari</w:t>
      </w:r>
      <w:r w:rsidR="000D74B6">
        <w:t xml:space="preserve">; </w:t>
      </w:r>
      <w:r>
        <w:t xml:space="preserve">come chiarito dal gruppo di esperti della Commissione europea, l’articolo 5 </w:t>
      </w:r>
      <w:r>
        <w:rPr>
          <w:b/>
          <w:bCs/>
        </w:rPr>
        <w:t xml:space="preserve">non impone agli Stati membri di stabilire criteri nelle misure di recepimento</w:t>
      </w:r>
      <w:r w:rsidR="000D74B6">
        <w:t xml:space="preserve">. </w:t>
      </w:r>
      <w:r>
        <w:t xml:space="preserve">È sufficiente l’accertamento di fatti che indichino l’esistenza di istruzioni e controllo. Lo standard probatorio richiesto è paragonabile al principio </w:t>
      </w:r>
      <w:r>
        <w:rPr>
          <w:i/>
          <w:iCs/>
        </w:rPr>
        <w:t xml:space="preserve">«prima </w:t>
      </w:r>
      <w:r>
        <w:rPr>
          <w:i/>
          <w:iCs/>
        </w:rPr>
        <w:t xml:space="preserve">facie» </w:t>
      </w:r>
      <w:r>
        <w:t xml:space="preserve">nella legislazione dell’UE in materia di divieto di discriminazione: è sufficiente che i fatti rendano il rapporto di subordinazione almeno probabile o possibile. La direttiva non richiede una prova completa.</w:t>
      </w:r>
    </w:p>
    <w:p w:rsidR="00D90A18" w:rsidP="00750824" w:rsidRDefault="00D90A18" w14:paraId="32241D05" w14:textId="77777777">
      <w:pPr>
        <w:jc w:val="both"/>
      </w:pPr>
    </w:p>
    <w:p w:rsidR="00983F19" w:rsidP="00750824" w:rsidRDefault="00000000" w14:paraId="2E7A10AD" w14:textId="5847BA8D">
      <w:pPr>
        <w:jc w:val="both"/>
      </w:pPr>
      <w:r>
        <w:t xml:space="preserve">La presunzione giuridica va letta, per analogia, insieme al considerando 30, che sottolinea come, nel </w:t>
      </w:r>
      <w:r>
        <w:t xml:space="preserve">lavoro </w:t>
      </w:r>
      <w:r>
        <w:t xml:space="preserve">su piattaforma</w:t>
      </w:r>
      <w:r>
        <w:t xml:space="preserve">,</w:t>
      </w:r>
      <w:r>
        <w:t xml:space="preserve"> le istruzioni e il controllo </w:t>
      </w:r>
      <w:r>
        <w:t xml:space="preserve">spesso non siano diretti, ma indiretti </w:t>
      </w:r>
      <w:r w:rsidR="00D7386B">
        <w:t xml:space="preserve">– </w:t>
      </w:r>
      <w:r>
        <w:t xml:space="preserve">attraverso sistemi algoritmici, pratiche sanzionatorie e pressioni che incoraggiano determinati comportamenti. Le piattaforme dispongono di tutti i dati relativi alla natura del rapporto, in particolare degli algoritmi attraverso i quali gestiscono i lavoratori. È proprio questo che giustifica l’inversione dell’onere della prova.</w:t>
      </w:r>
    </w:p>
    <w:p w:rsidR="00D90A18" w:rsidP="00750824" w:rsidRDefault="00D90A18" w14:paraId="1BDE77BE" w14:textId="77777777">
      <w:pPr>
        <w:jc w:val="both"/>
      </w:pPr>
    </w:p>
    <w:p w:rsidR="00983F19" w:rsidP="00750824" w:rsidRDefault="00000000" w14:paraId="40A48505" w14:textId="77777777">
      <w:pPr>
        <w:jc w:val="both"/>
      </w:pPr>
      <w:r>
        <w:t xml:space="preserve">La direttiva prevede che la presunzione giuridica si applichi in tutti </w:t>
      </w:r>
      <w:r>
        <w:rPr>
          <w:b/>
          <w:bCs/>
        </w:rPr>
        <w:t xml:space="preserve">i procedimenti amministrativi e giudiziari </w:t>
      </w:r>
      <w:r>
        <w:t xml:space="preserve">pertinenti </w:t>
      </w:r>
      <w:r>
        <w:t xml:space="preserve">volti a determinare lo status lavorativo. </w:t>
      </w:r>
      <w:r>
        <w:t xml:space="preserve">Essa</w:t>
      </w:r>
      <w:r>
        <w:t xml:space="preserve"> non si applica automaticamente nei </w:t>
      </w:r>
      <w:r>
        <w:t xml:space="preserve">procedimenti </w:t>
      </w:r>
      <w:r>
        <w:t xml:space="preserve">fiscali,</w:t>
      </w:r>
      <w:r>
        <w:lastRenderedPageBreak/>
      </w:r>
      <w:r>
        <w:t xml:space="preserve"> penali e previdenziali, sebbene gli Stati membri possano estenderla anche a tali ambiti. L’applicazione della presunzione non è retroattiva: per i rapporti esistenti prima del 2 dicembre 2026 e già conclusi a quella data, i diritti derivanti dallo </w:t>
      </w:r>
      <w:r>
        <w:t xml:space="preserve">status </w:t>
      </w:r>
      <w:r>
        <w:t xml:space="preserve">ridefinito</w:t>
      </w:r>
      <w:r>
        <w:t xml:space="preserve"> </w:t>
      </w:r>
      <w:r>
        <w:t xml:space="preserve">sono riconosciuti solo per il periodo successivo a tale data.</w:t>
      </w:r>
    </w:p>
    <w:p w:rsidR="00D90A18" w:rsidP="00750824" w:rsidRDefault="00D90A18" w14:paraId="028FF839" w14:textId="77777777">
      <w:pPr>
        <w:jc w:val="both"/>
      </w:pPr>
    </w:p>
    <w:p w:rsidR="00983F19" w:rsidP="00750824" w:rsidRDefault="00000000" w14:paraId="6832494B" w14:textId="6E9DCF73">
      <w:pPr>
        <w:jc w:val="both"/>
      </w:pPr>
      <w:r>
        <w:t xml:space="preserve">Particolarmente importanti sono due disposizioni relative all’avvio dei procedimenti. Ai sensi dell’articolo 5, paragrafo 4, </w:t>
      </w:r>
      <w:r>
        <w:rPr>
          <w:b/>
          <w:bCs/>
        </w:rPr>
        <w:t xml:space="preserve">il diritto </w:t>
      </w:r>
      <w:r>
        <w:t xml:space="preserve">di avviare un procedimento </w:t>
      </w:r>
      <w:r>
        <w:t xml:space="preserve">spetta </w:t>
      </w:r>
      <w:r>
        <w:t xml:space="preserve">ai lavoratori e ai loro rappresentanti. Ai sensi dell’articolo 5, paragrafo 5, le autorità nazionali competenti hanno </w:t>
      </w:r>
      <w:r>
        <w:rPr>
          <w:b/>
          <w:bCs/>
        </w:rPr>
        <w:t xml:space="preserve">l’obbligo </w:t>
      </w:r>
      <w:r>
        <w:t xml:space="preserve">di avviare le misure o i procedimenti del caso qualora ritengano che una persona possa essere stata classificata in modo errato</w:t>
      </w:r>
      <w:r w:rsidR="00D7386B">
        <w:t xml:space="preserve">, </w:t>
      </w:r>
      <w:r>
        <w:rPr>
          <w:b/>
          <w:bCs/>
        </w:rPr>
        <w:t xml:space="preserve">indipendentemente dal consenso del lavoratore</w:t>
      </w:r>
      <w:r>
        <w:t xml:space="preserve">. Inoltre, ai sensi dell’articolo 19 della direttiva, la rappresentanza dei lavoratori ha il diritto di agire nei procedimenti per conto di uno o più lavoratori, il che apre la strada all’esercizio collettivo dei diritti.</w:t>
      </w:r>
    </w:p>
    <w:p w:rsidR="00D90A18" w:rsidP="00750824" w:rsidRDefault="00D90A18" w14:paraId="6C32B0FD" w14:textId="77777777">
      <w:pPr>
        <w:jc w:val="both"/>
      </w:pPr>
    </w:p>
    <w:p w:rsidR="00983F19" w:rsidP="00750824" w:rsidRDefault="00000000" w14:paraId="6FBCDC95" w14:textId="476D66BA">
      <w:pPr>
        <w:jc w:val="both"/>
      </w:pPr>
      <w:r>
        <w:rPr>
          <w:b/>
          <w:bCs/>
        </w:rPr>
        <w:t xml:space="preserve">Il quadro delle misure di sostegno (articolo 6) </w:t>
      </w:r>
      <w:r>
        <w:t xml:space="preserve">impone agli Stati membri di istituire un quadro completo di misure per l’efficace attuazione della presunzione giuridica. Tale quadro deve comprendere l’elaborazione di linee guida e raccomandazioni pratiche per le piattaforme, i lavoratori e le parti sociali; l’istituzione di procedure mediante le quali le autorità competenti individuino in modo proattivo, affrontino in modo mirato e perseguano le piattaforme che violano le norme relative allo status lavorativo; controlli e ispezioni efficaci, in particolare sulle piattaforme in cui è </w:t>
      </w:r>
      <w:r>
        <w:t xml:space="preserve">già </w:t>
      </w:r>
      <w:r w:rsidR="00CF3B80">
        <w:t xml:space="preserve">stato </w:t>
      </w:r>
      <w:r>
        <w:t xml:space="preserve">accertato </w:t>
      </w:r>
      <w:r w:rsidR="00CF3B80">
        <w:t xml:space="preserve">un rapporto di lavoro</w:t>
      </w:r>
      <w:r>
        <w:t xml:space="preserve">; nonché un'adeguata formazione degli organismi ispettivi, comprese competenze tecniche specialistiche nel campo della gestione algoritmica.</w:t>
      </w:r>
    </w:p>
    <w:p w:rsidR="00983F19" w:rsidP="00750824" w:rsidRDefault="00000000" w14:paraId="3B6737F1" w14:textId="77777777">
      <w:pPr>
        <w:pStyle w:val="Naslov2"/>
        <w:jc w:val="both"/>
      </w:pPr>
      <w:bookmarkStart w:name="_Toc233699486" w:id="14"/>
      <w:bookmarkStart w:name="ugotovitve-iz-prakse" w:id="15"/>
      <w:bookmarkEnd w:id="13"/>
      <w:r>
        <w:t xml:space="preserve">3.2 Conclusioni tratte dall’esperienza pratica</w:t>
      </w:r>
      <w:bookmarkEnd w:id="14"/>
    </w:p>
    <w:p w:rsidR="00983F19" w:rsidP="00750824" w:rsidRDefault="00000000" w14:paraId="01D9DD1D" w14:textId="77777777">
      <w:pPr>
        <w:pStyle w:val="Naslov3"/>
        <w:jc w:val="both"/>
      </w:pPr>
      <w:bookmarkStart w:name="praznina-med-pravico-in-stvarnostjo" w:id="16"/>
      <w:r>
        <w:t xml:space="preserve">Il divario tra diritto e realtà</w:t>
      </w:r>
    </w:p>
    <w:p w:rsidR="00983F19" w:rsidP="00750824" w:rsidRDefault="00000000" w14:paraId="1E045CBB" w14:textId="58FAC5BB">
      <w:pPr>
        <w:jc w:val="both"/>
      </w:pPr>
      <w:r>
        <w:t xml:space="preserve">Le esperienze dei paesi partner del progetto SDDP dimostrano che la questione della presunzione giuridica e dell’accertamento dello status lavorativo rappresenta l’aspetto più complesso e politicamente più delicato dell’attuazione della direttiva. Allo stesso tempo, è fondamentale per tutti gli altri diritti: senza lo status lavorativo, i sindacati non hanno il diritto di rappresentare il lavoratore; senza lo status lavorativo, il contratto collettivo non si applica al lavoratore; senza lo status lavorativo, non vi sono </w:t>
      </w:r>
      <w:r>
        <w:t xml:space="preserve">diritti</w:t>
      </w:r>
      <w:r w:rsidR="000D74B6">
        <w:t xml:space="preserve"> dei lavoratori né </w:t>
      </w:r>
      <w:r>
        <w:t xml:space="preserve">diritti</w:t>
      </w:r>
      <w:r w:rsidR="000D74B6">
        <w:t xml:space="preserve"> sociali</w:t>
      </w:r>
      <w:r w:rsidR="000D74B6">
        <w:t xml:space="preserve">.</w:t>
      </w:r>
    </w:p>
    <w:p w:rsidR="000D74B6" w:rsidP="00750824" w:rsidRDefault="000D74B6" w14:paraId="2F2FEA86" w14:textId="77777777">
      <w:pPr>
        <w:jc w:val="both"/>
      </w:pPr>
    </w:p>
    <w:p w:rsidR="00983F19" w:rsidP="00750824" w:rsidRDefault="00000000" w14:paraId="28663872" w14:textId="77777777">
      <w:pPr>
        <w:jc w:val="both"/>
      </w:pPr>
      <w:r>
        <w:t xml:space="preserve">La conferenza intermedia del progetto SDDP (Lubiana, maggio 2025) lo ha confermato senza ombra di dubbio: senza lo status lavorativo, tutti gli altri diritti previsti dalla direttiva rimangono inaccessibili.</w:t>
      </w:r>
    </w:p>
    <w:p w:rsidR="00983F19" w:rsidP="00750824" w:rsidRDefault="00000000" w14:paraId="749034F8" w14:textId="77777777">
      <w:pPr>
        <w:pStyle w:val="Naslov3"/>
        <w:jc w:val="both"/>
      </w:pPr>
      <w:bookmarkStart w:name="Xb628c4a68f4dd592c51cb0fabb9c985081de79b" w:id="17"/>
      <w:bookmarkEnd w:id="16"/>
      <w:r>
        <w:t xml:space="preserve">Spagna: dall’ignoranza della legge alla minaccia di una pena detentiva</w:t>
      </w:r>
    </w:p>
    <w:p w:rsidR="00983F19" w:rsidP="00750824" w:rsidRDefault="00000000" w14:paraId="5B4CF9D7" w14:textId="789C054D">
      <w:pPr>
        <w:jc w:val="both"/>
      </w:pPr>
      <w:r>
        <w:t xml:space="preserve">La Spagna offre </w:t>
      </w:r>
      <w:r>
        <w:t xml:space="preserve">l’esperienza</w:t>
      </w:r>
      <w:r w:rsidR="000D74B6">
        <w:t xml:space="preserve"> più completa </w:t>
      </w:r>
      <w:r w:rsidR="00D7386B">
        <w:t xml:space="preserve">– </w:t>
      </w:r>
      <w:r>
        <w:t xml:space="preserve">sia in termini di successi che di pericoli. A seguito delle vittorie giudiziarie dei sindacati, nel 2021 il governo spagnolo ha approvato </w:t>
      </w:r>
      <w:r>
        <w:t xml:space="preserve">la</w:t>
      </w:r>
      <w:r>
        <w:t xml:space="preserve"> cosiddetta </w:t>
      </w:r>
      <w:r>
        <w:t xml:space="preserve">«Legge sui corrieri» (</w:t>
      </w:r>
      <w:r>
        <w:rPr>
          <w:i/>
          <w:iCs/>
        </w:rPr>
        <w:t xml:space="preserve">«Ley </w:t>
      </w:r>
      <w:r w:rsidR="000D74B6">
        <w:rPr>
          <w:i/>
          <w:iCs/>
        </w:rPr>
        <w:t xml:space="preserve">Rider»</w:t>
      </w:r>
      <w:r>
        <w:t xml:space="preserve">), che introduce la presunzione </w:t>
      </w:r>
      <w:r w:rsidR="00CF3B80">
        <w:t xml:space="preserve">di rapporto di lavoro</w:t>
      </w:r>
      <w:r>
        <w:t xml:space="preserve"> nel settore delle consegne di cibo</w:t>
      </w:r>
      <w:r>
        <w:t xml:space="preserve">. La reazione delle piattaforme è stata molto eloquente e si è articolata in tre fasi.</w:t>
      </w:r>
    </w:p>
    <w:p w:rsidR="000D74B6" w:rsidP="00750824" w:rsidRDefault="000D74B6" w14:paraId="2F0C8863" w14:textId="77777777">
      <w:pPr>
        <w:jc w:val="both"/>
      </w:pPr>
    </w:p>
    <w:p w:rsidR="00983F19" w:rsidP="00750824" w:rsidRDefault="00000000" w14:paraId="33198EBD" w14:textId="4A6FB9E6">
      <w:pPr>
        <w:jc w:val="both"/>
      </w:pPr>
      <w:r>
        <w:t xml:space="preserve">Nella prima fase, </w:t>
      </w:r>
      <w:r>
        <w:t xml:space="preserve">Glovo </w:t>
      </w:r>
      <w:r w:rsidR="00D7386B">
        <w:t xml:space="preserve">– </w:t>
      </w:r>
      <w:r>
        <w:t xml:space="preserve">la più grande piattaforma spagnola con circa 12.000 corrieri </w:t>
      </w:r>
      <w:r w:rsidR="00D7386B">
        <w:t xml:space="preserve">– </w:t>
      </w:r>
      <w:r>
        <w:t xml:space="preserve">ha annunciato l’assunzione di sole circa 2.000 persone (il 20%). I contratti di lavoro offerti prevedevano un numero minimo di ore settimanali e condizioni nettamente inferiori rispetto alla retribuzione precedente, per cui la maggior parte dei corrieri non li ha accettati. Allo stesso tempo</w:t>
      </w:r>
      <w:r>
        <w:t xml:space="preserve">,</w:t>
      </w:r>
      <w:r>
        <w:t xml:space="preserve"> </w:t>
      </w:r>
      <w:r>
        <w:t xml:space="preserve">Glovo</w:t>
      </w:r>
      <w:r>
        <w:t xml:space="preserve"> ha </w:t>
      </w:r>
      <w:r>
        <w:t xml:space="preserve">modificato i parametri algoritmici in modo da creare l’apparenza di autonomia </w:t>
      </w:r>
      <w:r w:rsidR="00D7386B">
        <w:t xml:space="preserve">– </w:t>
      </w:r>
      <w:r>
        <w:t xml:space="preserve">registrazione libera senza selezione degli orari, possibilità di rifiutare gli ordini </w:t>
      </w:r>
      <w:r w:rsidR="00D7386B">
        <w:t xml:space="preserve">– </w:t>
      </w:r>
      <w:r>
        <w:t xml:space="preserve">cercando così di minare gli elementi </w:t>
      </w:r>
      <w:r w:rsidR="000D74B6">
        <w:t xml:space="preserve">di subordinazione dei lavoratori</w:t>
      </w:r>
      <w:r>
        <w:t xml:space="preserve">.</w:t>
      </w:r>
    </w:p>
    <w:p w:rsidR="000D74B6" w:rsidP="00750824" w:rsidRDefault="000D74B6" w14:paraId="6D06A04D" w14:textId="77777777">
      <w:pPr>
        <w:jc w:val="both"/>
      </w:pPr>
    </w:p>
    <w:p w:rsidR="00983F19" w:rsidP="00750824" w:rsidRDefault="00000000" w14:paraId="7685B622" w14:textId="51AC6A7F">
      <w:pPr>
        <w:jc w:val="both"/>
      </w:pPr>
      <w:r>
        <w:lastRenderedPageBreak/>
      </w:r>
      <w:r>
        <w:t xml:space="preserve">In una seconda fase sono seguiti anni di controversie. L’ispettorato del lavoro spagnolo ha </w:t>
      </w:r>
      <w:r>
        <w:t xml:space="preserve">inflitto </w:t>
      </w:r>
      <w:r w:rsidR="000D74B6">
        <w:t xml:space="preserve">a Glovo </w:t>
      </w:r>
      <w:r>
        <w:t xml:space="preserve">una multa record di 79 milioni di euro, mentre l’ente previdenziale ha richiesto un totale di circa 450 milioni di euro tra multe e contributi non versati. I tribunali si sono costantemente pronunciati a favore dei lavoratori. Nel 2022 la Spagna ha modificato il codice penale in modo tale che il falso lavoro autonomo diventasse un reato.</w:t>
      </w:r>
    </w:p>
    <w:p w:rsidR="000D74B6" w:rsidP="00750824" w:rsidRDefault="000D74B6" w14:paraId="73B12AA2" w14:textId="77777777">
      <w:pPr>
        <w:jc w:val="both"/>
      </w:pPr>
    </w:p>
    <w:p w:rsidR="00983F19" w:rsidP="00750824" w:rsidRDefault="00000000" w14:paraId="02A92F84" w14:textId="71AF2FA0">
      <w:pPr>
        <w:jc w:val="both"/>
      </w:pPr>
      <w:r>
        <w:t xml:space="preserve">La svolta decisiva è avvenuta solo nella terza fase, quando il cofondatore e direttore esecutivo </w:t>
      </w:r>
      <w:r>
        <w:t xml:space="preserve">di Glovo, </w:t>
      </w:r>
      <w:r>
        <w:t xml:space="preserve">Óscar </w:t>
      </w:r>
      <w:r>
        <w:t xml:space="preserve">Pierre</w:t>
      </w:r>
      <w:r>
        <w:t xml:space="preserve">, </w:t>
      </w:r>
      <w:r>
        <w:t xml:space="preserve">è stato </w:t>
      </w:r>
      <w:r>
        <w:t xml:space="preserve">perseguito penalmente. Il giorno prima di comparire in tribunale </w:t>
      </w:r>
      <w:r w:rsidR="00D7386B">
        <w:t xml:space="preserve">– </w:t>
      </w:r>
      <w:r>
        <w:t xml:space="preserve">nel dicembre 2024 </w:t>
      </w:r>
      <w:r w:rsidR="00D7386B">
        <w:t xml:space="preserve">– </w:t>
      </w:r>
      <w:r>
        <w:t xml:space="preserve">Glovo</w:t>
      </w:r>
      <w:r>
        <w:t xml:space="preserve"> ha </w:t>
      </w:r>
      <w:r>
        <w:t xml:space="preserve">annunciato che </w:t>
      </w:r>
      <w:r w:rsidR="000D74B6">
        <w:t xml:space="preserve">avrebbe </w:t>
      </w:r>
      <w:r w:rsidR="000D74B6">
        <w:t xml:space="preserve">assunto </w:t>
      </w:r>
      <w:r>
        <w:t xml:space="preserve">tutti i corrieri. Questa esperienza dimostra inequivocabilmente che una chiara disposizione di legge sulla presunzione giuridica </w:t>
      </w:r>
      <w:r w:rsidR="00CF3B80">
        <w:t xml:space="preserve">di rapporto di lavoro </w:t>
      </w:r>
      <w:r>
        <w:t xml:space="preserve">non è di per sé sufficiente</w:t>
      </w:r>
      <w:r w:rsidR="00D7386B">
        <w:t xml:space="preserve">: </w:t>
      </w:r>
      <w:r>
        <w:t xml:space="preserve">è</w:t>
      </w:r>
      <w:r w:rsidR="000D74B6">
        <w:t xml:space="preserve"> indispensabile </w:t>
      </w:r>
      <w:r w:rsidR="000D74B6">
        <w:t xml:space="preserve">un’applicazione efficace </w:t>
      </w:r>
      <w:r>
        <w:t xml:space="preserve">che vada oltre le sole sanzioni pecuniarie e comprenda la responsabilità penale dei soggetti responsabili.</w:t>
      </w:r>
    </w:p>
    <w:p w:rsidR="000D74B6" w:rsidP="00750824" w:rsidRDefault="000D74B6" w14:paraId="7C98E11A" w14:textId="77777777">
      <w:pPr>
        <w:jc w:val="both"/>
      </w:pPr>
    </w:p>
    <w:p w:rsidR="00983F19" w:rsidP="00750824" w:rsidRDefault="00000000" w14:paraId="2F90837E" w14:textId="6BB51443">
      <w:pPr>
        <w:jc w:val="both"/>
      </w:pPr>
      <w:r>
        <w:t xml:space="preserve">Allo stesso tempo</w:t>
      </w:r>
      <w:r>
        <w:t xml:space="preserve">, l’esperienza</w:t>
      </w:r>
      <w:r w:rsidR="000D74B6">
        <w:t xml:space="preserve"> spagnola </w:t>
      </w:r>
      <w:r>
        <w:t xml:space="preserve">mette in luce un limite sistemico: la legge sui corrieri si applica solo alla consegna di cibo, ma non a tutti </w:t>
      </w:r>
      <w:r>
        <w:t xml:space="preserve">i lavoratori </w:t>
      </w:r>
      <w:r>
        <w:t xml:space="preserve">delle piattaforme</w:t>
      </w:r>
      <w:r>
        <w:t xml:space="preserve">. </w:t>
      </w:r>
      <w:r>
        <w:t xml:space="preserve">Dopo l’approvazione della legge, </w:t>
      </w:r>
      <w:r>
        <w:t xml:space="preserve">Uber </w:t>
      </w:r>
      <w:r>
        <w:t xml:space="preserve">Eats </w:t>
      </w:r>
      <w:r>
        <w:t xml:space="preserve">ha ristrutturato l’intero modello di business in un sistema basato esclusivamente su subappaltatori</w:t>
      </w:r>
      <w:r w:rsidR="000D74B6">
        <w:t xml:space="preserve">, </w:t>
      </w:r>
      <w:r>
        <w:t xml:space="preserve">il</w:t>
      </w:r>
      <w:r w:rsidR="000D74B6">
        <w:t xml:space="preserve"> cosiddetto </w:t>
      </w:r>
      <w:r>
        <w:t xml:space="preserve">«sistema di flotta» (</w:t>
      </w:r>
      <w:r w:rsidRPr="00792F1C">
        <w:t xml:space="preserve">«fleet </w:t>
      </w:r>
      <w:r w:rsidRPr="00792F1C" w:rsidR="000D74B6">
        <w:t xml:space="preserve">system»</w:t>
      </w:r>
      <w:r>
        <w:t xml:space="preserve">)</w:t>
      </w:r>
      <w:r w:rsidR="000D74B6">
        <w:t xml:space="preserve">, </w:t>
      </w:r>
      <w:r>
        <w:t xml:space="preserve">soddisfacendo così formalmente il requisito dell’assunzione, ma riproducendo </w:t>
      </w:r>
      <w:r>
        <w:t xml:space="preserve">la precarietà</w:t>
      </w:r>
      <w:r>
        <w:t xml:space="preserve"> attraverso gli intermediari</w:t>
      </w:r>
      <w:r>
        <w:t xml:space="preserve">. Ciò dimostra che qualsiasi regolamentazione limitata a un singolo settore è </w:t>
      </w:r>
      <w:r w:rsidR="000D74B6">
        <w:t xml:space="preserve">inefficace</w:t>
      </w:r>
      <w:r>
        <w:t xml:space="preserve">.</w:t>
      </w:r>
    </w:p>
    <w:p w:rsidR="00983F19" w:rsidP="00750824" w:rsidRDefault="00000000" w14:paraId="56113684" w14:textId="77777777">
      <w:pPr>
        <w:pStyle w:val="Naslov3"/>
        <w:jc w:val="both"/>
      </w:pPr>
      <w:bookmarkStart w:name="belgija-domneva-brez-izvršbe" w:id="18"/>
      <w:bookmarkEnd w:id="17"/>
      <w:r>
        <w:t xml:space="preserve">Belgio: presunzione senza applicazione</w:t>
      </w:r>
    </w:p>
    <w:p w:rsidR="00983F19" w:rsidP="00750824" w:rsidRDefault="00000000" w14:paraId="6D654A34" w14:textId="7244F666">
      <w:pPr>
        <w:jc w:val="both"/>
      </w:pPr>
      <w:r w:rsidR="00792F1C">
        <w:t xml:space="preserve">L’esperienza belga </w:t>
      </w:r>
      <w:r w:rsidR="000D74B6">
        <w:t xml:space="preserve">mostra </w:t>
      </w:r>
      <w:r>
        <w:t xml:space="preserve">un modello preoccupante. La legislazione belga prevede una variante della presunzione giuridica </w:t>
      </w:r>
      <w:r w:rsidR="00CF3B80">
        <w:t xml:space="preserve">di rapporto di lavoro</w:t>
      </w:r>
      <w:r>
        <w:t xml:space="preserve">, ma nella pratica non ha cambiato nulla. In occasione di una conferenza a Lubiana, un rappresentante sindacale belga ha affermato che l’esistenza di una disposizione giuridica sulla presunzione senza adeguate capacità ispettive e sanzioni equivale a una lettera morta </w:t>
      </w:r>
      <w:r w:rsidR="000D74B6">
        <w:t xml:space="preserve">sulla carta</w:t>
      </w:r>
      <w:r>
        <w:t xml:space="preserve">: </w:t>
      </w:r>
      <w:r>
        <w:rPr>
          <w:i/>
          <w:iCs/>
        </w:rPr>
        <w:t xml:space="preserve">«Il Belgio ha un elenco di criteri per il rapporto di lavoro, ma </w:t>
      </w:r>
      <w:r w:rsidR="000D74B6">
        <w:rPr>
          <w:i/>
          <w:iCs/>
        </w:rPr>
        <w:t xml:space="preserve">non c’è applicazione della legge</w:t>
      </w:r>
      <w:r>
        <w:rPr>
          <w:i/>
          <w:iCs/>
        </w:rPr>
        <w:t xml:space="preserve">».</w:t>
      </w:r>
      <w:r>
        <w:t xml:space="preserve"> Il caso </w:t>
      </w:r>
      <w:r>
        <w:t xml:space="preserve">di Takeaway</w:t>
      </w:r>
      <w:r>
        <w:t xml:space="preserve">, registrata come agenzia pubblicitaria per eludere i contratti collettivi di settore del trasporto, che garantiscono retribuzioni migliori, dimostra che le piattaforme sfruttano ogni scappatoia giuridica </w:t>
      </w:r>
      <w:r w:rsidR="00D7386B">
        <w:t xml:space="preserve">– </w:t>
      </w:r>
      <w:r>
        <w:t xml:space="preserve">dalla forma contrattuale alla classificazione settoriale.</w:t>
      </w:r>
    </w:p>
    <w:p w:rsidR="00983F19" w:rsidP="00750824" w:rsidRDefault="00000000" w14:paraId="61DCAE71" w14:textId="77777777">
      <w:pPr>
        <w:pStyle w:val="Naslov3"/>
        <w:jc w:val="both"/>
      </w:pPr>
      <w:bookmarkStart w:name="italija-tretji-status-kot-past" w:id="19"/>
      <w:bookmarkEnd w:id="18"/>
      <w:r>
        <w:t xml:space="preserve">Italia: il terzo status come trappola</w:t>
      </w:r>
    </w:p>
    <w:p w:rsidR="00983F19" w:rsidP="00750824" w:rsidRDefault="00000000" w14:paraId="6A1D0123" w14:textId="1A771B3B">
      <w:pPr>
        <w:jc w:val="both"/>
      </w:pPr>
      <w:r>
        <w:t xml:space="preserve">L’Italia si trova ad affrontare una sfida particolare: oltre alla classica distinzione tra lavoratore dipendente e lavoratore autonomo, esistono due categorie intermedie. I sindacati </w:t>
      </w:r>
      <w:r w:rsidR="006928D1">
        <w:t xml:space="preserve">avvertono </w:t>
      </w:r>
      <w:r>
        <w:t xml:space="preserve">che la direttiva, se attuata con negligenza, </w:t>
      </w:r>
      <w:r w:rsidR="006928D1">
        <w:t xml:space="preserve">legalizzerebbe </w:t>
      </w:r>
      <w:r>
        <w:t xml:space="preserve">il terzo status (</w:t>
      </w:r>
      <w:r w:rsidR="006928D1">
        <w:t xml:space="preserve">«l</w:t>
      </w:r>
      <w:r w:rsidRPr="00792F1C">
        <w:t xml:space="preserve">avoratori </w:t>
      </w:r>
      <w:r w:rsidR="006928D1">
        <w:t xml:space="preserve">parasubordinati»</w:t>
      </w:r>
      <w:r>
        <w:t xml:space="preserve">), proposto dalle piattaforme come </w:t>
      </w:r>
      <w:r>
        <w:t xml:space="preserve">«soluzione</w:t>
      </w:r>
      <w:r w:rsidR="006928D1">
        <w:t xml:space="preserve">». </w:t>
      </w:r>
      <w:r>
        <w:t xml:space="preserve">L’esperienza </w:t>
      </w:r>
      <w:r>
        <w:t xml:space="preserve">di JustEat</w:t>
      </w:r>
      <w:r>
        <w:t xml:space="preserve">, che – unica tra le grandi piattaforme – ha stipulato veri e propri contratti di lavoro, dimostra che ciò è possibile</w:t>
      </w:r>
      <w:r w:rsidR="00D7386B">
        <w:t xml:space="preserve">; </w:t>
      </w:r>
      <w:r>
        <w:t xml:space="preserve">tuttavia</w:t>
      </w:r>
      <w:r>
        <w:t xml:space="preserve">,</w:t>
      </w:r>
      <w:r>
        <w:t xml:space="preserve"> il contesto politico </w:t>
      </w:r>
      <w:r>
        <w:t xml:space="preserve">del governo di</w:t>
      </w:r>
      <w:r>
        <w:t xml:space="preserve"> estrema </w:t>
      </w:r>
      <w:r>
        <w:t xml:space="preserve">destra blocca l’attuazione della direttiva. I sindacati si concentrano quindi sugli accordi regionali e sulla contrattazione collettiva.</w:t>
      </w:r>
    </w:p>
    <w:p w:rsidR="00983F19" w:rsidP="00750824" w:rsidRDefault="00000000" w14:paraId="75C17E9E" w14:textId="77777777">
      <w:pPr>
        <w:pStyle w:val="Naslov3"/>
        <w:jc w:val="both"/>
      </w:pPr>
      <w:bookmarkStart w:name="slovenija-čakanje-na-ministrstvo" w:id="20"/>
      <w:bookmarkEnd w:id="19"/>
      <w:r>
        <w:t xml:space="preserve">Slovenia: in attesa del ministero</w:t>
      </w:r>
    </w:p>
    <w:p w:rsidR="00983F19" w:rsidP="00750824" w:rsidRDefault="00000000" w14:paraId="1B236A9D" w14:textId="3D37079A">
      <w:pPr>
        <w:jc w:val="both"/>
      </w:pPr>
      <w:r>
        <w:t xml:space="preserve">In Slovenia, </w:t>
      </w:r>
      <w:r>
        <w:t xml:space="preserve">Wolt </w:t>
      </w:r>
      <w:r>
        <w:t xml:space="preserve">domina il mercato </w:t>
      </w:r>
      <w:r>
        <w:t xml:space="preserve">delle consegne </w:t>
      </w:r>
      <w:r>
        <w:t xml:space="preserve">tramite piattaforma </w:t>
      </w:r>
      <w:r>
        <w:t xml:space="preserve">con un modello di lavoratori autonomi. I sindacati si sono trovati di fronte all’ambivalenza degli stessi lavoratori: questi ultimi riconoscono la propria subordinazione alla piattaforma, ma allo stesso tempo si aspettano che sia il ministero a risolvere il problema </w:t>
      </w:r>
      <w:r w:rsidR="00D7386B">
        <w:t xml:space="preserve">– </w:t>
      </w:r>
      <w:r>
        <w:t xml:space="preserve">non la contrattazione collettiva. </w:t>
      </w:r>
      <w:r w:rsidR="006928D1">
        <w:t xml:space="preserve">Dopo le elezioni parlamentari </w:t>
      </w:r>
      <w:r>
        <w:t xml:space="preserve">del marzo 2026, la volontà politica per un’attuazione ambiziosa della direttiva è incerta. La Slovenia è tradizionalmente in ritardo nel recepimento delle direttive europee. Allo stesso tempo, la ZSSS, nelle sue linee guida per l’attuazione dell’aprile 2025, propone che la Slovenia sfrutti la direttiva per promuovere</w:t>
      </w:r>
      <w:r>
        <w:lastRenderedPageBreak/>
      </w:r>
      <w:r>
        <w:t xml:space="preserve"> un cambiamento sistemico: l’istituzione </w:t>
      </w:r>
      <w:r>
        <w:rPr>
          <w:b/>
          <w:bCs/>
        </w:rPr>
        <w:t xml:space="preserve">di una presunzione generale </w:t>
      </w:r>
      <w:r w:rsidR="00CF3B80">
        <w:rPr>
          <w:b/>
          <w:bCs/>
        </w:rPr>
        <w:t xml:space="preserve">di rapporto di lavoro o di assunzione </w:t>
      </w:r>
      <w:r>
        <w:rPr>
          <w:b/>
          <w:bCs/>
        </w:rPr>
        <w:t xml:space="preserve">per tutte le attività lavorative in </w:t>
      </w:r>
      <w:r w:rsidR="006928D1">
        <w:rPr>
          <w:b/>
          <w:bCs/>
        </w:rPr>
        <w:t xml:space="preserve">Slovenia</w:t>
      </w:r>
      <w:r w:rsidR="006928D1">
        <w:t xml:space="preserve">, </w:t>
      </w:r>
      <w:r>
        <w:t xml:space="preserve">non solo per </w:t>
      </w:r>
      <w:r>
        <w:t xml:space="preserve">il lavoro </w:t>
      </w:r>
      <w:r>
        <w:t xml:space="preserve">su piattaforma</w:t>
      </w:r>
      <w:r>
        <w:t xml:space="preserve">.</w:t>
      </w:r>
    </w:p>
    <w:p w:rsidR="00983F19" w:rsidP="00750824" w:rsidRDefault="00000000" w14:paraId="38BDBC36" w14:textId="77777777">
      <w:pPr>
        <w:pStyle w:val="Naslov3"/>
        <w:jc w:val="both"/>
      </w:pPr>
      <w:bookmarkStart w:name="problem-podizvajalcev" w:id="21"/>
      <w:bookmarkEnd w:id="20"/>
      <w:r>
        <w:t xml:space="preserve">Il problema dei subappaltatori</w:t>
      </w:r>
    </w:p>
    <w:p w:rsidR="00983F19" w:rsidP="00750824" w:rsidRDefault="00000000" w14:paraId="61EA3FC7" w14:textId="60717B63">
      <w:pPr>
        <w:jc w:val="both"/>
      </w:pPr>
      <w:bookmarkStart w:name="X1bf507dade63a3b9248d91b10533f96b3456f6d" w:id="22"/>
      <w:bookmarkEnd w:id="21"/>
      <w:r>
        <w:t xml:space="preserve">La conclusione comune a tutti i paesi partner è che </w:t>
      </w:r>
      <w:r>
        <w:t xml:space="preserve">il subappalto </w:t>
      </w:r>
      <w:r>
        <w:t xml:space="preserve">(</w:t>
      </w:r>
      <w:r w:rsidR="006928D1">
        <w:t xml:space="preserve">“subcontracting”</w:t>
      </w:r>
      <w:r>
        <w:t xml:space="preserve">) sta diventando il meccanismo più diffuso per eludere la presunzione legale </w:t>
      </w:r>
      <w:r w:rsidR="00CF3B80">
        <w:t xml:space="preserve">di rapporto di lavoro </w:t>
      </w:r>
      <w:r w:rsidR="006928D1">
        <w:t xml:space="preserve">e la responsabilità </w:t>
      </w:r>
      <w:r w:rsidR="006928D1">
        <w:t xml:space="preserve">delle piattaforme </w:t>
      </w:r>
      <w:r w:rsidR="006928D1">
        <w:t xml:space="preserve">in generale</w:t>
      </w:r>
      <w:r>
        <w:t xml:space="preserve">. In Germania</w:t>
      </w:r>
      <w:r>
        <w:t xml:space="preserve">,</w:t>
      </w:r>
      <w:r>
        <w:t xml:space="preserve"> sulla base dell’esperienza maturata con la legislazione nel settore postale (limitazione </w:t>
      </w:r>
      <w:r>
        <w:t xml:space="preserve">delle catene </w:t>
      </w:r>
      <w:r>
        <w:t xml:space="preserve">di subappalto </w:t>
      </w:r>
      <w:r>
        <w:t xml:space="preserve">nella consegna dei pacchi), </w:t>
      </w:r>
      <w:r>
        <w:t xml:space="preserve">i sindacati </w:t>
      </w:r>
      <w:r>
        <w:t xml:space="preserve">constatano che le piattaforme stanno passando sempre più rapidamente a modelli basati su catene di subappaltatori, in cui i lavoratori non sono formalmente assunti dalla piattaforma. In Spagna, piattaforme come </w:t>
      </w:r>
      <w:r>
        <w:t xml:space="preserve">Glovo</w:t>
      </w:r>
      <w:r>
        <w:t xml:space="preserve">, </w:t>
      </w:r>
      <w:r>
        <w:t xml:space="preserve">Uber </w:t>
      </w:r>
      <w:r>
        <w:t xml:space="preserve">Eats </w:t>
      </w:r>
      <w:r>
        <w:t xml:space="preserve">e Just </w:t>
      </w:r>
      <w:r>
        <w:t xml:space="preserve">Eat</w:t>
      </w:r>
      <w:r>
        <w:t xml:space="preserve">, dopo l’entrata in vigore della legge </w:t>
      </w:r>
      <w:r>
        <w:rPr>
          <w:i/>
          <w:iCs/>
        </w:rPr>
        <w:t xml:space="preserve">Ley </w:t>
      </w:r>
      <w:r>
        <w:rPr>
          <w:i/>
          <w:iCs/>
        </w:rPr>
        <w:t xml:space="preserve">Rider</w:t>
      </w:r>
      <w:r w:rsidR="006928D1">
        <w:rPr>
          <w:i/>
          <w:iCs/>
        </w:rPr>
        <w:t xml:space="preserve">, </w:t>
      </w:r>
      <w:r>
        <w:t xml:space="preserve">sono passate a </w:t>
      </w:r>
      <w:r>
        <w:t xml:space="preserve">modelli </w:t>
      </w:r>
      <w:r>
        <w:t xml:space="preserve">di subappalto</w:t>
      </w:r>
      <w:r>
        <w:t xml:space="preserve">, per cui spesso i sindacati non sanno nemmeno chi sia il vero datore di lavoro del lavoratore.</w:t>
      </w:r>
    </w:p>
    <w:p w:rsidR="00D90A18" w:rsidP="00750824" w:rsidRDefault="00D90A18" w14:paraId="729D9F2A" w14:textId="77777777">
      <w:pPr>
        <w:jc w:val="both"/>
      </w:pPr>
    </w:p>
    <w:p w:rsidR="00983F19" w:rsidP="00750824" w:rsidRDefault="00000000" w14:paraId="23F0015A" w14:textId="77777777">
      <w:pPr>
        <w:jc w:val="both"/>
      </w:pPr>
      <w:bookmarkStart w:name="X464365a3056fb9d1594f024ef98aa7e37f41722" w:id="23"/>
      <w:bookmarkEnd w:id="22"/>
      <w:r>
        <w:t xml:space="preserve">La direttiva sul </w:t>
      </w:r>
      <w:r>
        <w:t xml:space="preserve">lavoro </w:t>
      </w:r>
      <w:r>
        <w:t xml:space="preserve">tramite piattaforme </w:t>
      </w:r>
      <w:r>
        <w:t xml:space="preserve">affronta questo problema nell’articolo 3, che richiede che i lavoratori che operano tramite intermediari godano dello stesso livello di tutela di quelli in rapporto diretto con la piattaforma, compresi i meccanismi di responsabilità solidale. L’effettiva attuazione di questa disposizione costituirà tuttavia una prova cruciale.</w:t>
      </w:r>
    </w:p>
    <w:p w:rsidR="00983F19" w:rsidP="00750824" w:rsidRDefault="00000000" w14:paraId="49708D2C" w14:textId="77777777">
      <w:pPr>
        <w:pStyle w:val="Naslov3"/>
        <w:jc w:val="both"/>
      </w:pPr>
      <w:bookmarkStart w:name="Xb9c5b4a731a8b417512c018455fc5f559bc3d6e" w:id="24"/>
      <w:bookmarkEnd w:id="23"/>
      <w:r>
        <w:t xml:space="preserve">Conclusione strutturale comune: chi avvierà il procedimento?</w:t>
      </w:r>
    </w:p>
    <w:p w:rsidR="00983F19" w:rsidP="00750824" w:rsidRDefault="00000000" w14:paraId="7DE4A2A7" w14:textId="5D09F7E6">
      <w:pPr>
        <w:jc w:val="both"/>
      </w:pPr>
      <w:r>
        <w:t xml:space="preserve">Durante la conferenza, Tea Jarc (ETUC) ha sottolineato una sfida pratica fondamentale: per far valere la presunzione di diritto, qualcuno deve avviare il procedimento. Spesso i lavoratori non lo fanno perché temono di perdere il proprio reddito. I tribunali sono lenti e costosi. Per questo motivo l’ETUC pone l’accento soprattutto sui </w:t>
      </w:r>
      <w:r>
        <w:rPr>
          <w:b/>
          <w:bCs/>
        </w:rPr>
        <w:t xml:space="preserve">procedimenti amministrativi </w:t>
      </w:r>
      <w:r w:rsidR="006928D1">
        <w:t xml:space="preserve">e </w:t>
      </w:r>
      <w:r>
        <w:t xml:space="preserve">sugli ispettorati del lavoro, che hanno </w:t>
      </w:r>
      <w:r>
        <w:rPr>
          <w:b/>
          <w:bCs/>
        </w:rPr>
        <w:t xml:space="preserve">l’obbligo </w:t>
      </w:r>
      <w:r>
        <w:t xml:space="preserve">di avviare il procedimento qualora rilevino indizi di una classificazione errata </w:t>
      </w:r>
      <w:r>
        <w:rPr>
          <w:b/>
          <w:bCs/>
        </w:rPr>
        <w:t xml:space="preserve">senza il consenso del lavoratore</w:t>
      </w:r>
      <w:r>
        <w:t xml:space="preserve">. La direttiva prevede tale obbligo all’articolo 5, paragrafo 5, ma la sua efficace attuazione richiede che gli ispettorati dispongano di risorse umane e competenze adeguate.</w:t>
      </w:r>
    </w:p>
    <w:p w:rsidR="00983F19" w:rsidP="00750824" w:rsidRDefault="00000000" w14:paraId="4740E06C" w14:textId="77777777">
      <w:pPr>
        <w:pStyle w:val="Naslov2"/>
        <w:jc w:val="both"/>
      </w:pPr>
      <w:bookmarkStart w:name="_Toc233699487" w:id="25"/>
      <w:bookmarkStart w:name="priporočila" w:id="26"/>
      <w:bookmarkEnd w:id="15"/>
      <w:bookmarkEnd w:id="24"/>
      <w:r>
        <w:t xml:space="preserve">3.3 Raccomandazioni</w:t>
      </w:r>
      <w:bookmarkEnd w:id="25"/>
    </w:p>
    <w:p w:rsidR="00983F19" w:rsidP="00750824" w:rsidRDefault="00000000" w14:paraId="1EEE5D89" w14:textId="77777777">
      <w:pPr>
        <w:jc w:val="both"/>
      </w:pPr>
      <w:r>
        <w:t xml:space="preserve">Sulla base dell’analisi dei requisiti della direttiva, delle esperienze pratiche e delle discussioni del gruppo di esperti della Commissione europea, formuliamo le seguenti raccomandazioni agli Stati membri in merito al recepimento del capo II della direttiva.</w:t>
      </w:r>
    </w:p>
    <w:p w:rsidR="00D90A18" w:rsidP="00750824" w:rsidRDefault="00D90A18" w14:paraId="3987237E" w14:textId="77777777">
      <w:pPr>
        <w:jc w:val="both"/>
      </w:pPr>
    </w:p>
    <w:p w:rsidR="00D90A18" w:rsidP="00750824" w:rsidRDefault="00000000" w14:paraId="106960A2" w14:textId="63A00551">
      <w:pPr>
        <w:pStyle w:val="Naslov3"/>
        <w:jc w:val="both"/>
      </w:pPr>
      <w:r>
        <w:t xml:space="preserve">Raccomandazione 3.1 [DIRETTIVA]: Presunzione giuridica </w:t>
      </w:r>
      <w:r w:rsidR="00CF3B80">
        <w:t xml:space="preserve">di rapporto di lavoro </w:t>
      </w:r>
      <w:r>
        <w:t xml:space="preserve">senza criteri aggiuntivi</w:t>
      </w:r>
    </w:p>
    <w:p w:rsidR="00D90A18" w:rsidP="00750824" w:rsidRDefault="00000000" w14:paraId="35ACE1BF" w14:textId="64747BBE">
      <w:pPr>
        <w:jc w:val="both"/>
      </w:pPr>
      <w:r>
        <w:t xml:space="preserve">Nel recepire l’articolo 5, gli Stati membri non dovrebbero introdurre criteri aggiuntivi o elenchi di indicatori che dovrebbero essere soddisfatti prima che si </w:t>
      </w:r>
      <w:r>
        <w:t xml:space="preserve">applichi </w:t>
      </w:r>
      <w:r>
        <w:t xml:space="preserve">la presunzione giuridica </w:t>
      </w:r>
      <w:r w:rsidR="00CF3B80">
        <w:t xml:space="preserve">di rapporto di lavoro</w:t>
      </w:r>
      <w:r>
        <w:t xml:space="preserve">. Il gruppo di esperti della CE lo ha chiarito in modo inequivocabile: la direttiva non richiede criteri, ma solo l’accertamento di fatti che indichino l’esistenza di istruzioni e controllo, secondo uno standard paragonabile al principio </w:t>
      </w:r>
      <w:r>
        <w:rPr>
          <w:i/>
          <w:iCs/>
        </w:rPr>
        <w:t xml:space="preserve">prima </w:t>
      </w:r>
      <w:r>
        <w:rPr>
          <w:i/>
          <w:iCs/>
        </w:rPr>
        <w:t xml:space="preserve">facie </w:t>
      </w:r>
      <w:r>
        <w:t xml:space="preserve">nella </w:t>
      </w:r>
      <w:r>
        <w:t xml:space="preserve">legislazione </w:t>
      </w:r>
      <w:r>
        <w:t xml:space="preserve">antidiscriminatoria </w:t>
      </w:r>
      <w:r>
        <w:t xml:space="preserve">dell’UE. È sufficiente che i fatti </w:t>
      </w:r>
      <w:r w:rsidR="006B029C">
        <w:t xml:space="preserve">indichino che la subordinazione è possibile; </w:t>
      </w:r>
      <w:r>
        <w:t xml:space="preserve">non </w:t>
      </w:r>
      <w:r w:rsidR="006B029C">
        <w:t xml:space="preserve">sono </w:t>
      </w:r>
      <w:r>
        <w:t xml:space="preserve">richieste </w:t>
      </w:r>
      <w:r w:rsidR="006B029C">
        <w:t xml:space="preserve">prove</w:t>
      </w:r>
      <w:r w:rsidR="006B029C">
        <w:t xml:space="preserve"> certe</w:t>
      </w:r>
      <w:r>
        <w:t xml:space="preserve">. L’esperienza belga </w:t>
      </w:r>
      <w:r w:rsidR="006B029C">
        <w:t xml:space="preserve">dimostra </w:t>
      </w:r>
      <w:r>
        <w:t xml:space="preserve">che lunghi elenchi di criteri avvantaggiano le piattaforme, non i lavoratori: le piattaforme si limitano ad adeguare i contratti e l’organizzazione del lavoro in modo che, formalmente</w:t>
      </w:r>
      <w:r w:rsidR="006B029C">
        <w:t xml:space="preserve">,</w:t>
      </w:r>
      <w:r>
        <w:t xml:space="preserve"> nessuno dei criteri sia soddisfatto</w:t>
      </w:r>
      <w:r w:rsidR="006B029C">
        <w:t xml:space="preserve">, oppure ne siano soddisfatti troppo pochi</w:t>
      </w:r>
      <w:r>
        <w:t xml:space="preserve">.</w:t>
      </w:r>
    </w:p>
    <w:p w:rsidR="005418CA" w:rsidP="00750824" w:rsidRDefault="005418CA" w14:paraId="528984B3" w14:textId="77777777">
      <w:pPr>
        <w:jc w:val="both"/>
      </w:pPr>
    </w:p>
    <w:p w:rsidR="00D90A18" w:rsidP="00750824" w:rsidRDefault="00000000" w14:paraId="445D2D62" w14:textId="2A3B60B3">
      <w:pPr>
        <w:pStyle w:val="Naslov3"/>
        <w:jc w:val="both"/>
      </w:pPr>
      <w:r>
        <w:t xml:space="preserve">Raccomandazione 3.2 [DIRETTIVA]: Le procedure amministrative come via primaria per l’accertamento dello status</w:t>
      </w:r>
    </w:p>
    <w:p w:rsidR="00983F19" w:rsidP="00750824" w:rsidRDefault="00000000" w14:paraId="45A2F001" w14:textId="3908CFB5">
      <w:pPr>
        <w:jc w:val="both"/>
      </w:pPr>
      <w:r>
        <w:lastRenderedPageBreak/>
      </w:r>
      <w:r>
        <w:t xml:space="preserve">Nell’attuazione dell’articolo 5, gli Stati membri dovrebbero istituire o rafforzare </w:t>
      </w:r>
      <w:r>
        <w:rPr>
          <w:b/>
          <w:bCs/>
        </w:rPr>
        <w:t xml:space="preserve">le procedure amministrative dinanzi agli ispettorati del lavoro </w:t>
      </w:r>
      <w:r>
        <w:t xml:space="preserve">come via primaria per l’accertamento dello status lavorativo </w:t>
      </w:r>
      <w:r>
        <w:t xml:space="preserve">dei lavoratori </w:t>
      </w:r>
      <w:r>
        <w:t xml:space="preserve">delle piattaforme</w:t>
      </w:r>
      <w:r>
        <w:t xml:space="preserve">, parallelamente ai procedimenti giudiziari. I procedimenti amministrativi sono più rapidi, meno costosi e più accessibili per i lavoratori in </w:t>
      </w:r>
      <w:r>
        <w:t xml:space="preserve">condizioni </w:t>
      </w:r>
      <w:r>
        <w:t xml:space="preserve">di precarietà</w:t>
      </w:r>
      <w:r>
        <w:t xml:space="preserve">. L’esperienza pratica dimostra che spesso </w:t>
      </w:r>
      <w:r w:rsidR="006B029C">
        <w:t xml:space="preserve">non</w:t>
      </w:r>
      <w:r>
        <w:t xml:space="preserve"> è </w:t>
      </w:r>
      <w:r w:rsidR="006B029C">
        <w:t xml:space="preserve">realistico </w:t>
      </w:r>
      <w:r>
        <w:t xml:space="preserve">aspettarsi </w:t>
      </w:r>
      <w:r>
        <w:t xml:space="preserve">il consenso del lavoratore a un procedimento giudiziario</w:t>
      </w:r>
      <w:r w:rsidR="00D7386B">
        <w:t xml:space="preserve">: </w:t>
      </w:r>
      <w:r>
        <w:t xml:space="preserve">i lavoratori temono di perdere l’accesso alla piattaforma </w:t>
      </w:r>
      <w:r w:rsidR="006B029C">
        <w:t xml:space="preserve">o il proprio reddito, pertanto è fondamentale che i procedimenti possano essere avviati senza il loro consenso</w:t>
      </w:r>
      <w:r>
        <w:t xml:space="preserve">. Ai sensi dell’articolo 5, paragrafo 5, della direttiva, l’ispettorato ha l’obbligo di avviare un procedimento senza il consenso del lavoratore qualora rilevi indizi </w:t>
      </w:r>
      <w:r w:rsidR="006B029C">
        <w:t xml:space="preserve">di un’errata qualificazione del rapporto di lavoro</w:t>
      </w:r>
      <w:r>
        <w:t xml:space="preserve">. Tale obbligo deve essere espressamente inserito nelle </w:t>
      </w:r>
      <w:r w:rsidR="006B029C">
        <w:t xml:space="preserve">leggi</w:t>
      </w:r>
      <w:r>
        <w:t xml:space="preserve"> nazionali di recepimento</w:t>
      </w:r>
      <w:r>
        <w:t xml:space="preserve">.</w:t>
      </w:r>
    </w:p>
    <w:p w:rsidR="00D90A18" w:rsidP="00750824" w:rsidRDefault="00D90A18" w14:paraId="16DE2351" w14:textId="77777777">
      <w:pPr>
        <w:jc w:val="both"/>
      </w:pPr>
    </w:p>
    <w:p w:rsidR="00D90A18" w:rsidP="00750824" w:rsidRDefault="00000000" w14:paraId="62FDA2CE" w14:textId="2022511F">
      <w:pPr>
        <w:pStyle w:val="Naslov3"/>
        <w:jc w:val="both"/>
      </w:pPr>
      <w:r>
        <w:t xml:space="preserve">Raccomandazione 3.3 [SUPERA IL MINIMO]: Rafforzamento degli ispettorati del lavoro con personale e competenze algoritmiche</w:t>
      </w:r>
    </w:p>
    <w:p w:rsidR="00D90A18" w:rsidP="00750824" w:rsidRDefault="00000000" w14:paraId="375BA482" w14:textId="09351655">
      <w:pPr>
        <w:jc w:val="both"/>
      </w:pPr>
      <w:r>
        <w:t xml:space="preserve">L’articolo 6 della direttiva richiede </w:t>
      </w:r>
      <w:r>
        <w:t xml:space="preserve">controlli</w:t>
      </w:r>
      <w:r w:rsidR="00352350">
        <w:t xml:space="preserve"> ispettivi</w:t>
      </w:r>
      <w:r>
        <w:t xml:space="preserve"> efficaci </w:t>
      </w:r>
      <w:r>
        <w:t xml:space="preserve">e una formazione adeguata delle autorità competenti in materia di gestione algoritmica. Tutti i paesi partner segnalano che gli ispettorati non dispongono né di personale sufficiente né delle competenze tecniche necessarie per </w:t>
      </w:r>
      <w:r w:rsidR="00352350">
        <w:t xml:space="preserve">comprendere e </w:t>
      </w:r>
      <w:r>
        <w:t xml:space="preserve">valutare la vigilanza mediata da algoritmi. Raccomandiamo che, in sede di recepimento della direttiva, i governi stanzino risorse di bilancio concrete per: l’assunzione di nuovi ispettori specializzati in modelli di lavoro digitali, l’istituzione o l’ampliamento </w:t>
      </w:r>
      <w:r w:rsidR="00352350">
        <w:t xml:space="preserve">delle</w:t>
      </w:r>
      <w:r>
        <w:t xml:space="preserve"> cosiddette </w:t>
      </w:r>
      <w:r w:rsidR="00352350">
        <w:t xml:space="preserve">unità per </w:t>
      </w:r>
      <w:r w:rsidR="00352350">
        <w:t xml:space="preserve">l’economia </w:t>
      </w:r>
      <w:r w:rsidR="00352350">
        <w:t xml:space="preserve">delle piattaforme </w:t>
      </w:r>
      <w:r>
        <w:t xml:space="preserve">all’interno degli ispettorati esistenti e la garanzia dell’accesso a esperti tecnici in materia di gestione algoritmica per le esigenze dei singoli casi. L’esempio spagnolo dimostra che un’intensa attività ispettiva, unita alla minaccia di responsabilità penale </w:t>
      </w:r>
      <w:r w:rsidR="00D7386B">
        <w:t xml:space="preserve">– </w:t>
      </w:r>
      <w:r>
        <w:t xml:space="preserve">e non solo di sanzioni pecuniarie </w:t>
      </w:r>
      <w:r w:rsidR="00D7386B">
        <w:t xml:space="preserve">– </w:t>
      </w:r>
      <w:r>
        <w:t xml:space="preserve">determina una svolta decisiva nel comportamento delle piattaforme.</w:t>
      </w:r>
    </w:p>
    <w:p w:rsidR="006B029C" w:rsidP="00750824" w:rsidRDefault="006B029C" w14:paraId="0AEE926B" w14:textId="77777777">
      <w:pPr>
        <w:jc w:val="both"/>
      </w:pPr>
    </w:p>
    <w:p w:rsidR="00D90A18" w:rsidP="00750824" w:rsidRDefault="00000000" w14:paraId="51C2E9BD" w14:textId="06788943">
      <w:pPr>
        <w:pStyle w:val="Naslov3"/>
        <w:jc w:val="both"/>
      </w:pPr>
      <w:r>
        <w:t xml:space="preserve">Raccomandazione 3.4 [SUPERA IL MINIMO]: </w:t>
      </w:r>
      <w:r>
        <w:t xml:space="preserve">Responsabilità </w:t>
      </w:r>
      <w:r w:rsidR="00A25A76">
        <w:t xml:space="preserve">solidale </w:t>
      </w:r>
      <w:r>
        <w:t xml:space="preserve">dell’intera catena di intermediari</w:t>
      </w:r>
    </w:p>
    <w:p w:rsidR="00D90A18" w:rsidP="00750824" w:rsidRDefault="00000000" w14:paraId="3D8DE1AF" w14:textId="6F0F5E56">
      <w:pPr>
        <w:jc w:val="both"/>
      </w:pPr>
      <w:r>
        <w:t xml:space="preserve">Si veda integralmente la Raccomandazione 2.3. Nel contesto della presunzione giuridica </w:t>
      </w:r>
      <w:r w:rsidR="00CF3B80">
        <w:t xml:space="preserve">di rapporto di lavoro</w:t>
      </w:r>
      <w:r>
        <w:t xml:space="preserve">, sottolineiamo che </w:t>
      </w:r>
      <w:r>
        <w:t xml:space="preserve">il subappalto </w:t>
      </w:r>
      <w:r>
        <w:t xml:space="preserve">è diventato il meccanismo più diffuso per eludere tale presunzione. Senza </w:t>
      </w:r>
      <w:r>
        <w:t xml:space="preserve">una responsabilità </w:t>
      </w:r>
      <w:r w:rsidR="00A25A76">
        <w:t xml:space="preserve">solidale</w:t>
      </w:r>
      <w:r>
        <w:t xml:space="preserve"> obbligatoria, </w:t>
      </w:r>
      <w:r>
        <w:t xml:space="preserve">qualsiasi presunzione giuridica </w:t>
      </w:r>
      <w:r w:rsidR="00CF3B80">
        <w:t xml:space="preserve">di rapporto di lavoro</w:t>
      </w:r>
      <w:r>
        <w:t xml:space="preserve"> verrà </w:t>
      </w:r>
      <w:r>
        <w:t xml:space="preserve">aggirata semplicemente </w:t>
      </w:r>
      <w:r w:rsidR="00352350">
        <w:t xml:space="preserve">inserendo </w:t>
      </w:r>
      <w:r>
        <w:t xml:space="preserve">un subappaltatore tra la piattaforma e il lavoratore.</w:t>
      </w:r>
    </w:p>
    <w:p w:rsidR="005418CA" w:rsidP="00750824" w:rsidRDefault="005418CA" w14:paraId="69123DCA" w14:textId="77777777">
      <w:pPr>
        <w:jc w:val="both"/>
      </w:pPr>
    </w:p>
    <w:p w:rsidR="00D90A18" w:rsidP="00750824" w:rsidRDefault="00000000" w14:paraId="0717D13E" w14:textId="65383591">
      <w:pPr>
        <w:pStyle w:val="Naslov3"/>
        <w:jc w:val="both"/>
      </w:pPr>
      <w:r>
        <w:t xml:space="preserve">Raccomandazione 3.5 [DIRETTIVA]: Esercizio collettivo della presunzione di rapporto di lavoro da parte dei sindacati</w:t>
      </w:r>
    </w:p>
    <w:p w:rsidR="00983F19" w:rsidP="00750824" w:rsidRDefault="00000000" w14:paraId="37C2E2C2" w14:textId="18A8E766">
      <w:pPr>
        <w:jc w:val="both"/>
      </w:pPr>
      <w:r>
        <w:t xml:space="preserve">L’articolo 19 della direttiva garantisce ai rappresentanti dei lavoratori il diritto di agire in giudizio per conto di uno o più lavoratori. Gli Stati membri dovrebbero rafforzare questo meccanismo stabilendo chiare norme procedurali che consentano ai sindacati di avviare procedimenti collettivi o di gruppo per l’accertamento </w:t>
      </w:r>
      <w:r>
        <w:t xml:space="preserve">dello status</w:t>
      </w:r>
      <w:r w:rsidR="00352350">
        <w:t xml:space="preserve"> lavorativo </w:t>
      </w:r>
      <w:r>
        <w:t xml:space="preserve">senza la necessità del </w:t>
      </w:r>
      <w:r w:rsidR="00352350">
        <w:t xml:space="preserve">consenso individuale </w:t>
      </w:r>
      <w:r>
        <w:t xml:space="preserve">di ciascun lavoratore. Alla conferenza di Lubiana</w:t>
      </w:r>
      <w:r w:rsidR="00352350">
        <w:t xml:space="preserve">, nell’ambito del progetto SDDP</w:t>
      </w:r>
      <w:r>
        <w:t xml:space="preserve">, questa è stata una richiesta comune di tutte le organizzazioni sindacali partner, </w:t>
      </w:r>
      <w:r w:rsidR="00352350">
        <w:t xml:space="preserve">sostenuta anche </w:t>
      </w:r>
      <w:r>
        <w:t xml:space="preserve">dalla CES. Nei paesi in cui le azioni collettive non sono possibili (ad esempio Germania, Slovenia), l’introduzione di questa possibilità per via legislativa è un prerequisito per l’efficace attuazione della direttiva.</w:t>
      </w:r>
    </w:p>
    <w:p w:rsidR="00D90A18" w:rsidP="00750824" w:rsidRDefault="00D90A18" w14:paraId="4A81FEE6" w14:textId="77777777">
      <w:pPr>
        <w:jc w:val="both"/>
      </w:pPr>
    </w:p>
    <w:p w:rsidR="00D90A18" w:rsidP="00750824" w:rsidRDefault="00000000" w14:paraId="781C8FE6" w14:textId="47EC77EB">
      <w:pPr>
        <w:pStyle w:val="Naslov3"/>
        <w:jc w:val="both"/>
      </w:pPr>
      <w:r>
        <w:lastRenderedPageBreak/>
      </w:r>
      <w:r>
        <w:t xml:space="preserve">Raccomandazione 3.6 [SUPERA IL MINIMO]: Il dialogo sociale come percorso parallelo </w:t>
      </w:r>
      <w:r w:rsidR="00D7386B">
        <w:t xml:space="preserve">– </w:t>
      </w:r>
      <w:r>
        <w:t xml:space="preserve">accertamento dello status senza attendere i tribunali</w:t>
      </w:r>
    </w:p>
    <w:p w:rsidR="00983F19" w:rsidP="00750824" w:rsidRDefault="00000000" w14:paraId="7AC95C4B" w14:textId="2E3E2CBC">
      <w:pPr>
        <w:jc w:val="both"/>
      </w:pPr>
      <w:r>
        <w:t xml:space="preserve">La direttiva, all’articolo 29, paragrafi 3 e 4, consente alle parti sociali di attuare le disposizioni della direttiva tramite contratti collettivi, purché siano garantiti gli obiettivi generali della direttiva. Ciò offre l’opportunità </w:t>
      </w:r>
      <w:r w:rsidR="001B1A93">
        <w:t xml:space="preserve">di </w:t>
      </w:r>
      <w:r>
        <w:t xml:space="preserve">estendere i contratti collettivi esistenti in settori affini (ad esempio il settore postale, quello dei trasporti) ai lavoratori delle piattaforme che svolgono un lavoro comparabile. Tale modello </w:t>
      </w:r>
      <w:r>
        <w:t xml:space="preserve">di «contratti collettivi come </w:t>
      </w:r>
      <w:r w:rsidR="001B1A93">
        <w:t xml:space="preserve">ponte» </w:t>
      </w:r>
      <w:r>
        <w:t xml:space="preserve">costituisce l’elemento fondamentale del presente documento: il dialogo sociale non attende </w:t>
      </w:r>
      <w:r>
        <w:t xml:space="preserve">una sentenza giudiziaria </w:t>
      </w:r>
      <w:r w:rsidR="00827187">
        <w:t xml:space="preserve">potenzialmente </w:t>
      </w:r>
      <w:r>
        <w:t xml:space="preserve">di lunga durata che definisca giuridicamente lo status, ma garantisce immediatamente diritti concreti ai lavoratori. Il governo dovrebbe promuovere attivamente accordi di questo tipo attraverso meccanismi di mediazione e incentivi finanziari per le piattaforme che aderiscono volontariamente alla contrattazione collettiva.</w:t>
      </w:r>
    </w:p>
    <w:p w:rsidR="00D90A18" w:rsidP="00750824" w:rsidRDefault="00D90A18" w14:paraId="19E69F43" w14:textId="77777777">
      <w:pPr>
        <w:jc w:val="both"/>
      </w:pPr>
    </w:p>
    <w:p w:rsidR="00D90A18" w:rsidP="00750824" w:rsidRDefault="00000000" w14:paraId="3F78841D" w14:textId="2BFBC407">
      <w:pPr>
        <w:pStyle w:val="Naslov3"/>
        <w:jc w:val="both"/>
      </w:pPr>
      <w:r>
        <w:t xml:space="preserve">Raccomandazione 3.7 [AMBIZIOSA]: Presunzione generale </w:t>
      </w:r>
      <w:r w:rsidR="00CF3B80">
        <w:t xml:space="preserve">di rapporto di lavoro </w:t>
      </w:r>
      <w:r>
        <w:t xml:space="preserve">per tutte le attività</w:t>
      </w:r>
    </w:p>
    <w:p w:rsidR="00983F19" w:rsidP="00750824" w:rsidRDefault="00000000" w14:paraId="0D711DE9" w14:textId="13F86F4A">
      <w:pPr>
        <w:jc w:val="both"/>
      </w:pPr>
      <w:r>
        <w:t xml:space="preserve">Gli Stati membri dovrebbero </w:t>
      </w:r>
      <w:r w:rsidR="00F2754C">
        <w:t xml:space="preserve">cogliere l’occasione offerta dalla direttiva </w:t>
      </w:r>
      <w:r>
        <w:t xml:space="preserve">per un cambiamento sistemico </w:t>
      </w:r>
      <w:r w:rsidR="00F2754C">
        <w:t xml:space="preserve">volto a limitare la diffusione </w:t>
      </w:r>
      <w:r w:rsidR="00F2754C">
        <w:t xml:space="preserve">della precarietà </w:t>
      </w:r>
      <w:r w:rsidR="00F2754C">
        <w:t xml:space="preserve">nel mercato del lavoro</w:t>
      </w:r>
      <w:r>
        <w:t xml:space="preserve">: istituendo una presunzione giuridica generale secondo cui ogni attività lavorativa sia svolta nell’ambito di </w:t>
      </w:r>
      <w:r w:rsidR="00CF3B80">
        <w:t xml:space="preserve">un</w:t>
      </w:r>
      <w:r>
        <w:t xml:space="preserve"> rapporto </w:t>
      </w:r>
      <w:r w:rsidR="00CF3B80">
        <w:t xml:space="preserve">di lavoro</w:t>
      </w:r>
      <w:r>
        <w:t xml:space="preserve">, a meno che il datore di lavoro </w:t>
      </w:r>
      <w:r>
        <w:t xml:space="preserve">non dimostri </w:t>
      </w:r>
      <w:r w:rsidRPr="005418CA">
        <w:rPr>
          <w:b/>
          <w:bCs/>
        </w:rPr>
        <w:t xml:space="preserve">preventivamente </w:t>
      </w:r>
      <w:r>
        <w:t xml:space="preserve">che, nel caso specifico, non sussistano gli elementi </w:t>
      </w:r>
      <w:r w:rsidR="00615F18">
        <w:t xml:space="preserve">di un</w:t>
      </w:r>
      <w:r>
        <w:t xml:space="preserve"> rapporto </w:t>
      </w:r>
      <w:r w:rsidR="00615F18">
        <w:t xml:space="preserve">di lavoro</w:t>
      </w:r>
      <w:r>
        <w:t xml:space="preserve">. La ZSSS, nelle sue linee guida per l’attuazione della direttiva (aprile 2025)</w:t>
      </w:r>
      <w:r w:rsidR="00F2754C">
        <w:t xml:space="preserve">,</w:t>
      </w:r>
      <w:r>
        <w:t xml:space="preserve"> propone questo approccio per la Slovenia</w:t>
      </w:r>
      <w:r w:rsidR="00F2754C">
        <w:t xml:space="preserve">; </w:t>
      </w:r>
      <w:r>
        <w:t xml:space="preserve">lo raccomandiamo come esempio di buona pratica anche agli altri Stati membri dell’UE, poiché comporta l’inversione dell’onere della prova per tutte le forme atipiche di lavoro, non solo per </w:t>
      </w:r>
      <w:r>
        <w:t xml:space="preserve">il lavoro </w:t>
      </w:r>
      <w:r>
        <w:t xml:space="preserve">su piattaforma</w:t>
      </w:r>
      <w:r>
        <w:t xml:space="preserve">.</w:t>
      </w:r>
    </w:p>
    <w:p w:rsidR="005418CA" w:rsidP="00750824" w:rsidRDefault="005418CA" w14:paraId="577A9F2D" w14:textId="77777777">
      <w:pPr>
        <w:jc w:val="both"/>
      </w:pPr>
    </w:p>
    <w:p w:rsidR="00983F19" w:rsidP="00750824" w:rsidRDefault="00000000" w14:paraId="47953129" w14:textId="5AEB9B22">
      <w:pPr>
        <w:jc w:val="both"/>
      </w:pPr>
      <w:r>
        <w:t xml:space="preserve">Parallelamente, </w:t>
      </w:r>
      <w:r w:rsidR="00F2754C">
        <w:t xml:space="preserve">dovrebbe essere </w:t>
      </w:r>
      <w:r>
        <w:t xml:space="preserve">istituito un registro delle forme atipiche di lavoro in cui siano riportati i motivi </w:t>
      </w:r>
      <w:r w:rsidR="00F2754C">
        <w:t xml:space="preserve">che escludono gli elementi </w:t>
      </w:r>
      <w:r>
        <w:t xml:space="preserve">del rapporto di lavoro </w:t>
      </w:r>
      <w:r w:rsidR="00615F18">
        <w:t xml:space="preserve">o l’occupazione</w:t>
      </w:r>
      <w:r>
        <w:t xml:space="preserve">, che consentirebbe alle autorità di controllo di effettuare un monitoraggio sistematico e di acquisire la competenza per accertare l’esistenza di rapporti di lavoro mediante una decisione che costituirebbe la base diretta per l’iscrizione alla previdenza sociale </w:t>
      </w:r>
      <w:r w:rsidR="00F2754C">
        <w:t xml:space="preserve">o per la stipula di un rapporto di lavoro</w:t>
      </w:r>
      <w:r>
        <w:t xml:space="preserve">. Un simile approccio eliminerebbe la debolezza fondamentale dell’attuale normativa</w:t>
      </w:r>
      <w:r w:rsidR="00D7386B">
        <w:t xml:space="preserve">: </w:t>
      </w:r>
      <w:r>
        <w:t xml:space="preserve">oggi il lavoratore si fa carico dell’intero onere probatorio e rischia un lungo procedimento giudiziario, </w:t>
      </w:r>
      <w:r>
        <w:rPr>
          <w:b/>
          <w:bCs/>
        </w:rPr>
        <w:t xml:space="preserve">mentre il datore di lavoro, che ha creato tale rapporto, resta comodamente in attesa</w:t>
      </w:r>
      <w:r>
        <w:t xml:space="preserve">. La direttiva non solo consente un approccio più ambizioso di questo, ma lo incoraggia espressamente nello spirito degli articoli 26 e 6 (quadro delle misure di sostegno).</w:t>
      </w:r>
    </w:p>
    <w:p w:rsidR="00D90A18" w:rsidP="00750824" w:rsidRDefault="00D90A18" w14:paraId="418BD09B" w14:textId="77777777">
      <w:pPr>
        <w:jc w:val="both"/>
      </w:pPr>
    </w:p>
    <w:p w:rsidR="00983F19" w:rsidP="00750824" w:rsidRDefault="00000000" w14:paraId="2BCE9490" w14:textId="77777777">
      <w:pPr>
        <w:jc w:val="both"/>
      </w:pPr>
      <w:r>
        <w:rPr>
          <w:i/>
          <w:iCs/>
        </w:rPr>
        <w:t xml:space="preserve">Fonti: Relazione del gruppo di esperti per il recepimento della direttiva (UE) 2024/2831 (gennaio 2026); Atti della conferenza intermedia SDDP, Lubiana, maggio 2025; Linee guida della ZSSS per l’attuazione della Direttiva UE 2024/2831 (aprile 2025, adottate nella 13ª seduta della Presidenza della ZSSS).</w:t>
      </w:r>
    </w:p>
    <w:p w:rsidR="00750824" w:rsidRDefault="00750824" w14:paraId="756DEE11" w14:textId="77777777">
      <w:pPr>
        <w:rPr>
          <w:b/>
          <w:bCs/>
          <w:color w:val="1F3864"/>
          <w:sz w:val="36"/>
          <w:szCs w:val="36"/>
        </w:rPr>
      </w:pPr>
      <w:bookmarkStart w:name="X8e939e3967694a792ac80ce4c2e3272ea45726e" w:id="27"/>
      <w:bookmarkEnd w:id="10"/>
      <w:bookmarkEnd w:id="26"/>
      <w:r>
        <w:br w:type="page"/>
      </w:r>
    </w:p>
    <w:p w:rsidR="00983F19" w:rsidP="00750824" w:rsidRDefault="00000000" w14:paraId="2F263261" w14:textId="42F96A40">
      <w:pPr>
        <w:pStyle w:val="Naslov1"/>
        <w:jc w:val="both"/>
      </w:pPr>
      <w:bookmarkStart w:name="_Toc233699488" w:id="28"/>
      <w:r>
        <w:lastRenderedPageBreak/>
      </w:r>
      <w:r>
        <w:t xml:space="preserve">Capitolo 4: Gestione algoritmica e controllo umano</w:t>
      </w:r>
      <w:bookmarkEnd w:id="28"/>
    </w:p>
    <w:p w:rsidR="00983F19" w:rsidP="00750824" w:rsidRDefault="00000000" w14:paraId="67677373" w14:textId="77777777">
      <w:pPr>
        <w:pStyle w:val="Naslov2"/>
        <w:jc w:val="both"/>
      </w:pPr>
      <w:bookmarkStart w:name="_Toc233699489" w:id="29"/>
      <w:bookmarkStart w:name="zahteve-direktive-1" w:id="30"/>
      <w:r>
        <w:t xml:space="preserve">4.1 Requisiti della direttiva</w:t>
      </w:r>
      <w:bookmarkEnd w:id="29"/>
    </w:p>
    <w:p w:rsidR="00983F19" w:rsidP="00750824" w:rsidRDefault="00000000" w14:paraId="06C4F62C" w14:textId="3B67F9E5">
      <w:pPr>
        <w:jc w:val="both"/>
      </w:pPr>
      <w:r>
        <w:t xml:space="preserve">La direttiva </w:t>
      </w:r>
      <w:r>
        <w:t xml:space="preserve">dedica l’intero capitolo III (articoli 7–15) </w:t>
      </w:r>
      <w:r w:rsidR="00557445">
        <w:t xml:space="preserve">alla gestione algoritmica</w:t>
      </w:r>
      <w:r>
        <w:t xml:space="preserve">, il che riflette </w:t>
      </w:r>
      <w:r w:rsidR="0069475D">
        <w:t xml:space="preserve">la consapevolezza </w:t>
      </w:r>
      <w:r>
        <w:t xml:space="preserve">che la gestione automatizzata dei lavoratori sia una caratteristica centrale </w:t>
      </w:r>
      <w:r>
        <w:t xml:space="preserve">del lavoro </w:t>
      </w:r>
      <w:r>
        <w:t xml:space="preserve">su piattaforma </w:t>
      </w:r>
      <w:r>
        <w:t xml:space="preserve">e, al contempo, una delle sue maggiori sfide. La direttiva stabilisce tre pilastri della regolamentazione della gestione algoritmica: le limitazioni al trattamento dei dati personali, i requisiti di trasparenza e i diritti al controllo umano e alla revisione delle decisioni.</w:t>
      </w:r>
    </w:p>
    <w:p w:rsidR="00D90A18" w:rsidP="00750824" w:rsidRDefault="00D90A18" w14:paraId="4D249EF8" w14:textId="77777777">
      <w:pPr>
        <w:jc w:val="both"/>
      </w:pPr>
    </w:p>
    <w:p w:rsidR="00983F19" w:rsidP="00750824" w:rsidRDefault="00000000" w14:paraId="10F377A6" w14:textId="77777777">
      <w:pPr>
        <w:jc w:val="both"/>
      </w:pPr>
      <w:r>
        <w:rPr>
          <w:b/>
          <w:bCs/>
        </w:rPr>
        <w:t xml:space="preserve">Le limitazioni al trattamento dei dati (articolo 7) </w:t>
      </w:r>
      <w:r>
        <w:t xml:space="preserve">costituiscono divieti assoluti che le piattaforme non possono violare in nessun caso. Alle piattaforme è espressamente vietato:</w:t>
      </w:r>
    </w:p>
    <w:p w:rsidR="00D90A18" w:rsidP="00750824" w:rsidRDefault="00D90A18" w14:paraId="6741CFD4" w14:textId="77777777">
      <w:pPr>
        <w:jc w:val="both"/>
      </w:pPr>
    </w:p>
    <w:p w:rsidR="00983F19" w:rsidP="00750824" w:rsidRDefault="00000000" w14:paraId="62CEDE84" w14:textId="77777777">
      <w:pPr>
        <w:numPr>
          <w:ilvl w:val="0"/>
          <w:numId w:val="3"/>
        </w:numPr>
        <w:jc w:val="both"/>
      </w:pPr>
      <w:r>
        <w:t xml:space="preserve">elaborare in modo automatizzato i dati relativi allo stato emotivo o psicologico dei lavoratori,</w:t>
      </w:r>
    </w:p>
    <w:p w:rsidR="00983F19" w:rsidP="00750824" w:rsidRDefault="00000000" w14:paraId="353B5A60" w14:textId="77777777">
      <w:pPr>
        <w:numPr>
          <w:ilvl w:val="0"/>
          <w:numId w:val="3"/>
        </w:numPr>
        <w:jc w:val="both"/>
      </w:pPr>
      <w:r>
        <w:t xml:space="preserve">accedere a conversazioni private tra i lavoratori o tra i lavoratori e i loro rappresentanti,</w:t>
      </w:r>
    </w:p>
    <w:p w:rsidR="00983F19" w:rsidP="00750824" w:rsidRDefault="00000000" w14:paraId="4106E858" w14:textId="77777777">
      <w:pPr>
        <w:numPr>
          <w:ilvl w:val="0"/>
          <w:numId w:val="3"/>
        </w:numPr>
        <w:jc w:val="both"/>
      </w:pPr>
      <w:r>
        <w:t xml:space="preserve">raccogliere dati personali al di fuori dell’orario di lavoro (quando il lavoratore non offre né svolge attività lavorativa),</w:t>
      </w:r>
    </w:p>
    <w:p w:rsidR="00983F19" w:rsidP="00750824" w:rsidRDefault="00000000" w14:paraId="410C5F25" w14:textId="77777777">
      <w:pPr>
        <w:numPr>
          <w:ilvl w:val="0"/>
          <w:numId w:val="3"/>
        </w:numPr>
        <w:jc w:val="both"/>
      </w:pPr>
      <w:r>
        <w:t xml:space="preserve">elaborare dati per prevedere l’esercizio dei diritti fondamentali (compresa l’affiliazione sindacale e lo sciopero) e trarre conclusioni sull’origine razziale o etnica, lo stato di salute, l’appartenenza sindacale o altre categorie particolari di dati sulla base di altri dati personali.</w:t>
      </w:r>
    </w:p>
    <w:p w:rsidR="00D90A18" w:rsidP="00750824" w:rsidRDefault="00D90A18" w14:paraId="12AAECDB" w14:textId="77777777">
      <w:pPr>
        <w:ind w:start="720"/>
        <w:jc w:val="both"/>
      </w:pPr>
    </w:p>
    <w:p w:rsidR="00983F19" w:rsidP="00750824" w:rsidRDefault="00000000" w14:paraId="424D3BF0" w14:textId="234A481F">
      <w:pPr>
        <w:jc w:val="both"/>
      </w:pPr>
      <w:r>
        <w:t xml:space="preserve">Come spiegato dal gruppo di esperti </w:t>
      </w:r>
      <w:r w:rsidR="0069475D">
        <w:t xml:space="preserve">della Commissione europea </w:t>
      </w:r>
      <w:r>
        <w:t xml:space="preserve">incaricato del recepimento della direttiva, tali divieti hanno un ambito di applicazione più ampio rispetto al Regolamento generale sulla protezione dei dati (GDPR) e all’Atto sull’intelligenza artificiale (</w:t>
      </w:r>
      <w:r>
        <w:t xml:space="preserve">«AI </w:t>
      </w:r>
      <w:r w:rsidR="005418CA">
        <w:t xml:space="preserve">Act»</w:t>
      </w:r>
      <w:r w:rsidR="0069475D">
        <w:t xml:space="preserve">).</w:t>
      </w:r>
      <w:r>
        <w:t xml:space="preserve"> </w:t>
      </w:r>
      <w:r>
        <w:t xml:space="preserve">Esse riguardano tutti i sistemi automatizzati, non solo quelli di intelligenza artificiale, e non ammettono deroghe basate sul consenso del lavoratore, poiché il consenso, nel contesto del rapporto di potere tra la piattaforma e il lavoratore, non può essere libero.</w:t>
      </w:r>
    </w:p>
    <w:p w:rsidR="00D90A18" w:rsidP="00750824" w:rsidRDefault="00D90A18" w14:paraId="280150BD" w14:textId="77777777">
      <w:pPr>
        <w:jc w:val="both"/>
      </w:pPr>
    </w:p>
    <w:p w:rsidR="00983F19" w:rsidP="00750824" w:rsidRDefault="00BB574B" w14:paraId="55832160" w14:textId="14EF0076">
      <w:pPr>
        <w:jc w:val="both"/>
      </w:pPr>
      <w:r>
        <w:rPr>
          <w:b/>
          <w:bCs/>
        </w:rPr>
        <w:t xml:space="preserve">L’articolo 9 (Trasparenza) </w:t>
      </w:r>
      <w:r>
        <w:t xml:space="preserve">richiede che le piattaforme forniscano ai lavoratori, ai loro rappresentanti e alle autorità competenti informazioni dettagliate sul funzionamento dei sistemi automatizzati di monitoraggio e di decisione. Ciò include le categorie di dati trattati dai sistemi, i parametri che influenzano le decisioni e l’importanza relativa dei singoli parametri. Particolarmente importante è l’obbligo di comunicare i motivi delle decisioni relative alla limitazione, alla sospensione temporanea o alla chiusura dell’account del lavoratore, nonché al rifiuto di pagare il lavoro svolto. Le informazioni devono essere fornite in un linguaggio chiaro e comprensibile e i lavoratori devono riceverle al più tardi il primo giorno lavorativo e prima di ogni modifica che incida sulle condizioni di lavoro.</w:t>
      </w:r>
    </w:p>
    <w:p w:rsidR="00D90A18" w:rsidP="00750824" w:rsidRDefault="00D90A18" w14:paraId="22A43AFD" w14:textId="77777777">
      <w:pPr>
        <w:jc w:val="both"/>
      </w:pPr>
    </w:p>
    <w:p w:rsidR="00983F19" w:rsidP="00750824" w:rsidRDefault="00BB574B" w14:paraId="1177D0F5" w14:textId="1AD19168">
      <w:pPr>
        <w:jc w:val="both"/>
      </w:pPr>
      <w:r>
        <w:rPr>
          <w:b/>
          <w:bCs/>
        </w:rPr>
        <w:t xml:space="preserve">L’articolo 10 (Controllo umano) </w:t>
      </w:r>
      <w:r>
        <w:t xml:space="preserve">impone agli Stati membri di garantire un controllo regolare e una valutazione dell’impatto dei sistemi automatizzati sulle condizioni di lavoro, compresa la valutazione del rischio di discriminazione. Le piattaforme devono garantire risorse umane sufficienti per il controllo; le persone incaricate del controllo devono disporre delle competenze adeguate e delle autorizzazioni necessarie per annullare le decisioni automatizzate. Ogni decisione relativa alla limitazione o alla chiusura di un account deve essere confermata da una persona.</w:t>
      </w:r>
    </w:p>
    <w:p w:rsidR="00D90A18" w:rsidP="00750824" w:rsidRDefault="00D90A18" w14:paraId="3C9800B3" w14:textId="77777777">
      <w:pPr>
        <w:jc w:val="both"/>
      </w:pPr>
    </w:p>
    <w:p w:rsidR="00983F19" w:rsidP="00750824" w:rsidRDefault="00BB574B" w14:paraId="2E5FA79F" w14:textId="1732E3A8">
      <w:pPr>
        <w:jc w:val="both"/>
      </w:pPr>
      <w:r>
        <w:rPr>
          <w:b/>
          <w:bCs/>
        </w:rPr>
        <w:lastRenderedPageBreak/>
      </w:r>
      <w:r>
        <w:rPr>
          <w:b/>
          <w:bCs/>
        </w:rPr>
        <w:t xml:space="preserve">L’articolo 11 (Diritto alla revisione umana) </w:t>
      </w:r>
      <w:r>
        <w:t xml:space="preserve">conferisce ai lavoratori il diritto di ottenere una motivazione e di richiedere la revisione di ogni decisione presa da un sistema automatizzato che incida in modo significativo sulle loro condizioni di lavoro. La piattaforma deve fornire una motivazione senza indebito ritardo, al più tardi il giorno in cui la decisione entra in vigore. Il lavoratore o i suoi rappresentanti possono richiedere una revisione della decisione da parte di un essere umano, e la piattaforma deve rispondere con una decisione motivata senza indebiti ritardi.</w:t>
      </w:r>
    </w:p>
    <w:p w:rsidR="00D90A18" w:rsidP="00750824" w:rsidRDefault="00D90A18" w14:paraId="26AE5B60" w14:textId="77777777">
      <w:pPr>
        <w:jc w:val="both"/>
      </w:pPr>
    </w:p>
    <w:p w:rsidR="00983F19" w:rsidP="00750824" w:rsidRDefault="00BB574B" w14:paraId="09F438D6" w14:textId="15EAB0FB">
      <w:pPr>
        <w:jc w:val="both"/>
      </w:pPr>
      <w:r>
        <w:rPr>
          <w:b/>
          <w:bCs/>
        </w:rPr>
        <w:t xml:space="preserve">L’articolo 12 (Sicurezza e salute) </w:t>
      </w:r>
      <w:r>
        <w:t xml:space="preserve">vieta espressamente l’uso di algoritmi che esercitino una pressione sproporzionata sui lavoratori o mettano a rischio la loro salute fisica o mentale. Ciò include il divieto di sistemi che incoraggino comportamenti pericolosi (ad esempio, l’eccessiva velocità da parte dei corrieri) o che impediscano le pause necessarie.</w:t>
      </w:r>
    </w:p>
    <w:p w:rsidR="00983F19" w:rsidP="00750824" w:rsidRDefault="00000000" w14:paraId="79351DBD" w14:textId="77777777">
      <w:pPr>
        <w:pStyle w:val="Naslov2"/>
        <w:jc w:val="both"/>
      </w:pPr>
      <w:bookmarkStart w:name="_Toc233699490" w:id="31"/>
      <w:bookmarkStart w:name="ugotovitve-iz-prakse-1" w:id="32"/>
      <w:bookmarkEnd w:id="30"/>
      <w:r>
        <w:t xml:space="preserve">4.2 Risultati emersi dalla pratica</w:t>
      </w:r>
      <w:bookmarkEnd w:id="31"/>
    </w:p>
    <w:p w:rsidR="00983F19" w:rsidP="00750824" w:rsidRDefault="00000000" w14:paraId="05C2DE1D" w14:textId="77777777">
      <w:pPr>
        <w:pStyle w:val="Naslov3"/>
        <w:jc w:val="both"/>
      </w:pPr>
      <w:bookmarkStart w:name="algoritem-kot-šef-v-stroju" w:id="33"/>
      <w:r>
        <w:t xml:space="preserve">L’algoritmo come «capo nella macchina»</w:t>
      </w:r>
    </w:p>
    <w:p w:rsidR="00983F19" w:rsidP="00750824" w:rsidRDefault="00000000" w14:paraId="1FCFBB28" w14:textId="72E72BD0">
      <w:pPr>
        <w:jc w:val="both"/>
      </w:pPr>
      <w:r>
        <w:t xml:space="preserve">La pratica </w:t>
      </w:r>
      <w:r>
        <w:t xml:space="preserve">del lavoro </w:t>
      </w:r>
      <w:r>
        <w:t xml:space="preserve">su piattaforma </w:t>
      </w:r>
      <w:r>
        <w:t xml:space="preserve">rivela che la gestione algoritmica non rappresenta solo uno strumento tecnico per l’organizzazione del lavoro, ma un sistema di controllo completo che assume tutte le classiche funzioni di gestione</w:t>
      </w:r>
      <w:r w:rsidR="00D7386B">
        <w:t xml:space="preserve">: </w:t>
      </w:r>
      <w:r>
        <w:t xml:space="preserve">assegnazione dei compiti, valutazione delle prestazioni, monitoraggio, </w:t>
      </w:r>
      <w:r w:rsidR="00944A43">
        <w:t xml:space="preserve">sanzioni </w:t>
      </w:r>
      <w:r>
        <w:t xml:space="preserve">e licenziamenti </w:t>
      </w:r>
      <w:r w:rsidR="00D7386B">
        <w:t xml:space="preserve">– </w:t>
      </w:r>
      <w:r>
        <w:t xml:space="preserve">spesso senza alcun intervento umano.</w:t>
      </w:r>
    </w:p>
    <w:p w:rsidR="00D90A18" w:rsidP="00750824" w:rsidRDefault="00D90A18" w14:paraId="7F4B9EFB" w14:textId="77777777">
      <w:pPr>
        <w:jc w:val="both"/>
      </w:pPr>
    </w:p>
    <w:p w:rsidR="00983F19" w:rsidP="00750824" w:rsidRDefault="00000000" w14:paraId="131EFEE5" w14:textId="0BC879B3">
      <w:pPr>
        <w:jc w:val="both"/>
      </w:pPr>
      <w:r w:rsidR="00944A43">
        <w:t xml:space="preserve">Il caso</w:t>
      </w:r>
      <w:r>
        <w:t xml:space="preserve"> austriaco </w:t>
      </w:r>
      <w:r>
        <w:t xml:space="preserve">illustra chiaramente il meccanismo di questo controllo attraverso tre livelli: al primo </w:t>
      </w:r>
      <w:r>
        <w:rPr>
          <w:b/>
          <w:bCs/>
        </w:rPr>
        <w:t xml:space="preserve">livello</w:t>
      </w:r>
      <w:r>
        <w:t xml:space="preserve">, </w:t>
      </w:r>
      <w:r>
        <w:rPr>
          <w:b/>
          <w:bCs/>
        </w:rPr>
        <w:t xml:space="preserve">quello dei dati</w:t>
      </w:r>
      <w:r>
        <w:t xml:space="preserve">, la piattaforma registra ininterrottamente tramite smartphone dati che un responsabile umano non avrebbe mai potuto monitorare: posizione GPS, accelerazione, tempi di inattività, velocità di risposta agli </w:t>
      </w:r>
      <w:r w:rsidR="00944A43">
        <w:t xml:space="preserve">ordini…</w:t>
      </w:r>
    </w:p>
    <w:p w:rsidR="00D90A18" w:rsidP="00750824" w:rsidRDefault="00D90A18" w14:paraId="27254679" w14:textId="77777777">
      <w:pPr>
        <w:jc w:val="both"/>
      </w:pPr>
    </w:p>
    <w:p w:rsidR="00983F19" w:rsidP="00750824" w:rsidRDefault="00000000" w14:paraId="5C0D5B09" w14:textId="2ECE3FAC">
      <w:pPr>
        <w:jc w:val="both"/>
      </w:pPr>
      <w:r>
        <w:t xml:space="preserve">Al secondo </w:t>
      </w:r>
      <w:r>
        <w:rPr>
          <w:b/>
          <w:bCs/>
        </w:rPr>
        <w:t xml:space="preserve">livello</w:t>
      </w:r>
      <w:r>
        <w:t xml:space="preserve">, </w:t>
      </w:r>
      <w:r>
        <w:rPr>
          <w:b/>
          <w:bCs/>
        </w:rPr>
        <w:t xml:space="preserve">quello dei processi</w:t>
      </w:r>
      <w:r>
        <w:t xml:space="preserve">, questi dati vengono trasformati in </w:t>
      </w:r>
      <w:r>
        <w:t xml:space="preserve">metriche di rendimento </w:t>
      </w:r>
      <w:r>
        <w:t xml:space="preserve">non trasparenti</w:t>
      </w:r>
      <w:r>
        <w:t xml:space="preserve">, che determinano la permanenza del lavoratore sulla piattaforma. Un esempio emblematico è la cosiddetta </w:t>
      </w:r>
      <w:r w:rsidR="00A275F6">
        <w:t xml:space="preserve">«</w:t>
      </w:r>
      <w:r>
        <w:t xml:space="preserve">valutazione </w:t>
      </w:r>
      <w:r w:rsidR="00A275F6">
        <w:t xml:space="preserve">di eccellenza», </w:t>
      </w:r>
      <w:r>
        <w:t xml:space="preserve">utilizzata ad esempio </w:t>
      </w:r>
      <w:r>
        <w:t xml:space="preserve">da Foodora</w:t>
      </w:r>
      <w:r w:rsidR="00D7386B">
        <w:t xml:space="preserve">: </w:t>
      </w:r>
      <w:r>
        <w:t xml:space="preserve">un indicatore </w:t>
      </w:r>
      <w:r>
        <w:t xml:space="preserve">gamificato </w:t>
      </w:r>
      <w:r>
        <w:t xml:space="preserve">da 0 a 100, calcolato sulla base delle valutazioni dei clienti, dell’efficienza e della disponibilità nei periodi di maggiore domanda. Un punteggio più alto consente l’accesso prioritario al calendario dei turni e ai turni più redditizi</w:t>
      </w:r>
      <w:r w:rsidR="00A275F6">
        <w:t xml:space="preserve">, mentre </w:t>
      </w:r>
      <w:r>
        <w:t xml:space="preserve">un punteggio più basso penalizza di fatto il lavoratore per aver usufruito del proprio tempo libero.</w:t>
      </w:r>
    </w:p>
    <w:p w:rsidR="00D90A18" w:rsidP="00750824" w:rsidRDefault="00D90A18" w14:paraId="076A4243" w14:textId="77777777">
      <w:pPr>
        <w:jc w:val="both"/>
      </w:pPr>
    </w:p>
    <w:p w:rsidR="00983F19" w:rsidP="00750824" w:rsidRDefault="00000000" w14:paraId="127CBD97" w14:textId="7110B01F">
      <w:pPr>
        <w:jc w:val="both"/>
      </w:pPr>
      <w:r>
        <w:t xml:space="preserve">Al terzo </w:t>
      </w:r>
      <w:r>
        <w:rPr>
          <w:b/>
          <w:bCs/>
        </w:rPr>
        <w:t xml:space="preserve">livello</w:t>
      </w:r>
      <w:r>
        <w:t xml:space="preserve">, </w:t>
      </w:r>
      <w:r>
        <w:rPr>
          <w:b/>
          <w:bCs/>
        </w:rPr>
        <w:t xml:space="preserve">quello esecutivo</w:t>
      </w:r>
      <w:r>
        <w:t xml:space="preserve">, il sistema non si limita a formulare raccomandazioni, ma attua autonomamente le decisioni </w:t>
      </w:r>
      <w:r w:rsidR="00D7386B">
        <w:t xml:space="preserve">– </w:t>
      </w:r>
      <w:r>
        <w:t xml:space="preserve">compreso il cosiddetto </w:t>
      </w:r>
      <w:r>
        <w:t xml:space="preserve">“licenziamento </w:t>
      </w:r>
      <w:r w:rsidR="00A275F6">
        <w:t xml:space="preserve">robotico” </w:t>
      </w:r>
      <w:r>
        <w:t xml:space="preserve">(</w:t>
      </w:r>
      <w:r w:rsidR="00A275F6">
        <w:t xml:space="preserve">«robo-firing</w:t>
      </w:r>
      <w:r>
        <w:t xml:space="preserve">»), in cui l’account di un lavoratore viene automaticamente </w:t>
      </w:r>
      <w:r>
        <w:t xml:space="preserve">disattivato </w:t>
      </w:r>
      <w:r>
        <w:t xml:space="preserve">se i suoi indicatori scendono al di sotto di una soglia prestabilita (ad esempio, un tasso di annullamento degli ordini del 20% su </w:t>
      </w:r>
      <w:r>
        <w:t xml:space="preserve">Uber</w:t>
      </w:r>
      <w:r>
        <w:t xml:space="preserve">), spesso senza alcuna verifica umana o possibilità di chiarimento. Questo sistema crea un ambiente </w:t>
      </w:r>
      <w:r w:rsidR="00A275F6">
        <w:t xml:space="preserve">di</w:t>
      </w:r>
      <w:r>
        <w:t xml:space="preserve"> costante </w:t>
      </w:r>
      <w:r w:rsidR="00A275F6">
        <w:t xml:space="preserve">«tecnostress», </w:t>
      </w:r>
      <w:r>
        <w:t xml:space="preserve">in cui la paura dell’algoritmo alimenta modelli comportamentali pericolosi</w:t>
      </w:r>
      <w:r w:rsidR="00A275F6">
        <w:t xml:space="preserve">, </w:t>
      </w:r>
      <w:r>
        <w:t xml:space="preserve">dall’eccessiva velocità dei </w:t>
      </w:r>
      <w:r w:rsidR="00A275F6">
        <w:t xml:space="preserve">corrieri </w:t>
      </w:r>
      <w:r>
        <w:t xml:space="preserve">alla rinuncia alle pause</w:t>
      </w:r>
      <w:r w:rsidR="00A275F6">
        <w:t xml:space="preserve">, </w:t>
      </w:r>
      <w:r>
        <w:t xml:space="preserve">oltre a un’ansia cronica tra i lavoratori.</w:t>
      </w:r>
    </w:p>
    <w:p w:rsidR="00983F19" w:rsidP="00750824" w:rsidRDefault="00000000" w14:paraId="5681F4A3" w14:textId="77777777">
      <w:pPr>
        <w:pStyle w:val="Naslov3"/>
        <w:jc w:val="both"/>
      </w:pPr>
      <w:bookmarkStart w:name="izkušnje-iz-držav-partneric-projekta" w:id="34"/>
      <w:bookmarkEnd w:id="33"/>
      <w:r>
        <w:t xml:space="preserve">Esperienze dei paesi partner del progetto</w:t>
      </w:r>
    </w:p>
    <w:p w:rsidR="00983F19" w:rsidP="00750824" w:rsidRDefault="00000000" w14:paraId="5293068D" w14:textId="0693E896">
      <w:pPr>
        <w:jc w:val="both"/>
      </w:pPr>
      <w:r>
        <w:rPr>
          <w:b/>
          <w:bCs/>
        </w:rPr>
        <w:t xml:space="preserve">In Austria</w:t>
      </w:r>
      <w:r>
        <w:t xml:space="preserve">, </w:t>
      </w:r>
      <w:r>
        <w:t xml:space="preserve">nel 2020 è stato firmato il primo contratto collettivo di settore per </w:t>
      </w:r>
      <w:r>
        <w:t xml:space="preserve">i corrieri </w:t>
      </w:r>
      <w:r>
        <w:t xml:space="preserve">delle piattaforme</w:t>
      </w:r>
      <w:r>
        <w:t xml:space="preserve">, stipulato tra il sindacato </w:t>
      </w:r>
      <w:r w:rsidR="00A275F6">
        <w:t xml:space="preserve">VIDA </w:t>
      </w:r>
      <w:r>
        <w:t xml:space="preserve">e le associazioni dei datori di lavoro. Il contratto ha garantito salari minimi (oltre 1.730 </w:t>
      </w:r>
      <w:r w:rsidR="00A275F6">
        <w:t xml:space="preserve">euro</w:t>
      </w:r>
      <w:r>
        <w:t xml:space="preserve"> fino al 2023</w:t>
      </w:r>
      <w:r>
        <w:t xml:space="preserve">) e indennità per le attrezzature, ma si è rivelato molto meno efficace nel regolamentare l’algoritmo stesso </w:t>
      </w:r>
      <w:r w:rsidR="00D7386B">
        <w:t xml:space="preserve">– </w:t>
      </w:r>
      <w:r>
        <w:t xml:space="preserve">infatti non contiene disposizioni comparabili in materia di trasparenza dei dati, come quelle previste dagli accordi in</w:t>
      </w:r>
      <w:r>
        <w:lastRenderedPageBreak/>
      </w:r>
      <w:r>
        <w:t xml:space="preserve"> Spagna o in Danimarca. Il conflitto centrale nel mercato del lavoro austriaco rimane lo status </w:t>
      </w:r>
      <w:r w:rsidR="00A275F6">
        <w:t xml:space="preserve">di «lavoratore autonomo» </w:t>
      </w:r>
      <w:r>
        <w:t xml:space="preserve">(</w:t>
      </w:r>
      <w:r>
        <w:t xml:space="preserve">«Freier </w:t>
      </w:r>
      <w:r w:rsidR="00A275F6">
        <w:t xml:space="preserve">Dienstnehmer»</w:t>
      </w:r>
      <w:r>
        <w:t xml:space="preserve">), una figura ibrida a metà strada tra dipendente e lavoratore autonomo, di cui piattaforme come </w:t>
      </w:r>
      <w:r>
        <w:t xml:space="preserve">Foodora </w:t>
      </w:r>
      <w:r>
        <w:t xml:space="preserve">e </w:t>
      </w:r>
      <w:r>
        <w:t xml:space="preserve">Lieferando </w:t>
      </w:r>
      <w:r>
        <w:t xml:space="preserve">si avvalgono in modo aggressivo. La riforma, che entrerà in vigore nel gennaio 2026, introduce termini di preavviso previsti dalla legge e la possibilità di includere i liberi collaboratori nei contratti collettivi</w:t>
      </w:r>
      <w:r w:rsidR="003A5607">
        <w:t xml:space="preserve">, </w:t>
      </w:r>
      <w:r>
        <w:t xml:space="preserve">aprendo così la strada a negoziazioni sulle tutele algoritmiche anche per questa categoria </w:t>
      </w:r>
      <w:r w:rsidR="003A5607">
        <w:t xml:space="preserve">di lavoratori</w:t>
      </w:r>
      <w:r>
        <w:t xml:space="preserve">.</w:t>
      </w:r>
    </w:p>
    <w:p w:rsidR="00D90A18" w:rsidP="00750824" w:rsidRDefault="00D90A18" w14:paraId="6D6F3A4B" w14:textId="77777777">
      <w:pPr>
        <w:jc w:val="both"/>
      </w:pPr>
    </w:p>
    <w:p w:rsidR="00983F19" w:rsidP="00750824" w:rsidRDefault="00000000" w14:paraId="5F1C3EBD" w14:textId="363F28E3">
      <w:pPr>
        <w:jc w:val="both"/>
      </w:pPr>
      <w:r>
        <w:t xml:space="preserve">In Austria</w:t>
      </w:r>
      <w:r>
        <w:t xml:space="preserve">,</w:t>
      </w:r>
      <w:r>
        <w:t xml:space="preserve"> la definizione </w:t>
      </w:r>
      <w:r w:rsidR="003A5607">
        <w:t xml:space="preserve">di «sede di lavoro» </w:t>
      </w:r>
      <w:r>
        <w:t xml:space="preserve">(</w:t>
      </w:r>
      <w:r w:rsidR="003A5607">
        <w:t xml:space="preserve">«Betrieb</w:t>
      </w:r>
      <w:r>
        <w:t xml:space="preserve">») </w:t>
      </w:r>
      <w:r>
        <w:t xml:space="preserve">rimane una sfida strutturale</w:t>
      </w:r>
      <w:r>
        <w:t xml:space="preserve">: la legislazione austriaca richiede una sede fisica per l’istituzione di un consiglio dei lavoratori, il che consente alle piattaforme gestite centralmente da Berlino o altrove di eludere la cogestione dei lavoratori. Mentre i corrieri </w:t>
      </w:r>
      <w:r>
        <w:t xml:space="preserve">di Foodora</w:t>
      </w:r>
      <w:r>
        <w:t xml:space="preserve"> sono riusciti a </w:t>
      </w:r>
      <w:r>
        <w:t xml:space="preserve">costituire con successo un comitato dei lavoratori, </w:t>
      </w:r>
      <w:r>
        <w:t xml:space="preserve">Lieferando</w:t>
      </w:r>
      <w:r>
        <w:t xml:space="preserve"> ha </w:t>
      </w:r>
      <w:r>
        <w:t xml:space="preserve">contestato giuridicamente tentativi simili.</w:t>
      </w:r>
    </w:p>
    <w:p w:rsidR="00D90A18" w:rsidP="00750824" w:rsidRDefault="00D90A18" w14:paraId="599FBD4A" w14:textId="77777777">
      <w:pPr>
        <w:jc w:val="both"/>
      </w:pPr>
    </w:p>
    <w:p w:rsidR="00983F19" w:rsidP="00750824" w:rsidRDefault="00000000" w14:paraId="602D978C" w14:textId="1838B825">
      <w:pPr>
        <w:jc w:val="both"/>
      </w:pPr>
      <w:r>
        <w:rPr>
          <w:b/>
          <w:bCs/>
        </w:rPr>
        <w:t xml:space="preserve">La Slovenia </w:t>
      </w:r>
      <w:r>
        <w:t xml:space="preserve">si trova ad affrontare il dominio caratteristico di un’unica piattaforma, </w:t>
      </w:r>
      <w:r>
        <w:t xml:space="preserve">Wolt</w:t>
      </w:r>
      <w:r>
        <w:t xml:space="preserve">, in cui i lavoratori operano come lavoratori autonomi senza avere accesso alle informazioni sul funzionamento dell’algoritmo. Il dibattito durante la conferenza ha rivelato che spesso i lavoratori non comprendono nemmeno che è l’algoritmo a determinare le loro condizioni di lavoro </w:t>
      </w:r>
      <w:r w:rsidR="00D7386B">
        <w:t xml:space="preserve">– </w:t>
      </w:r>
      <w:r>
        <w:t xml:space="preserve">dall’assegnazione degli incarichi al reddito effettivo. L’organizzazione è ulteriormente ostacolata dal fatto che gran parte dei lavoratori è costituita da migranti che lavorano con visti per studenti, non conoscono i propri diritti e si trovano in </w:t>
      </w:r>
      <w:r>
        <w:t xml:space="preserve">una situazione </w:t>
      </w:r>
      <w:r>
        <w:t xml:space="preserve">ancora più </w:t>
      </w:r>
      <w:r>
        <w:t xml:space="preserve">precaria</w:t>
      </w:r>
      <w:r>
        <w:t xml:space="preserve">. Una constatazione fondamentale per la Slovenia </w:t>
      </w:r>
      <w:r w:rsidR="003A5607">
        <w:t xml:space="preserve">è che </w:t>
      </w:r>
      <w:r>
        <w:t xml:space="preserve">molti lavoratori si aspettano che siano il ministero o la concorrenza a risolvere i loro problemi, non la contrattazione collettiva, il che evidenzia anche una scarsa consapevolezza del ruolo del dialogo sociale nella regolamentazione della gestione algoritmica.</w:t>
      </w:r>
    </w:p>
    <w:p w:rsidR="00D90A18" w:rsidP="00750824" w:rsidRDefault="00D90A18" w14:paraId="501BC3A1" w14:textId="77777777">
      <w:pPr>
        <w:jc w:val="both"/>
      </w:pPr>
    </w:p>
    <w:p w:rsidR="00983F19" w:rsidP="00750824" w:rsidRDefault="00000000" w14:paraId="542CD54C" w14:textId="3BFB7244">
      <w:pPr>
        <w:jc w:val="both"/>
      </w:pPr>
      <w:r>
        <w:rPr>
          <w:b/>
          <w:bCs/>
        </w:rPr>
        <w:t xml:space="preserve">L’Italia </w:t>
      </w:r>
      <w:r>
        <w:t xml:space="preserve">si distingue per l’esperienza del contratto collettivo con </w:t>
      </w:r>
      <w:r>
        <w:t xml:space="preserve">JustEat</w:t>
      </w:r>
      <w:r>
        <w:t xml:space="preserve">, che limita la pressione dell’algoritmo </w:t>
      </w:r>
      <w:r w:rsidR="003A5607">
        <w:t xml:space="preserve">fissando </w:t>
      </w:r>
      <w:r>
        <w:t xml:space="preserve">un massimo </w:t>
      </w:r>
      <w:r>
        <w:t xml:space="preserve">di quattro </w:t>
      </w:r>
      <w:r>
        <w:t xml:space="preserve">consegne </w:t>
      </w:r>
      <w:r>
        <w:t xml:space="preserve">all’ora. Questo approccio privilegia la sicurezza umana rispetto all’ottimizzazione algoritmica e garantisce che la ricerca dell’efficienza non prevalga sui limiti fisici del lavoratore.</w:t>
      </w:r>
    </w:p>
    <w:p w:rsidR="00D90A18" w:rsidP="00750824" w:rsidRDefault="00D90A18" w14:paraId="56FFAE55" w14:textId="77777777">
      <w:pPr>
        <w:jc w:val="both"/>
      </w:pPr>
    </w:p>
    <w:p w:rsidR="00983F19" w:rsidP="00750824" w:rsidRDefault="00000000" w14:paraId="29CFD809" w14:textId="4A63BC91">
      <w:pPr>
        <w:jc w:val="both"/>
      </w:pPr>
      <w:r>
        <w:rPr>
          <w:b/>
          <w:bCs/>
        </w:rPr>
        <w:t xml:space="preserve">La Spagna </w:t>
      </w:r>
      <w:r>
        <w:t xml:space="preserve">rappresenta un caso esemplare sia dei successi che delle insidie. Dopo l’approvazione della legge sui corrieri</w:t>
      </w:r>
      <w:r>
        <w:t xml:space="preserve">,</w:t>
      </w:r>
      <w:r>
        <w:t xml:space="preserve"> i sindacati CCOO e UGT hanno stipulato un contratto collettivo con </w:t>
      </w:r>
      <w:r>
        <w:t xml:space="preserve">JustEat </w:t>
      </w:r>
      <w:r>
        <w:t xml:space="preserve">España </w:t>
      </w:r>
      <w:r>
        <w:t xml:space="preserve">che non solo disciplina le retribuzioni, ma istituisce anche una commissione congiunta per il monitoraggio dell’algoritmo </w:t>
      </w:r>
      <w:r w:rsidR="00D7386B">
        <w:t xml:space="preserve">– </w:t>
      </w:r>
      <w:r>
        <w:t xml:space="preserve">un organo che si riunisce regolarmente per verificare l’equità dei parametri algoritmici, compresa la questione se l’algoritmo di assegnazione discrimini determinate zone o gruppi demografici. Tuttavia, l’esperienza spagnola rivela anche una trappola fondamentale: la legge richiede l’accesso ai parametri algoritmici, ma </w:t>
      </w:r>
      <w:r w:rsidRPr="005418CA">
        <w:t xml:space="preserve">non prevede conseguenze in caso di mancato rispetto di tale requisito</w:t>
      </w:r>
      <w:r w:rsidRPr="00873676">
        <w:t xml:space="preserve">.</w:t>
      </w:r>
    </w:p>
    <w:p w:rsidR="00D90A18" w:rsidP="00750824" w:rsidRDefault="00D90A18" w14:paraId="259F8CFD" w14:textId="77777777">
      <w:pPr>
        <w:jc w:val="both"/>
      </w:pPr>
    </w:p>
    <w:p w:rsidR="00983F19" w:rsidP="00750824" w:rsidRDefault="00000000" w14:paraId="74F096D4" w14:textId="5DA98B40">
      <w:pPr>
        <w:jc w:val="both"/>
      </w:pPr>
      <w:r>
        <w:t xml:space="preserve">Dopo l’approvazione della legge</w:t>
      </w:r>
      <w:r w:rsidR="00873676">
        <w:t xml:space="preserve">, </w:t>
      </w:r>
      <w:r>
        <w:t xml:space="preserve">Glovo </w:t>
      </w:r>
      <w:r>
        <w:t xml:space="preserve">ha ristrutturato l’intero modello di business</w:t>
      </w:r>
      <w:r w:rsidR="00873676">
        <w:t xml:space="preserve">. </w:t>
      </w:r>
      <w:r>
        <w:t xml:space="preserve">Anziché assumere la maggior parte dei corrieri, ha offerto solo contratti minimi con un numero ridotto di ore settimanali, che la maggior parte di loro non ha accettato; allo stesso tempo, ha modificato i parametri algoritmici in modo da creare l’apparenza di autonomia. Solo la minaccia di responsabilità penale </w:t>
      </w:r>
      <w:r w:rsidR="00D7386B">
        <w:t xml:space="preserve">– </w:t>
      </w:r>
      <w:r>
        <w:t xml:space="preserve">non la richiesta di trasparenza </w:t>
      </w:r>
      <w:r w:rsidR="00D7386B">
        <w:t xml:space="preserve">– </w:t>
      </w:r>
      <w:r>
        <w:t xml:space="preserve">ha costretto la piattaforma a conformarsi </w:t>
      </w:r>
      <w:r w:rsidR="00873676">
        <w:t xml:space="preserve">alla legge</w:t>
      </w:r>
      <w:r>
        <w:t xml:space="preserve">. </w:t>
      </w:r>
    </w:p>
    <w:p w:rsidR="00D90A18" w:rsidP="00750824" w:rsidRDefault="00D90A18" w14:paraId="4CD749D0" w14:textId="77777777">
      <w:pPr>
        <w:jc w:val="both"/>
      </w:pPr>
    </w:p>
    <w:p w:rsidR="00983F19" w:rsidP="00750824" w:rsidRDefault="00000000" w14:paraId="7A3781B5" w14:textId="776D3D41">
      <w:pPr>
        <w:jc w:val="both"/>
      </w:pPr>
      <w:r>
        <w:rPr>
          <w:b/>
          <w:bCs/>
        </w:rPr>
        <w:t xml:space="preserve">La Danimarca </w:t>
      </w:r>
      <w:r>
        <w:t xml:space="preserve">propone un modello innovativo di responsabilità: l’accordo tra il sindacato 3F e la piattaforma di pulizie </w:t>
      </w:r>
      <w:r>
        <w:t xml:space="preserve">Hilfr </w:t>
      </w:r>
      <w:r>
        <w:t xml:space="preserve">stabilisce che la piattaforma rimanga giuridicamente responsabile di ogni decisione automatizzata. </w:t>
      </w:r>
      <w:r w:rsidR="00873676">
        <w:t xml:space="preserve">È </w:t>
      </w:r>
      <w:r>
        <w:t xml:space="preserve">fondamentale </w:t>
      </w:r>
      <w:r w:rsidR="00873676">
        <w:t xml:space="preserve">che </w:t>
      </w:r>
      <w:r>
        <w:t xml:space="preserve">l’onere della prova </w:t>
      </w:r>
      <w:r>
        <w:t xml:space="preserve">ricada sulla piattaforma</w:t>
      </w:r>
      <w:r w:rsidR="00873676">
        <w:t xml:space="preserve">: </w:t>
      </w:r>
      <w:r>
        <w:t xml:space="preserve">se l’algoritmo </w:t>
      </w:r>
      <w:r>
        <w:t xml:space="preserve">disattiva </w:t>
      </w:r>
      <w:r>
        <w:t xml:space="preserve">un lavoratore o nasconde il suo profilo e la piattaforma non è in grado di spiegare il motivo in un linguaggio comprensibile, la decisione è automaticamente nulla. Ciò impedisce efficacemente </w:t>
      </w:r>
      <w:r w:rsidR="00873676">
        <w:t xml:space="preserve">le sanzioni infondate.</w:t>
      </w:r>
    </w:p>
    <w:p w:rsidR="00983F19" w:rsidP="00750824" w:rsidRDefault="00000000" w14:paraId="3E77F218" w14:textId="77777777">
      <w:pPr>
        <w:pStyle w:val="Naslov3"/>
        <w:jc w:val="both"/>
      </w:pPr>
      <w:bookmarkStart w:name="skupne-ugotovitve" w:id="35"/>
      <w:bookmarkEnd w:id="34"/>
      <w:r>
        <w:lastRenderedPageBreak/>
      </w:r>
      <w:r>
        <w:t xml:space="preserve">Conclusioni comuni</w:t>
      </w:r>
    </w:p>
    <w:p w:rsidR="00983F19" w:rsidP="00750824" w:rsidRDefault="00000000" w14:paraId="1A8F4795" w14:textId="77777777">
      <w:pPr>
        <w:jc w:val="both"/>
      </w:pPr>
      <w:r>
        <w:t xml:space="preserve">Dall’analisi comparativa emergono tre modelli chiave:</w:t>
      </w:r>
    </w:p>
    <w:p w:rsidR="00D90A18" w:rsidP="00750824" w:rsidRDefault="00D90A18" w14:paraId="05B9CFD6" w14:textId="77777777">
      <w:pPr>
        <w:jc w:val="both"/>
      </w:pPr>
    </w:p>
    <w:p w:rsidR="00983F19" w:rsidP="00750824" w:rsidRDefault="00000000" w14:paraId="4466FAC4" w14:textId="77777777">
      <w:pPr>
        <w:jc w:val="both"/>
      </w:pPr>
      <w:r>
        <w:t xml:space="preserve">In primo luogo, </w:t>
      </w:r>
      <w:r>
        <w:rPr>
          <w:b/>
          <w:bCs/>
        </w:rPr>
        <w:t xml:space="preserve">l’asimmetria informativa </w:t>
      </w:r>
      <w:r>
        <w:t xml:space="preserve">rimane un problema fondamentale. Le piattaforme dispongono di tutti i dati, mentre i lavoratori sono guidati da un sistema di cui non possono </w:t>
      </w:r>
      <w:r>
        <w:t xml:space="preserve">conoscere il funzionamento</w:t>
      </w:r>
      <w:r>
        <w:t xml:space="preserve">. Senza accesso ai dati non è possibile né individuare le violazioni né negoziarle.</w:t>
      </w:r>
    </w:p>
    <w:p w:rsidR="00D90A18" w:rsidP="00750824" w:rsidRDefault="00D90A18" w14:paraId="3DAF099E" w14:textId="77777777">
      <w:pPr>
        <w:jc w:val="both"/>
      </w:pPr>
    </w:p>
    <w:p w:rsidR="00983F19" w:rsidP="00750824" w:rsidRDefault="00000000" w14:paraId="7F10D91F" w14:textId="77777777">
      <w:pPr>
        <w:jc w:val="both"/>
      </w:pPr>
      <w:r>
        <w:t xml:space="preserve">In secondo luogo, </w:t>
      </w:r>
      <w:r>
        <w:rPr>
          <w:b/>
          <w:bCs/>
        </w:rPr>
        <w:t xml:space="preserve">la trasparenza senza sanzioni è inefficace</w:t>
      </w:r>
      <w:r>
        <w:t xml:space="preserve">. L’esperienza spagnola lo dimostra inequivocabilmente: l’obbligo giuridico di divulgare i parametri algoritmici, in assenza di conseguenze previste in caso di violazione, consente alle piattaforme di ignorare semplicemente tale obbligo.</w:t>
      </w:r>
    </w:p>
    <w:p w:rsidR="00D90A18" w:rsidP="00750824" w:rsidRDefault="00D90A18" w14:paraId="44667B97" w14:textId="77777777">
      <w:pPr>
        <w:jc w:val="both"/>
      </w:pPr>
    </w:p>
    <w:p w:rsidR="00983F19" w:rsidP="00750824" w:rsidRDefault="00000000" w14:paraId="2AA0171D" w14:textId="2E4F4808">
      <w:pPr>
        <w:jc w:val="both"/>
      </w:pPr>
      <w:r>
        <w:t xml:space="preserve">In terzo luogo, </w:t>
      </w:r>
      <w:r>
        <w:rPr>
          <w:b/>
          <w:bCs/>
        </w:rPr>
        <w:t xml:space="preserve">la gestione algoritmica va oltre </w:t>
      </w:r>
      <w:r>
        <w:rPr>
          <w:b/>
          <w:bCs/>
        </w:rPr>
        <w:t xml:space="preserve">il lavoro </w:t>
      </w:r>
      <w:r>
        <w:rPr>
          <w:b/>
          <w:bCs/>
        </w:rPr>
        <w:t xml:space="preserve">sulle piattaforme</w:t>
      </w:r>
      <w:r>
        <w:t xml:space="preserve">. Come sottolinea il contributo austriaco, le pratiche </w:t>
      </w:r>
      <w:r>
        <w:t xml:space="preserve">del «taylorismo</w:t>
      </w:r>
      <w:r>
        <w:t xml:space="preserve"> digitale» si </w:t>
      </w:r>
      <w:r>
        <w:t xml:space="preserve">stanno rapidamente diffondendo negli ambienti di lavoro tradizionali </w:t>
      </w:r>
      <w:r w:rsidR="00D7386B">
        <w:t xml:space="preserve">– </w:t>
      </w:r>
      <w:r>
        <w:t xml:space="preserve">logistica, vendita al dettaglio, ristorazione, sanità. Una regolamentazione limitata alle sole piattaforme risulterà obsoleta nel giro di pochi anni.</w:t>
      </w:r>
    </w:p>
    <w:p w:rsidR="00983F19" w:rsidP="00750824" w:rsidRDefault="00000000" w14:paraId="5AA38368" w14:textId="77777777">
      <w:pPr>
        <w:pStyle w:val="Naslov2"/>
        <w:jc w:val="both"/>
      </w:pPr>
      <w:bookmarkStart w:name="_Toc233699491" w:id="36"/>
      <w:bookmarkStart w:name="priporočila-1" w:id="37"/>
      <w:bookmarkEnd w:id="32"/>
      <w:bookmarkEnd w:id="35"/>
      <w:r>
        <w:t xml:space="preserve">4.3 Raccomandazioni</w:t>
      </w:r>
      <w:bookmarkEnd w:id="36"/>
    </w:p>
    <w:p w:rsidR="00983F19" w:rsidP="00750824" w:rsidRDefault="00000000" w14:paraId="4DF51EBF" w14:textId="77777777">
      <w:pPr>
        <w:jc w:val="both"/>
      </w:pPr>
      <w:r>
        <w:t xml:space="preserve">Sulla base dell’analisi dei requisiti della direttiva, delle esperienze pratiche e delle discussioni del gruppo di esperti della Commissione europea, formuliamo le seguenti raccomandazioni per gli Stati membri in merito al recepimento del capitolo III della direttiva nella legislazione nazionale.</w:t>
      </w:r>
    </w:p>
    <w:p w:rsidR="00D90A18" w:rsidP="00750824" w:rsidRDefault="00D90A18" w14:paraId="4FA969CA" w14:textId="77777777">
      <w:pPr>
        <w:jc w:val="both"/>
      </w:pPr>
    </w:p>
    <w:p w:rsidR="00D90A18" w:rsidP="00750824" w:rsidRDefault="00000000" w14:paraId="3CB79453" w14:textId="29A95505">
      <w:pPr>
        <w:pStyle w:val="Naslov3"/>
        <w:jc w:val="both"/>
      </w:pPr>
      <w:r>
        <w:t xml:space="preserve">Raccomandazione 4.1 [SUPERA IL MINIMO]: Invalidità automatica delle decisioni algoritmiche non spiegate</w:t>
      </w:r>
    </w:p>
    <w:p w:rsidR="00983F19" w:rsidP="00750824" w:rsidRDefault="00000000" w14:paraId="69C20213" w14:textId="6F319C59">
      <w:pPr>
        <w:jc w:val="both"/>
      </w:pPr>
      <w:r>
        <w:t xml:space="preserve">Per rafforzare la trasparenza, proponiamo l’introduzione di un meccanismo in base al quale ogni decisione algoritmica (ad esempio, il blocco di un account o la riduzione di un pagamento) che la piattaforma non sia in grado di spiegare in un linguaggio comprensibile diventi </w:t>
      </w:r>
      <w:r>
        <w:rPr>
          <w:b/>
          <w:bCs/>
        </w:rPr>
        <w:t xml:space="preserve">automaticamente nulla</w:t>
      </w:r>
      <w:r>
        <w:t xml:space="preserve">. Questo approccio, che segue il modello danese, inverte l’onere </w:t>
      </w:r>
      <w:r w:rsidR="00844626">
        <w:t xml:space="preserve">della prova</w:t>
      </w:r>
      <w:r>
        <w:t xml:space="preserve">: invece che sia il lavoratore a dover dimostrare l’irregolarità, spetta alla piattaforma dimostrare la comprensibilità e la legittimità della decisione, pena la sua annullamento.</w:t>
      </w:r>
    </w:p>
    <w:p w:rsidR="00D90A18" w:rsidP="00750824" w:rsidRDefault="00D90A18" w14:paraId="52D68F82" w14:textId="77777777">
      <w:pPr>
        <w:jc w:val="both"/>
      </w:pPr>
    </w:p>
    <w:p w:rsidR="00D90A18" w:rsidP="00750824" w:rsidRDefault="00000000" w14:paraId="0C4C4AB1" w14:textId="2610BF6C">
      <w:pPr>
        <w:pStyle w:val="Naslov3"/>
        <w:jc w:val="both"/>
      </w:pPr>
      <w:r>
        <w:t xml:space="preserve">Raccomandazione 4.2 [SUPERA IL MINIMO]: </w:t>
      </w:r>
      <w:r>
        <w:t xml:space="preserve">Codecisione</w:t>
      </w:r>
      <w:r>
        <w:t xml:space="preserve"> algoritmica </w:t>
      </w:r>
      <w:r>
        <w:t xml:space="preserve">attraverso comitati di lavoratori e sindacati </w:t>
      </w:r>
      <w:r w:rsidR="00D7386B">
        <w:t xml:space="preserve">– </w:t>
      </w:r>
      <w:r>
        <w:t xml:space="preserve">commissioni congiunte</w:t>
      </w:r>
    </w:p>
    <w:p w:rsidR="00D90A18" w:rsidP="00750824" w:rsidRDefault="00000000" w14:paraId="65DA2152" w14:textId="3D276E36">
      <w:pPr>
        <w:jc w:val="both"/>
      </w:pPr>
      <w:r>
        <w:t xml:space="preserve">La trasparenza è solo il primo passo</w:t>
      </w:r>
      <w:r w:rsidR="00844626">
        <w:t xml:space="preserve">; il collegamento </w:t>
      </w:r>
      <w:r>
        <w:t xml:space="preserve">con la cogestione attiva </w:t>
      </w:r>
      <w:r w:rsidR="00C60A82">
        <w:t xml:space="preserve">deve essere efficace</w:t>
      </w:r>
      <w:r>
        <w:t xml:space="preserve">. Raccomandiamo che gli Stati membri estendano i diritti dei comitati dei lavoratori e dei rappresentanti sindacali in modo da includere il diritto di consenso (o almeno il diritto di consultazione con effetto sospensivo) prima dell’introduzione o di una modifica sostanziale dei parametri algoritmici che incidono sulla retribuzione, sull’intensità del lavoro o sull’assegnazione dei compiti. La proposta austriaca di un diritto di veto sui parametri algoritmici </w:t>
      </w:r>
      <w:r w:rsidR="00D7386B">
        <w:t xml:space="preserve">– </w:t>
      </w:r>
      <w:r>
        <w:t xml:space="preserve">per analogia con l’attuale requisito del consenso per l’introduzione della videosorveglianza </w:t>
      </w:r>
      <w:r w:rsidR="00D7386B">
        <w:t xml:space="preserve">– </w:t>
      </w:r>
      <w:r>
        <w:t xml:space="preserve">rappresenta un modello concreto per tradurre l’articolo 13 della direttiva in una pratica efficace di codecisione.</w:t>
      </w:r>
    </w:p>
    <w:p w:rsidR="005418CA" w:rsidP="00750824" w:rsidRDefault="005418CA" w14:paraId="1500E6F4" w14:textId="77777777">
      <w:pPr>
        <w:jc w:val="both"/>
      </w:pPr>
    </w:p>
    <w:p w:rsidR="00D90A18" w:rsidP="00750824" w:rsidRDefault="00000000" w14:paraId="66376D91" w14:textId="57A86EEE">
      <w:pPr>
        <w:pStyle w:val="Naslov3"/>
        <w:jc w:val="both"/>
      </w:pPr>
      <w:r>
        <w:t xml:space="preserve">Raccomandazione 4.3 [DIRETTIVA]: Classificazione della pressione algoritmica come rischio psicosociale</w:t>
      </w:r>
    </w:p>
    <w:p w:rsidR="00983F19" w:rsidP="00750824" w:rsidRDefault="00000000" w14:paraId="77732E56" w14:textId="24918187">
      <w:pPr>
        <w:jc w:val="both"/>
      </w:pPr>
      <w:r>
        <w:lastRenderedPageBreak/>
      </w:r>
      <w:r>
        <w:t xml:space="preserve">L’articolo 12 della direttiva vieta espressamente l’uso di algoritmi che esercitino una pressione sproporzionata sui lavoratori. Raccomandiamo che gli Stati membri definiscano espressamente nella legislazione nazionale in materia di sicurezza e salute sul lavoro la pressione algoritmica </w:t>
      </w:r>
      <w:r w:rsidR="00D7386B">
        <w:t xml:space="preserve">– </w:t>
      </w:r>
      <w:r>
        <w:t xml:space="preserve">comprese </w:t>
      </w:r>
      <w:r>
        <w:t xml:space="preserve">le classifiche </w:t>
      </w:r>
      <w:r>
        <w:t xml:space="preserve">gamificate</w:t>
      </w:r>
      <w:r>
        <w:t xml:space="preserve">, i timer, la sorveglianza digitale costante e i sistemi che impediscono le pause necessarie </w:t>
      </w:r>
      <w:r w:rsidR="00D7386B">
        <w:t xml:space="preserve">– </w:t>
      </w:r>
      <w:r>
        <w:t xml:space="preserve">come </w:t>
      </w:r>
      <w:r w:rsidRPr="005418CA">
        <w:rPr>
          <w:b/>
          <w:bCs/>
        </w:rPr>
        <w:t xml:space="preserve">rischio psicosociale</w:t>
      </w:r>
      <w:r>
        <w:t xml:space="preserve">. Ciò consentirebbe alle ispezioni del lavoro di </w:t>
      </w:r>
      <w:r>
        <w:t xml:space="preserve">trattare</w:t>
      </w:r>
      <w:r w:rsidR="008A4BD4">
        <w:t xml:space="preserve"> un algoritmo tossico </w:t>
      </w:r>
      <w:r>
        <w:t xml:space="preserve">con lo stesso rigore riservato a un pericolo fisico sul posto di lavoro, compresa l’irrogazione di sanzioni e l’emissione di ordinanze per la cessazione dell’uso del sistema. </w:t>
      </w:r>
      <w:r w:rsidR="008A4BD4">
        <w:t xml:space="preserve">Tale funzionamento dell’algoritmo, infatti, rappresenta un pericolo fisico sul posto di lavoro. </w:t>
      </w:r>
    </w:p>
    <w:p w:rsidR="00D90A18" w:rsidP="00750824" w:rsidRDefault="00D90A18" w14:paraId="18C59135" w14:textId="77777777">
      <w:pPr>
        <w:jc w:val="both"/>
      </w:pPr>
    </w:p>
    <w:p w:rsidR="00D90A18" w:rsidP="00750824" w:rsidRDefault="00000000" w14:paraId="7F129147" w14:textId="41EDB068">
      <w:pPr>
        <w:pStyle w:val="Naslov3"/>
        <w:jc w:val="both"/>
      </w:pPr>
      <w:r>
        <w:t xml:space="preserve">Raccomandazione 4.4 [SUPERA IL MINIMO]: Accesso collettivo ai dati per i sindacati</w:t>
      </w:r>
    </w:p>
    <w:p w:rsidR="00D90A18" w:rsidP="00750824" w:rsidRDefault="00000000" w14:paraId="065C3E6B" w14:textId="77777777">
      <w:pPr>
        <w:jc w:val="both"/>
      </w:pPr>
      <w:r>
        <w:t xml:space="preserve">Le richieste individuali di accesso ai dati (ai sensi dell’articolo 15 del GDPR) sono inefficaci, poiché rivelano solo una parte del quadro generale e risultano eccessivamente onerose per il singolo lavoratore. Raccomandiamo che gli Stati membri, nel recepire i diritti di cui agli articoli 9 e 15 della direttiva, istituiscano il diritto legale dei sindacati all’accesso collettivo ai dati aggregati sul funzionamento dei sistemi algoritmici. </w:t>
      </w:r>
    </w:p>
    <w:p w:rsidR="00D90A18" w:rsidP="00750824" w:rsidRDefault="00D90A18" w14:paraId="1BD33875" w14:textId="77777777">
      <w:pPr>
        <w:jc w:val="both"/>
      </w:pPr>
    </w:p>
    <w:p w:rsidR="00983F19" w:rsidP="00750824" w:rsidRDefault="00000000" w14:paraId="1129B314" w14:textId="2252D104">
      <w:pPr>
        <w:jc w:val="both"/>
      </w:pPr>
      <w:r>
        <w:t xml:space="preserve">Il finanziamento degli esperti indipendenti che aiutano i sindacati ad analizzare questi dati deve essere garantito dal fondo nazionale per la revisione indipendente degli algoritmi (cfr. raccomandazione 6.1). Ciò consentirebbe ai sindacati, aggregando i dati </w:t>
      </w:r>
      <w:r>
        <w:t xml:space="preserve">di migliaia </w:t>
      </w:r>
      <w:r>
        <w:t xml:space="preserve">di lavoratori</w:t>
      </w:r>
      <w:r>
        <w:t xml:space="preserve">, di </w:t>
      </w:r>
      <w:r>
        <w:t xml:space="preserve">ricostruire statisticamente la logica del sistema e di rivelare modelli nascosti di discriminazione o violazioni salariali </w:t>
      </w:r>
      <w:r w:rsidR="00D7386B">
        <w:t xml:space="preserve">– </w:t>
      </w:r>
      <w:r>
        <w:t xml:space="preserve">un approccio che la CES raccomanda come </w:t>
      </w:r>
      <w:r>
        <w:t xml:space="preserve">«reverse engineering del capo</w:t>
      </w:r>
      <w:r w:rsidR="008A4BD4">
        <w:t xml:space="preserve">». </w:t>
      </w:r>
      <w:r>
        <w:t xml:space="preserve">Il diritto all’accesso collettivo ai dati dovrebbe essere espressamente distinto dalla </w:t>
      </w:r>
      <w:r w:rsidR="008A4BD4">
        <w:t xml:space="preserve">tutela </w:t>
      </w:r>
      <w:r>
        <w:t xml:space="preserve">del segreto commerciale, di cui le piattaforme spesso abusano per impedire qualsiasi forma di controllo.</w:t>
      </w:r>
    </w:p>
    <w:p w:rsidR="00D90A18" w:rsidP="00750824" w:rsidRDefault="00D90A18" w14:paraId="07C7C030" w14:textId="77777777">
      <w:pPr>
        <w:jc w:val="both"/>
      </w:pPr>
    </w:p>
    <w:p w:rsidR="00D90A18" w:rsidP="00750824" w:rsidRDefault="00000000" w14:paraId="76E6BE8C" w14:textId="72B2B8B6">
      <w:pPr>
        <w:pStyle w:val="Naslov3"/>
        <w:jc w:val="both"/>
      </w:pPr>
      <w:r>
        <w:t xml:space="preserve">Raccomandazione 4.5 [SUPERA IL MINIMO]: Aggiornamento del concetto </w:t>
      </w:r>
      <w:r w:rsidR="008A4BD4">
        <w:t xml:space="preserve">di «posto di lavoro» </w:t>
      </w:r>
      <w:r>
        <w:t xml:space="preserve">per l’era digitale</w:t>
      </w:r>
    </w:p>
    <w:p w:rsidR="00983F19" w:rsidP="00750824" w:rsidRDefault="00000000" w14:paraId="0D28EBDC" w14:textId="2C0E8FF1">
      <w:pPr>
        <w:jc w:val="both"/>
      </w:pPr>
      <w:r>
        <w:t xml:space="preserve">Per garantire l’effettivo esercizio dei diritti di informazione e consultazione di cui all’articolo 13 della direttiva, gli Stati membri devono assicurare che la legislazione nazionale riconosca l’infrastruttura digitale della piattaforma come luogo di lavoro</w:t>
      </w:r>
      <w:r w:rsidR="008A4BD4">
        <w:t xml:space="preserve">.</w:t>
      </w:r>
      <w:r>
        <w:t xml:space="preserve"> Se la piattaforma svolge funzioni di controllo e gestione tramite un’applicazione, tale infrastruttura digitale deve essere giuridicamente sufficiente per l’istituzione di una rappresentanza dei lavoratori. Senza questo adeguamento, le piattaforme potranno continuare a invocare la natura decentralizzata del lavoro per rifiutare la cogestione dei lavoratori </w:t>
      </w:r>
      <w:r w:rsidR="00D7386B">
        <w:t xml:space="preserve">– </w:t>
      </w:r>
      <w:r>
        <w:t xml:space="preserve">il che è in diretto contrasto con lo scopo della direttiva.</w:t>
      </w:r>
    </w:p>
    <w:p w:rsidR="00D90A18" w:rsidP="00750824" w:rsidRDefault="00D90A18" w14:paraId="75ED1915" w14:textId="77777777">
      <w:pPr>
        <w:jc w:val="both"/>
      </w:pPr>
    </w:p>
    <w:p w:rsidR="00983F19" w:rsidP="00750824" w:rsidRDefault="00000000" w14:paraId="23E82361" w14:textId="77777777">
      <w:pPr>
        <w:jc w:val="both"/>
        <w:rPr>
          <w:i/>
          <w:iCs/>
        </w:rPr>
      </w:pPr>
      <w:r>
        <w:rPr>
          <w:i/>
          <w:iCs/>
        </w:rPr>
        <w:t xml:space="preserve">Fonti: Contributo austriaco dell’SDDP </w:t>
      </w:r>
      <w:r>
        <w:rPr>
          <w:i/>
          <w:iCs/>
        </w:rPr>
        <w:t xml:space="preserve">«The </w:t>
      </w:r>
      <w:r>
        <w:rPr>
          <w:i/>
          <w:iCs/>
        </w:rPr>
        <w:t xml:space="preserve">Boss </w:t>
      </w:r>
      <w:r>
        <w:rPr>
          <w:i/>
          <w:iCs/>
        </w:rPr>
        <w:t xml:space="preserve">in </w:t>
      </w:r>
      <w:r>
        <w:rPr>
          <w:i/>
          <w:iCs/>
        </w:rPr>
        <w:t xml:space="preserve">the </w:t>
      </w:r>
      <w:r>
        <w:rPr>
          <w:i/>
          <w:iCs/>
        </w:rPr>
        <w:t xml:space="preserve">Machine» (2025); Relazione del gruppo di esperti per il recepimento della Direttiva (UE) 2024/2831 (gennaio 2026); Appunti della conferenza intermedia dell’SDDP, Lubiana, maggio 2025; Manuale dell’ETUC sulla gestione algoritmica.</w:t>
      </w:r>
    </w:p>
    <w:p w:rsidR="005418CA" w:rsidP="00750824" w:rsidRDefault="005418CA" w14:paraId="1A14BA97" w14:textId="77777777">
      <w:pPr>
        <w:jc w:val="both"/>
      </w:pPr>
    </w:p>
    <w:p w:rsidR="00FC19E2" w:rsidP="00750824" w:rsidRDefault="00000000" w14:paraId="1BA217AF" w14:textId="4C1588BA">
      <w:pPr>
        <w:pStyle w:val="Naslov3"/>
        <w:jc w:val="both"/>
      </w:pPr>
      <w:r>
        <w:t xml:space="preserve">Raccomandazione 4.6 [DIRETTIVA]: Elevati standard di controllo umano per tutti i PPPW, indipendentemente dallo status occupazionale</w:t>
      </w:r>
    </w:p>
    <w:p w:rsidR="00FC19E2" w:rsidP="00750824" w:rsidRDefault="00615AD5" w14:paraId="34734714" w14:textId="373CCEC3">
      <w:pPr>
        <w:jc w:val="both"/>
      </w:pPr>
      <w:r>
        <w:t xml:space="preserve">L’esperienza dimostra che le piattaforme incoraggiano i lavoratori a passare allo status di lavoratori autonomi per eludere i requisiti più rigorosi in materia di gestione algoritmica applicabili ai lavoratori con </w:t>
      </w:r>
      <w:r w:rsidR="00615F18">
        <w:t xml:space="preserve">un rapporto di lavoro «</w:t>
      </w:r>
      <w:r w:rsidR="00615F18">
        <w:lastRenderedPageBreak/>
      </w:r>
      <w:r w:rsidR="00615F18">
        <w:t xml:space="preserve"> </w:t>
      </w:r>
      <w:r>
        <w:t xml:space="preserve">». La direttiva (articoli</w:t>
      </w:r>
      <w:r>
        <w:t xml:space="preserve"> 7-11) garantisce elevati standard di controllo umano sulle decisioni automatizzate a tutti i PPPW, indipendentemente dal loro status lavorativo, in particolare il divieto di automatizzare completamente le decisioni relative alla limitazione o alla sospensione dell’accesso alla piattaforma (articolo 10, paragrafo 5) e il diritto a una revisione sostanziale da parte di una persona qualificata (articolo 11). Gli Stati membri dovrebbero confermare espressamente, al momento del recepimento, che tali diritti non possono essere oggetto di deroghe condizionate facendo riferimento allo status di lavoratore autonomo o di utente commerciale.</w:t>
      </w:r>
    </w:p>
    <w:p w:rsidR="00615AD5" w:rsidP="00750824" w:rsidRDefault="00615AD5" w14:paraId="06D40930" w14:textId="77777777">
      <w:pPr>
        <w:jc w:val="both"/>
      </w:pPr>
    </w:p>
    <w:p w:rsidR="00FC19E2" w:rsidP="00750824" w:rsidRDefault="00000000" w14:paraId="457A8E13" w14:textId="4590CF18">
      <w:pPr>
        <w:jc w:val="both"/>
      </w:pPr>
      <w:r>
        <w:t xml:space="preserve">Per quanto riguarda gli utenti commerciali, che rientrano comunque nell’ambito di applicazione del regolamento P2B (articolo 11, paragrafo 5, della direttiva</w:t>
      </w:r>
      <w:r w:rsidR="00615AD5">
        <w:t xml:space="preserve">), </w:t>
      </w:r>
      <w:r>
        <w:t xml:space="preserve">l’articolo 26, paragrafo 2, della direttiva consente espressamente agli Stati membri di garantire standard di protezione superiori a quelli minimi. I ministeri dovrebbero valutare un’estensione opportuna dei requisiti relativi alla verifica umana, attualmente applicabili ai PPPW, a tutte le persone fisiche economicamente dipendenti dalla piattaforma</w:t>
      </w:r>
      <w:r w:rsidR="00615AD5">
        <w:t xml:space="preserve">, </w:t>
      </w:r>
      <w:r>
        <w:t xml:space="preserve">indipendentemente dalla forma contrattuale </w:t>
      </w:r>
      <w:r w:rsidR="00615AD5">
        <w:t xml:space="preserve">del lavoro</w:t>
      </w:r>
      <w:r>
        <w:t xml:space="preserve">.</w:t>
      </w:r>
    </w:p>
    <w:p w:rsidR="00615AD5" w:rsidP="00750824" w:rsidRDefault="00615AD5" w14:paraId="7ED492EB" w14:textId="77777777">
      <w:pPr>
        <w:jc w:val="both"/>
      </w:pPr>
    </w:p>
    <w:p w:rsidR="00FC19E2" w:rsidP="00750824" w:rsidRDefault="00000000" w14:paraId="09A95782" w14:textId="77777777">
      <w:pPr>
        <w:jc w:val="both"/>
      </w:pPr>
      <w:r>
        <w:rPr>
          <w:i/>
          <w:iCs/>
        </w:rPr>
        <w:t xml:space="preserve">Fonti: Direttiva (UE) 2024/2831, articoli 10, paragrafo 5, 11, 26, paragrafo 2, articolo 11, paragrafo 5 e Regolamento (UE) 2019/1150 (P2B); Relazione del gruppo di esperti (gennaio 2026), pagg. 48–52.</w:t>
      </w:r>
    </w:p>
    <w:p w:rsidR="00750824" w:rsidRDefault="00750824" w14:paraId="2A5BAE56" w14:textId="77777777">
      <w:pPr>
        <w:rPr>
          <w:b/>
          <w:bCs/>
          <w:color w:val="1F3864"/>
          <w:sz w:val="36"/>
          <w:szCs w:val="36"/>
        </w:rPr>
      </w:pPr>
      <w:bookmarkStart w:name="poglavje-6-varstvo-podatkov-in-zasebnost" w:id="38"/>
      <w:bookmarkEnd w:id="27"/>
      <w:bookmarkEnd w:id="37"/>
      <w:r>
        <w:br w:type="page"/>
      </w:r>
    </w:p>
    <w:p w:rsidR="00983F19" w:rsidP="00750824" w:rsidRDefault="00000000" w14:paraId="408EB938" w14:textId="1552F3B2">
      <w:pPr>
        <w:pStyle w:val="Naslov1"/>
        <w:jc w:val="both"/>
      </w:pPr>
      <w:bookmarkStart w:name="_Toc233699492" w:id="39"/>
      <w:r>
        <w:lastRenderedPageBreak/>
      </w:r>
      <w:r>
        <w:t xml:space="preserve">Capitolo 5: Protezione dei dati e privacy</w:t>
      </w:r>
      <w:bookmarkEnd w:id="39"/>
    </w:p>
    <w:p w:rsidR="00983F19" w:rsidP="00750824" w:rsidRDefault="00000000" w14:paraId="3E646C84" w14:textId="67926478">
      <w:pPr>
        <w:jc w:val="both"/>
      </w:pPr>
      <w:r>
        <w:t xml:space="preserve">La gestione algoritmica non </w:t>
      </w:r>
      <w:r>
        <w:t xml:space="preserve">è</w:t>
      </w:r>
      <w:r>
        <w:t xml:space="preserve"> solo una tecnica organizzativa</w:t>
      </w:r>
      <w:r w:rsidR="003F2469">
        <w:t xml:space="preserve">, </w:t>
      </w:r>
      <w:r>
        <w:t xml:space="preserve">ma un sistema di controllo che opera attraverso </w:t>
      </w:r>
      <w:r w:rsidR="003F2469">
        <w:t xml:space="preserve">la raccolta </w:t>
      </w:r>
      <w:r>
        <w:t xml:space="preserve">di dati. Ogni clic nell’applicazione, ogni secondo di ritardo, ogni rifiuto di un ordine viene registrato e interpretato dalla piattaforma. Gli articoli da 7 a 11 della direttiva disciplinano ciò che la piattaforma può e non può fare con questi dati. Si tratta di una delle parti più incisive della direttiva: laddove il GDPR stabilisce regole generali, la direttiva introduce </w:t>
      </w:r>
      <w:r>
        <w:t xml:space="preserve">divieti</w:t>
      </w:r>
      <w:r w:rsidR="003F2469">
        <w:t xml:space="preserve"> più</w:t>
      </w:r>
      <w:r>
        <w:t xml:space="preserve"> severi e </w:t>
      </w:r>
      <w:r w:rsidR="003F2469">
        <w:t xml:space="preserve">specifici</w:t>
      </w:r>
      <w:r>
        <w:t xml:space="preserve">, che non possono essere aggirati nemmeno con il consenso del lavoratore. La protezione dei dati nel </w:t>
      </w:r>
      <w:r>
        <w:t xml:space="preserve">lavoro </w:t>
      </w:r>
      <w:r>
        <w:t xml:space="preserve">su piattaforma </w:t>
      </w:r>
      <w:r>
        <w:t xml:space="preserve">non è solo una questione di privacy</w:t>
      </w:r>
      <w:r w:rsidR="003F2469">
        <w:t xml:space="preserve">, ma </w:t>
      </w:r>
      <w:r>
        <w:t xml:space="preserve">è una condizione per un dialogo sociale paritario.</w:t>
      </w:r>
    </w:p>
    <w:p w:rsidR="00983F19" w:rsidP="00750824" w:rsidRDefault="00000000" w14:paraId="2DA3CF42" w14:textId="77777777">
      <w:pPr>
        <w:pStyle w:val="Naslov2"/>
        <w:jc w:val="both"/>
      </w:pPr>
      <w:bookmarkStart w:name="_Toc233699493" w:id="40"/>
      <w:bookmarkStart w:name="zahteve-direktive-2" w:id="41"/>
      <w:r>
        <w:t xml:space="preserve">5.1 Requisiti della direttiva</w:t>
      </w:r>
      <w:bookmarkEnd w:id="40"/>
    </w:p>
    <w:p w:rsidR="00983F19" w:rsidP="00750824" w:rsidRDefault="00000000" w14:paraId="0052DF83" w14:textId="215473CC">
      <w:pPr>
        <w:jc w:val="both"/>
      </w:pPr>
      <w:r>
        <w:t xml:space="preserve">L’articolo 7 introduce divieti assoluti al trattamento dei dati personali tramite sistemi automatizzati. Si tratta di divieti più severi rispetto al Regolamento generale sulla protezione dei dati (GDPR) e </w:t>
      </w:r>
      <w:r w:rsidR="000B201C">
        <w:t xml:space="preserve">che nemmeno </w:t>
      </w:r>
      <w:r>
        <w:t xml:space="preserve">il consenso del lavoratore può </w:t>
      </w:r>
      <w:r w:rsidR="000B201C">
        <w:t xml:space="preserve">annullare</w:t>
      </w:r>
      <w:r>
        <w:t xml:space="preserve">. La direttiva, infatti, nel considerando 39, spiega chiaramente che il consenso nel </w:t>
      </w:r>
      <w:r>
        <w:t xml:space="preserve">lavoro </w:t>
      </w:r>
      <w:r>
        <w:t xml:space="preserve">su piattaforma </w:t>
      </w:r>
      <w:r>
        <w:t xml:space="preserve">non può essere volontario: un lavoratore che teme le conseguenze non può decidere liberamente. Le piattaforme non possono quindi ottenere un consenso valido per un trattamento </w:t>
      </w:r>
      <w:r w:rsidR="000B201C">
        <w:t xml:space="preserve">di dati </w:t>
      </w:r>
      <w:r>
        <w:t xml:space="preserve">vietato</w:t>
      </w:r>
      <w:r>
        <w:t xml:space="preserve">.</w:t>
      </w:r>
      <w:r>
        <w:rPr>
          <w:rStyle w:val="Sprotnaopomba-sklic"/>
        </w:rPr>
        <w:footnoteReference w:id="4"/>
      </w:r>
    </w:p>
    <w:p w:rsidR="00D90A18" w:rsidP="00750824" w:rsidRDefault="00D90A18" w14:paraId="0655517A" w14:textId="77777777">
      <w:pPr>
        <w:jc w:val="both"/>
      </w:pPr>
    </w:p>
    <w:p w:rsidR="00983F19" w:rsidP="00750824" w:rsidRDefault="00000000" w14:paraId="1223613C" w14:textId="77777777">
      <w:pPr>
        <w:jc w:val="both"/>
      </w:pPr>
      <w:r>
        <w:t xml:space="preserve">I divieti specifici sono:</w:t>
      </w:r>
    </w:p>
    <w:p w:rsidR="00983F19" w:rsidP="00750824" w:rsidRDefault="00000000" w14:paraId="7255E736" w14:textId="3FEB102F">
      <w:pPr>
        <w:numPr>
          <w:ilvl w:val="0"/>
          <w:numId w:val="4"/>
        </w:numPr>
        <w:jc w:val="both"/>
      </w:pPr>
      <w:r>
        <w:t xml:space="preserve">il divieto di raccogliere e trattare dati relativi </w:t>
      </w:r>
      <w:r>
        <w:rPr>
          <w:b/>
          <w:bCs/>
        </w:rPr>
        <w:t xml:space="preserve">allo stato emotivo o psicologico </w:t>
      </w:r>
      <w:r>
        <w:t xml:space="preserve">del lavoratore (articolo 7, paragrafo 1, lettera a</w:t>
      </w:r>
      <w:r w:rsidR="000B201C">
        <w:t xml:space="preserve">)),</w:t>
      </w:r>
    </w:p>
    <w:p w:rsidR="00983F19" w:rsidP="00750824" w:rsidRDefault="00000000" w14:paraId="64940747" w14:textId="37D8A1F5">
      <w:pPr>
        <w:numPr>
          <w:ilvl w:val="0"/>
          <w:numId w:val="4"/>
        </w:numPr>
        <w:jc w:val="both"/>
      </w:pPr>
      <w:r>
        <w:t xml:space="preserve">il divieto di accedere alle </w:t>
      </w:r>
      <w:r>
        <w:rPr>
          <w:b/>
          <w:bCs/>
        </w:rPr>
        <w:t xml:space="preserve">conversazioni private </w:t>
      </w:r>
      <w:r>
        <w:t xml:space="preserve">tra i lavoratori, comprese quelle con i rappresentanti sindacali (articolo 7, paragrafo 1, lettera b</w:t>
      </w:r>
      <w:r w:rsidR="000B201C">
        <w:t xml:space="preserve">)),</w:t>
      </w:r>
    </w:p>
    <w:p w:rsidR="00983F19" w:rsidP="00750824" w:rsidRDefault="00000000" w14:paraId="1DE80C61" w14:textId="5E554F61">
      <w:pPr>
        <w:numPr>
          <w:ilvl w:val="0"/>
          <w:numId w:val="4"/>
        </w:numPr>
        <w:jc w:val="both"/>
      </w:pPr>
      <w:r>
        <w:t xml:space="preserve">il divieto di raccogliere dati relativi alla posizione o all’attività del lavoratore quando questi </w:t>
      </w:r>
      <w:r>
        <w:rPr>
          <w:b/>
          <w:bCs/>
        </w:rPr>
        <w:t xml:space="preserve">non è connesso all’applicazione</w:t>
      </w:r>
      <w:r w:rsidR="000B201C">
        <w:t xml:space="preserve">, </w:t>
      </w:r>
      <w:r>
        <w:t xml:space="preserve">ovvero </w:t>
      </w:r>
      <w:r w:rsidR="000B201C">
        <w:t xml:space="preserve">al di fuori </w:t>
      </w:r>
      <w:r>
        <w:t xml:space="preserve">dell’orario di lavoro (articolo 7, paragrafo 1, lettera c</w:t>
      </w:r>
      <w:r w:rsidR="000B201C">
        <w:t xml:space="preserve">)),</w:t>
      </w:r>
    </w:p>
    <w:p w:rsidR="00983F19" w:rsidP="00750824" w:rsidRDefault="00000000" w14:paraId="6A2FBA0E" w14:textId="09D32A50">
      <w:pPr>
        <w:numPr>
          <w:ilvl w:val="0"/>
          <w:numId w:val="4"/>
        </w:numPr>
        <w:jc w:val="both"/>
      </w:pPr>
      <w:r>
        <w:t xml:space="preserve">il divieto di trattare dati per </w:t>
      </w:r>
      <w:r>
        <w:rPr>
          <w:b/>
          <w:bCs/>
        </w:rPr>
        <w:t xml:space="preserve">prevedere l’esercizio dei diritti fondamentali</w:t>
      </w:r>
      <w:r>
        <w:t xml:space="preserve">, compreso il diritto di sciopero o di organizzazione sindacale (articolo 7, paragrafo 1, lettera d</w:t>
      </w:r>
      <w:r w:rsidR="000B201C">
        <w:t xml:space="preserve">)),</w:t>
      </w:r>
    </w:p>
    <w:p w:rsidR="00983F19" w:rsidP="00750824" w:rsidRDefault="00000000" w14:paraId="44019C9A" w14:textId="0D84E0BE">
      <w:pPr>
        <w:numPr>
          <w:ilvl w:val="0"/>
          <w:numId w:val="4"/>
        </w:numPr>
        <w:jc w:val="both"/>
      </w:pPr>
      <w:r>
        <w:t xml:space="preserve">divieto </w:t>
      </w:r>
      <w:r>
        <w:rPr>
          <w:b/>
          <w:bCs/>
        </w:rPr>
        <w:t xml:space="preserve">di trarre conclusioni su categorie particolari di dati </w:t>
      </w:r>
      <w:r w:rsidR="00D7386B">
        <w:t xml:space="preserve">– </w:t>
      </w:r>
      <w:r>
        <w:t xml:space="preserve">origine razziale, stato di salute, appartenenza sindacale, orientamento sessuale </w:t>
      </w:r>
      <w:r w:rsidR="00D7386B">
        <w:t xml:space="preserve">– </w:t>
      </w:r>
      <w:r>
        <w:t xml:space="preserve">sulla base di altri dati (articolo 7, paragrafo 1, lettera e</w:t>
      </w:r>
      <w:r w:rsidR="000B201C">
        <w:t xml:space="preserve">)),</w:t>
      </w:r>
    </w:p>
    <w:p w:rsidR="00983F19" w:rsidP="00750824" w:rsidRDefault="00000000" w14:paraId="0CE1A0E8" w14:textId="77777777">
      <w:pPr>
        <w:numPr>
          <w:ilvl w:val="0"/>
          <w:numId w:val="4"/>
        </w:numPr>
        <w:jc w:val="both"/>
      </w:pPr>
      <w:r>
        <w:rPr>
          <w:b/>
          <w:bCs/>
        </w:rPr>
        <w:t xml:space="preserve">divieto di identificazione biometrica</w:t>
      </w:r>
      <w:r>
        <w:t xml:space="preserve">; la verifica biometrica (confronto con i dati biometrici dell’interessato già archiviati) è ancora consentita (articolo 7, paragrafo 1, lettera f)).</w:t>
      </w:r>
    </w:p>
    <w:p w:rsidR="00D90A18" w:rsidP="00750824" w:rsidRDefault="00D90A18" w14:paraId="46E69968" w14:textId="77777777">
      <w:pPr>
        <w:ind w:start="720"/>
        <w:jc w:val="both"/>
      </w:pPr>
    </w:p>
    <w:p w:rsidR="00983F19" w:rsidP="00750824" w:rsidRDefault="00000000" w14:paraId="1797FC4E" w14:textId="6B70A642">
      <w:pPr>
        <w:jc w:val="both"/>
      </w:pPr>
      <w:r>
        <w:t xml:space="preserve">L’articolo 7, paragrafo 2, estende i divieti già alla fase di assunzione</w:t>
      </w:r>
      <w:r w:rsidR="000B201C">
        <w:t xml:space="preserve">, </w:t>
      </w:r>
      <w:r>
        <w:t xml:space="preserve">ovvero prima ancora che l’individuo diventi un PPPW. L’articolo 7, paragrafo 3, estende invece l’ambito di applicazione materiale: i divieti non si applicano solo agli AMDMS (come definiti nella direttiva), ma a tutti i sistemi automatizzati che in qualsiasi modo incidono sui lavoratori.</w:t>
      </w:r>
    </w:p>
    <w:p w:rsidR="00D90A18" w:rsidP="00750824" w:rsidRDefault="00D90A18" w14:paraId="3CB707CA" w14:textId="77777777">
      <w:pPr>
        <w:jc w:val="both"/>
      </w:pPr>
    </w:p>
    <w:p w:rsidR="00983F19" w:rsidP="00750824" w:rsidRDefault="00000000" w14:paraId="54B2A6D9" w14:textId="16ADBD5B">
      <w:pPr>
        <w:jc w:val="both"/>
      </w:pPr>
      <w:r>
        <w:t xml:space="preserve">L’articolo 8 introduce la valutazione d’impatto sulla protezione dei dati (</w:t>
      </w:r>
      <w:r w:rsidR="000B201C">
        <w:t xml:space="preserve">«</w:t>
      </w:r>
      <w:r>
        <w:t xml:space="preserve">Data </w:t>
      </w:r>
      <w:r>
        <w:t xml:space="preserve">Protection </w:t>
      </w:r>
      <w:r>
        <w:t xml:space="preserve">Impact </w:t>
      </w:r>
      <w:r>
        <w:t xml:space="preserve">Assessment </w:t>
      </w:r>
      <w:r w:rsidR="000B201C">
        <w:t xml:space="preserve">(</w:t>
      </w:r>
      <w:r>
        <w:t xml:space="preserve">DPIA</w:t>
      </w:r>
      <w:r w:rsidR="000B201C">
        <w:t xml:space="preserve">)»</w:t>
      </w:r>
      <w:r>
        <w:t xml:space="preserve">) </w:t>
      </w:r>
      <w:r>
        <w:t xml:space="preserve">obbligatoria </w:t>
      </w:r>
      <w:r>
        <w:t xml:space="preserve">per ogni trattamento di dati tramite sistemi automatizzati di gestione del personale (AMDMS). Si tratta di una disposizione più rigorosa rispetto al GDPR, che richiede la DPIA solo quando il trattamento </w:t>
      </w:r>
      <w:r>
        <w:t xml:space="preserve">«comporta probabilmente un rischio elevato</w:t>
      </w:r>
      <w:r w:rsidR="000B201C">
        <w:t xml:space="preserve">». </w:t>
      </w:r>
      <w:r>
        <w:t xml:space="preserve">La direttiva </w:t>
      </w:r>
      <w:r w:rsidR="00016B3D">
        <w:t xml:space="preserve">presuppone </w:t>
      </w:r>
      <w:r>
        <w:t xml:space="preserve">incondizionatamente </w:t>
      </w:r>
      <w:r>
        <w:t xml:space="preserve">tale rischio per tutti gli AMDMS nella </w:t>
      </w:r>
      <w:r>
        <w:t xml:space="preserve">parte </w:t>
      </w:r>
      <w:r>
        <w:t xml:space="preserve">relativa alla piattaforma</w:t>
      </w:r>
      <w:r>
        <w:t xml:space="preserve">.</w:t>
      </w:r>
      <w:r>
        <w:lastRenderedPageBreak/>
      </w:r>
      <w:r>
        <w:t xml:space="preserve"> Nel condurre la valutazione</w:t>
      </w:r>
      <w:r w:rsidR="000B201C">
        <w:t xml:space="preserve">,</w:t>
      </w:r>
      <w:r>
        <w:t xml:space="preserve"> la piattaforma deve ottenere il parere dei lavoratori e dei loro rappresentanti</w:t>
      </w:r>
      <w:r w:rsidR="000B201C">
        <w:t xml:space="preserve">; </w:t>
      </w:r>
      <w:r>
        <w:t xml:space="preserve">la DPIA definitiva viene trasmessa ai rappresentanti dei lavoratori.</w:t>
      </w:r>
      <w:r>
        <w:rPr>
          <w:rStyle w:val="Sprotnaopomba-sklic"/>
        </w:rPr>
        <w:footnoteReference w:id="5"/>
      </w:r>
    </w:p>
    <w:p w:rsidR="000B201C" w:rsidP="00750824" w:rsidRDefault="000B201C" w14:paraId="1D4292FF" w14:textId="77777777">
      <w:pPr>
        <w:jc w:val="both"/>
      </w:pPr>
    </w:p>
    <w:p w:rsidR="00983F19" w:rsidP="00750824" w:rsidRDefault="00000000" w14:paraId="64B7C432" w14:textId="19EE4701">
      <w:pPr>
        <w:jc w:val="both"/>
      </w:pPr>
      <w:r>
        <w:t xml:space="preserve">L’articolo 9 disciplina la trasparenza degli algoritmi. La piattaforma deve fornire in modo proattivo, senza che sia necessario richiederlo, informazioni ai lavoratori e ai loro rappresentanti su ogni sistema di monitoraggio e decisione: quali dati raccoglie, come funziona, quali sono i parametri chiave e in che modo influenzano le decisioni, su quali basi è possibile limitare o sospendere un account. </w:t>
      </w:r>
      <w:r w:rsidR="00DF6109">
        <w:t xml:space="preserve">La direttiva richiede chiarezza e accessibilità, pertanto tali </w:t>
      </w:r>
      <w:r>
        <w:t xml:space="preserve">informazioni </w:t>
      </w:r>
      <w:r w:rsidR="00DF6109">
        <w:t xml:space="preserve">devono essere </w:t>
      </w:r>
      <w:r w:rsidR="00DF6109">
        <w:t xml:space="preserve">fornite </w:t>
      </w:r>
      <w:r>
        <w:t xml:space="preserve">in una lingua comprensibile ai lavoratori</w:t>
      </w:r>
      <w:r w:rsidR="00016B3D">
        <w:t xml:space="preserve">.</w:t>
      </w:r>
      <w:r>
        <w:t xml:space="preserve"> L’articolo 9, paragrafo 6, introduce il diritto alla portabilità dei dati (</w:t>
      </w:r>
      <w:r>
        <w:t xml:space="preserve">«data </w:t>
      </w:r>
      <w:r w:rsidR="00DF6109">
        <w:t xml:space="preserve">portability»</w:t>
      </w:r>
      <w:r>
        <w:t xml:space="preserve">): il lavoratore ha il diritto </w:t>
      </w:r>
      <w:r>
        <w:t xml:space="preserve">di ottenere tutti i dati generati durante lo svolgimento del lavoro </w:t>
      </w:r>
      <w:r w:rsidR="00D7386B">
        <w:t xml:space="preserve">– </w:t>
      </w:r>
      <w:r>
        <w:t xml:space="preserve">comprese le valutazioni e i pareri </w:t>
      </w:r>
      <w:r w:rsidR="00D7386B">
        <w:t xml:space="preserve">– </w:t>
      </w:r>
      <w:r>
        <w:t xml:space="preserve">in un formato leggibile da un dispositivo elettronico e di trasferirli altrove</w:t>
      </w:r>
      <w:r w:rsidR="00DF6109">
        <w:t xml:space="preserve">.</w:t>
      </w:r>
    </w:p>
    <w:p w:rsidR="00D90A18" w:rsidP="00750824" w:rsidRDefault="00D90A18" w14:paraId="78EEAB8B" w14:textId="77777777">
      <w:pPr>
        <w:jc w:val="both"/>
      </w:pPr>
    </w:p>
    <w:p w:rsidR="00983F19" w:rsidP="00750824" w:rsidRDefault="00000000" w14:paraId="7737FD96" w14:textId="7F3714C6">
      <w:pPr>
        <w:jc w:val="both"/>
      </w:pPr>
      <w:r>
        <w:t xml:space="preserve">L’articolo 10 stabilisce un quadro per il controllo umano costante sulle decisioni automatizzate. La piattaforma deve </w:t>
      </w:r>
      <w:r>
        <w:t xml:space="preserve">monitorare </w:t>
      </w:r>
      <w:r>
        <w:t xml:space="preserve">in modo continuo </w:t>
      </w:r>
      <w:r w:rsidR="00D7386B">
        <w:t xml:space="preserve">– </w:t>
      </w:r>
      <w:r>
        <w:t xml:space="preserve">e non solo periodicamente </w:t>
      </w:r>
      <w:r w:rsidR="00D7386B">
        <w:t xml:space="preserve">– </w:t>
      </w:r>
      <w:r>
        <w:t xml:space="preserve">l’impatto delle singole decisioni dell’AMDMS sui lavoratori. Ogni due anni deve effettuare una valutazione formale. Le persone che svolgono funzioni di controllo all’interno della piattaforma devono disporre delle qualifiche adeguate, delle autorizzazioni e </w:t>
      </w:r>
      <w:r w:rsidR="00DF6109">
        <w:t xml:space="preserve">della competenza </w:t>
      </w:r>
      <w:r>
        <w:t xml:space="preserve">per annullare una decisione automatizzata. Una disposizione fondamentale </w:t>
      </w:r>
      <w:r w:rsidR="00016B3D">
        <w:t xml:space="preserve">è </w:t>
      </w:r>
      <w:r w:rsidR="00DF6109">
        <w:t xml:space="preserve">che la piattaforma </w:t>
      </w:r>
      <w:r>
        <w:t xml:space="preserve">non può licenziare o sanzionare tali persone per aver svolto la funzione di controllo (articolo 10, paragrafo 2). Ogni decisione relativa alla limitazione, alla sospensione o alla chiusura di un conto deve essere presa da una persona fisica</w:t>
      </w:r>
      <w:r w:rsidR="00DF6109">
        <w:t xml:space="preserve">, </w:t>
      </w:r>
      <w:r>
        <w:t xml:space="preserve">non </w:t>
      </w:r>
      <w:r w:rsidR="00DF6109">
        <w:t xml:space="preserve">da un algoritmo </w:t>
      </w:r>
      <w:r>
        <w:t xml:space="preserve">(articolo 10, paragrafo 5).</w:t>
      </w:r>
    </w:p>
    <w:p w:rsidR="00D90A18" w:rsidP="00750824" w:rsidRDefault="00D90A18" w14:paraId="3A085AB4" w14:textId="77777777">
      <w:pPr>
        <w:jc w:val="both"/>
      </w:pPr>
    </w:p>
    <w:p w:rsidR="00983F19" w:rsidP="00750824" w:rsidRDefault="00000000" w14:paraId="6D8C84ED" w14:textId="0FC24A03">
      <w:pPr>
        <w:jc w:val="both"/>
      </w:pPr>
      <w:r>
        <w:t xml:space="preserve">L’articolo 11 disciplina il diritto alla revisione umana delle singole decisioni automatizzate. Il lavoratore ha diritto a una spiegazione di ogni decisione adottata o supportata dall’ADMS. Per le decisioni più gravi </w:t>
      </w:r>
      <w:r w:rsidR="00D7386B">
        <w:t xml:space="preserve">– </w:t>
      </w:r>
      <w:r>
        <w:t xml:space="preserve">limitazione del conto, rifiuto del pagamento, risoluzione del rapporto contrattuale </w:t>
      </w:r>
      <w:r w:rsidR="00D7386B">
        <w:t xml:space="preserve">– </w:t>
      </w:r>
      <w:r>
        <w:t xml:space="preserve">la piattaforma è tenuta, senza che sia necessario una richiesta e al più tardi il giorno </w:t>
      </w:r>
      <w:r w:rsidR="00DF6109">
        <w:t xml:space="preserve">in cui </w:t>
      </w:r>
      <w:r w:rsidR="00DF6109">
        <w:t xml:space="preserve">la decisione entra in vigore, </w:t>
      </w:r>
      <w:r>
        <w:t xml:space="preserve">a fornire una motivazione scritta </w:t>
      </w:r>
      <w:r w:rsidR="00DF6109">
        <w:t xml:space="preserve">della decisione</w:t>
      </w:r>
      <w:r>
        <w:t xml:space="preserve">. Il lavoratore ha quindi il diritto di richiedere una revisione</w:t>
      </w:r>
      <w:r w:rsidR="00DF6109">
        <w:t xml:space="preserve">, </w:t>
      </w:r>
      <w:r w:rsidR="00DF6109">
        <w:t xml:space="preserve">e</w:t>
      </w:r>
      <w:r>
        <w:t xml:space="preserve"> la piattaforma </w:t>
      </w:r>
      <w:r>
        <w:t xml:space="preserve">deve rispondere entro due settimane con una risposta scritta che ne giustifichi il contenuto. Qualora la decisione violi i diritti del lavoratore, la piattaforma deve correggerla entro due settimane o</w:t>
      </w:r>
      <w:r w:rsidR="005B4341">
        <w:t xml:space="preserve">, </w:t>
      </w:r>
      <w:r>
        <w:t xml:space="preserve">se ciò non è possibile</w:t>
      </w:r>
      <w:r w:rsidR="005B4341">
        <w:t xml:space="preserve">, </w:t>
      </w:r>
      <w:r>
        <w:t xml:space="preserve">versare un risarcimento.</w:t>
      </w:r>
    </w:p>
    <w:p w:rsidR="00983F19" w:rsidP="00750824" w:rsidRDefault="00000000" w14:paraId="42D47A9F" w14:textId="77777777">
      <w:pPr>
        <w:pStyle w:val="Naslov2"/>
        <w:jc w:val="both"/>
      </w:pPr>
      <w:bookmarkStart w:name="_Toc233699494" w:id="42"/>
      <w:bookmarkStart w:name="ugotovitve-iz-prakse-2" w:id="43"/>
      <w:bookmarkEnd w:id="41"/>
      <w:r>
        <w:t xml:space="preserve">5.2 Risultati emersi dalla pratica</w:t>
      </w:r>
      <w:bookmarkEnd w:id="42"/>
    </w:p>
    <w:p w:rsidR="00983F19" w:rsidP="00750824" w:rsidRDefault="00000000" w14:paraId="6C710FC8" w14:textId="2F7F05D7">
      <w:pPr>
        <w:jc w:val="both"/>
      </w:pPr>
      <w:r>
        <w:t xml:space="preserve">L’esperienza austriaca evidenzia la tensione fondamentale che la direttiva cerca di risolvere: il contratto collettivo austriaco per i corrieri (</w:t>
      </w:r>
      <w:r w:rsidR="005B4341">
        <w:t xml:space="preserve">stipulato originariamente nel 2020 e </w:t>
      </w:r>
      <w:r>
        <w:t xml:space="preserve">rinnovato per il periodo 2023–2025) è riuscito a regolamentare </w:t>
      </w:r>
      <w:r w:rsidR="005B4341">
        <w:t xml:space="preserve">gli aspetti </w:t>
      </w:r>
      <w:r>
        <w:t xml:space="preserve">relativi alle retribuzioni, </w:t>
      </w:r>
      <w:r w:rsidR="005B4341">
        <w:t xml:space="preserve">all’orario</w:t>
      </w:r>
      <w:r w:rsidR="005B4341">
        <w:t xml:space="preserve"> di lavoro </w:t>
      </w:r>
      <w:r>
        <w:t xml:space="preserve">e </w:t>
      </w:r>
      <w:r w:rsidR="005B4341">
        <w:t xml:space="preserve">alla sicurezza</w:t>
      </w:r>
      <w:r>
        <w:t xml:space="preserve">, ma non ha affrontato la questione della gestione algoritmica. </w:t>
      </w:r>
      <w:r w:rsidR="005B4341">
        <w:t xml:space="preserve">Le piattaforme sono consapevoli </w:t>
      </w:r>
      <w:r>
        <w:t xml:space="preserve">che il controllo algoritmico è </w:t>
      </w:r>
      <w:r>
        <w:t xml:space="preserve">la </w:t>
      </w:r>
      <w:r>
        <w:t xml:space="preserve">loro </w:t>
      </w:r>
      <w:r>
        <w:t xml:space="preserve">leva di potere </w:t>
      </w:r>
      <w:r w:rsidR="005B4341">
        <w:t xml:space="preserve">più importante </w:t>
      </w:r>
      <w:r w:rsidR="00D7386B">
        <w:t xml:space="preserve">– </w:t>
      </w:r>
      <w:r>
        <w:t xml:space="preserve">ed </w:t>
      </w:r>
      <w:r w:rsidR="005B4341">
        <w:t xml:space="preserve">è</w:t>
      </w:r>
      <w:r>
        <w:t xml:space="preserve"> proprio </w:t>
      </w:r>
      <w:r w:rsidR="005B4341">
        <w:t xml:space="preserve">su </w:t>
      </w:r>
      <w:r>
        <w:t xml:space="preserve">questo punto </w:t>
      </w:r>
      <w:r w:rsidR="005B4341">
        <w:t xml:space="preserve">che </w:t>
      </w:r>
      <w:r>
        <w:t xml:space="preserve">non sono disposte a negoziare. Il concetto </w:t>
      </w:r>
      <w:r w:rsidR="005B4341">
        <w:t xml:space="preserve">di «taylorismo digitale» </w:t>
      </w:r>
      <w:r>
        <w:t xml:space="preserve">descrive come sistemi, come la valutazione di eccellenza di </w:t>
      </w:r>
      <w:r>
        <w:t xml:space="preserve">Foodora</w:t>
      </w:r>
      <w:r>
        <w:t xml:space="preserve">, </w:t>
      </w:r>
      <w:r>
        <w:t xml:space="preserve">scompongano</w:t>
      </w:r>
      <w:r w:rsidR="005B4341">
        <w:t xml:space="preserve"> il lavoro </w:t>
      </w:r>
      <w:r>
        <w:t xml:space="preserve">in unità misurabili e, sulla base di questi dati, attivino licenziamenti automatici (il cosiddetto </w:t>
      </w:r>
      <w:r w:rsidR="005B4341">
        <w:t xml:space="preserve">«robo-firing»</w:t>
      </w:r>
      <w:r>
        <w:t xml:space="preserve">).</w:t>
      </w:r>
    </w:p>
    <w:p w:rsidR="00D90A18" w:rsidP="00750824" w:rsidRDefault="00D90A18" w14:paraId="48776CAF" w14:textId="77777777">
      <w:pPr>
        <w:jc w:val="both"/>
      </w:pPr>
    </w:p>
    <w:p w:rsidR="00983F19" w:rsidP="00750824" w:rsidRDefault="00000000" w14:paraId="28914753" w14:textId="080C5C8B">
      <w:pPr>
        <w:jc w:val="both"/>
      </w:pPr>
      <w:r>
        <w:t xml:space="preserve">Il rapporto del gruppo di esperti della Commissione europea documenta il problema fondamentale della doppia competenza</w:t>
      </w:r>
      <w:r w:rsidR="005B4341">
        <w:t xml:space="preserve">: </w:t>
      </w:r>
      <w:r>
        <w:t xml:space="preserve">la protezione dei dati nel </w:t>
      </w:r>
      <w:r>
        <w:t xml:space="preserve">lavoro </w:t>
      </w:r>
      <w:r>
        <w:t xml:space="preserve">su piattaforma </w:t>
      </w:r>
      <w:r>
        <w:t xml:space="preserve">rientra sia nella competenza delle autorità per la protezione dei dati (DPA) sia in quella degli ispettorati del lavoro, ma queste due istituzioni, di norma, non </w:t>
      </w:r>
      <w:r>
        <w:t xml:space="preserve">collaborano</w:t>
      </w:r>
      <w:r>
        <w:lastRenderedPageBreak/>
      </w:r>
      <w:r>
        <w:t xml:space="preserve"> . In pratica, ciò significa che un lavoratore, la cui posizione viene registrata dalla piattaforma al di fuori dell’orario di lavoro, non sa se debba presentare una segnalazione al Garante per la protezione dei dati o all’ispettorato del lavoro</w:t>
      </w:r>
      <w:r w:rsidR="005B4341">
        <w:t xml:space="preserve">, </w:t>
      </w:r>
      <w:r w:rsidR="005B4341">
        <w:t xml:space="preserve">mentre </w:t>
      </w:r>
      <w:r w:rsidR="005B4341">
        <w:t xml:space="preserve">entrambi </w:t>
      </w:r>
      <w:r>
        <w:t xml:space="preserve">gli organismi </w:t>
      </w:r>
      <w:r>
        <w:t xml:space="preserve">tendono a ritenere che la competenza spetti all’altro.</w:t>
      </w:r>
    </w:p>
    <w:p w:rsidR="00D90A18" w:rsidP="00750824" w:rsidRDefault="00D90A18" w14:paraId="6869F525" w14:textId="77777777">
      <w:pPr>
        <w:jc w:val="both"/>
      </w:pPr>
    </w:p>
    <w:p w:rsidR="00983F19" w:rsidP="00750824" w:rsidRDefault="00000000" w14:paraId="43EE7CE9" w14:textId="5D46ECC7">
      <w:pPr>
        <w:jc w:val="both"/>
      </w:pPr>
      <w:r>
        <w:t xml:space="preserve">La ZSSS, nelle sue linee guida per l’attuazione della direttiva (aprile 2025), ha proposto che il Garante per la protezione dei dati della Repubblica di Slovenia sia coinvolto nel processo di introduzione di ogni sistema automatizzato sul posto di lavoro </w:t>
      </w:r>
      <w:r w:rsidR="00D7386B">
        <w:t xml:space="preserve">– </w:t>
      </w:r>
      <w:r>
        <w:t xml:space="preserve">non solo come autorità che interviene in caso di violazione, ma come interlocutore preventivo delle parti sociali. Si tratta di una buona pratica che varrebbe la pena estendere a tutti gli Stati membri: l’autorità per la protezione dei dati come attore strutturale nel dialogo sociale sulla gestione algoritmica, non solo come supervisore reattivo.</w:t>
      </w:r>
    </w:p>
    <w:p w:rsidR="00D90A18" w:rsidP="00750824" w:rsidRDefault="00D90A18" w14:paraId="2F3AC2C6" w14:textId="77777777">
      <w:pPr>
        <w:jc w:val="both"/>
      </w:pPr>
    </w:p>
    <w:p w:rsidR="00983F19" w:rsidP="00750824" w:rsidRDefault="00000000" w14:paraId="7C4EEE62" w14:textId="1CC77400">
      <w:pPr>
        <w:jc w:val="both"/>
      </w:pPr>
      <w:r>
        <w:t xml:space="preserve">Alla conferenza del progetto SDDP tenutasi a Lubiana nel maggio 2025, i rappresentanti di tutti i paesi partner hanno confermato una conclusione comune: il diritto alla spiegazione delle decisioni algoritmiche esiste sulla carta, ma nella pratica è privo di contenuto. I lavoratori ricevono spiegazioni generiche che non rivelano i parametri effettivi, mentre la persona responsabile della revisione spesso non è qualificata per una valutazione sostanziale </w:t>
      </w:r>
      <w:r w:rsidR="00FF3A12">
        <w:t xml:space="preserve">e </w:t>
      </w:r>
      <w:r>
        <w:t xml:space="preserve">la sua risposta si limita a confermare la decisione dell’algoritmo. L’articolo 11 della direttiva affronta esplicitamente la questione, ma l’attuazione deve essere accurata: occorre richiedere una revisione sostanziale, non solo formale.</w:t>
      </w:r>
    </w:p>
    <w:p w:rsidR="00D90A18" w:rsidP="00750824" w:rsidRDefault="00D90A18" w14:paraId="7B1C183D" w14:textId="77777777">
      <w:pPr>
        <w:jc w:val="both"/>
      </w:pPr>
    </w:p>
    <w:p w:rsidR="00983F19" w:rsidP="00750824" w:rsidRDefault="00000000" w14:paraId="7FDAD910" w14:textId="391B9782">
      <w:pPr>
        <w:jc w:val="both"/>
      </w:pPr>
      <w:r>
        <w:t xml:space="preserve">In particolare, nel contesto dell’organizzazione sindacale, è stato sottolineato il divieto di cui all’articolo 7, paragrafo 1, lettera d): le piattaforme </w:t>
      </w:r>
      <w:r>
        <w:t xml:space="preserve">potrebbero</w:t>
      </w:r>
      <w:r>
        <w:t xml:space="preserve"> infatti </w:t>
      </w:r>
      <w:r>
        <w:t xml:space="preserve">prevedere l’attività sindacale </w:t>
      </w:r>
      <w:r>
        <w:t xml:space="preserve">analizzando i modelli di comportamento dei lavoratori </w:t>
      </w:r>
      <w:r>
        <w:t xml:space="preserve">– ad esempio, quali lavoratori rifiutano gli ordini in determinati orari, quali sono in contatto tra loro</w:t>
      </w:r>
      <w:r>
        <w:t xml:space="preserve">. La direttiva lo vieta. Il consenso del lavoratore non può modificare tale divieto.</w:t>
      </w:r>
    </w:p>
    <w:p w:rsidR="00983F19" w:rsidP="00750824" w:rsidRDefault="00000000" w14:paraId="09C6333A" w14:textId="77777777">
      <w:pPr>
        <w:pStyle w:val="Naslov2"/>
        <w:jc w:val="both"/>
      </w:pPr>
      <w:bookmarkStart w:name="_Toc233699495" w:id="44"/>
      <w:bookmarkStart w:name="priporočila-2" w:id="45"/>
      <w:bookmarkEnd w:id="43"/>
      <w:r>
        <w:t xml:space="preserve">5.3 Raccomandazioni</w:t>
      </w:r>
      <w:bookmarkEnd w:id="44"/>
    </w:p>
    <w:p w:rsidR="00983F19" w:rsidP="00750824" w:rsidRDefault="00000000" w14:paraId="13A7E7A7" w14:textId="7AB1A20A">
      <w:pPr>
        <w:jc w:val="both"/>
      </w:pPr>
      <w:r>
        <w:t xml:space="preserve">Le seguenti raccomandazioni sono rivolte ai ministeri del lavoro e alle autorità garanti della protezione </w:t>
      </w:r>
      <w:r>
        <w:t xml:space="preserve">dei dati</w:t>
      </w:r>
      <w:r w:rsidR="008A7718">
        <w:t xml:space="preserve"> personali </w:t>
      </w:r>
      <w:r>
        <w:t xml:space="preserve">degli Stati membri dell’UE.</w:t>
      </w:r>
    </w:p>
    <w:p w:rsidR="00983F19" w:rsidP="00750824" w:rsidRDefault="00000000" w14:paraId="2B6EB242" w14:textId="77777777">
      <w:pPr>
        <w:pStyle w:val="Naslov3"/>
        <w:jc w:val="both"/>
      </w:pPr>
      <w:r>
        <w:t xml:space="preserve">Raccomandazione 5.1 [DIRETTIVA]: Trasporre i divieti assoluti di cui all’articolo 7 senza eccezioni e senza consenso</w:t>
      </w:r>
    </w:p>
    <w:p w:rsidR="00983F19" w:rsidP="00750824" w:rsidRDefault="00000000" w14:paraId="50B9577B" w14:textId="1DAB2F37">
      <w:pPr>
        <w:jc w:val="both"/>
      </w:pPr>
      <w:r>
        <w:t xml:space="preserve">Le leggi nazionali devono recepire i divieti di cui all’articolo 7 in modo incondizionato</w:t>
      </w:r>
      <w:r>
        <w:t xml:space="preserve">, senza che la piattaforma possa </w:t>
      </w:r>
      <w:r>
        <w:t xml:space="preserve">aggirare alcuno di essi mediante il consenso del lavoratore. La legge deve stabilire espressamente che il consenso non costituisce una base giuridica valida per il trattamento vietato </w:t>
      </w:r>
      <w:r w:rsidR="008A7718">
        <w:t xml:space="preserve">dei dati </w:t>
      </w:r>
      <w:r>
        <w:t xml:space="preserve">nel lavoro </w:t>
      </w:r>
      <w:r>
        <w:t xml:space="preserve">su piattaforma</w:t>
      </w:r>
      <w:r>
        <w:t xml:space="preserve">. Si raccomanda che la legge includa esempi concreti di comportamenti vietati: la raccolta di dati di localizzazione durante le pause, l’analisi delle comunicazioni tra i lavoratori allo scopo di individuare attività sindacali, l’estrazione di conclusioni sullo stato di salute sulla base di modelli comportamentali. Le autorità competenti devono essere autorizzate ad applicare i divieti in modo proattivo, non solo a seguito di un reclamo.</w:t>
      </w:r>
    </w:p>
    <w:p w:rsidR="00D90A18" w:rsidP="00750824" w:rsidRDefault="00D90A18" w14:paraId="715DEACA" w14:textId="77777777">
      <w:pPr>
        <w:jc w:val="both"/>
      </w:pPr>
    </w:p>
    <w:p w:rsidR="00983F19" w:rsidP="00750824" w:rsidRDefault="00000000" w14:paraId="3B0530CF" w14:textId="1FE95661">
      <w:pPr>
        <w:pStyle w:val="Blokbesedila"/>
      </w:pPr>
      <w:r>
        <w:t xml:space="preserve">Contesto: il gruppo di esperti della CE ha confermato che il consenso nel </w:t>
      </w:r>
      <w:r>
        <w:t xml:space="preserve">lavoro </w:t>
      </w:r>
      <w:r>
        <w:t xml:space="preserve">su piattaforma </w:t>
      </w:r>
      <w:r>
        <w:t xml:space="preserve">non è libero, poiché </w:t>
      </w:r>
      <w:r>
        <w:t xml:space="preserve">il lavoratore non può </w:t>
      </w:r>
      <w:r w:rsidR="008A7718">
        <w:t xml:space="preserve">rifiutarlo </w:t>
      </w:r>
      <w:r>
        <w:t xml:space="preserve">senza rischiare di </w:t>
      </w:r>
      <w:r w:rsidR="008A7718">
        <w:t xml:space="preserve">perdere il lavoro</w:t>
      </w:r>
      <w:r>
        <w:t xml:space="preserve">. I divieti di cui all’articolo 7 sono quindi assoluti </w:t>
      </w:r>
      <w:r w:rsidR="008A7718">
        <w:t xml:space="preserve">e </w:t>
      </w:r>
      <w:r>
        <w:t xml:space="preserve">ciò deve essere chiaramente sancito nella legge, non solo ripreso dalla direttiva.</w:t>
      </w:r>
    </w:p>
    <w:p w:rsidR="00983F19" w:rsidP="00750824" w:rsidRDefault="00000000" w14:paraId="512E3E8E" w14:textId="55A382E1">
      <w:pPr>
        <w:pStyle w:val="Naslov3"/>
        <w:jc w:val="both"/>
      </w:pPr>
      <w:r>
        <w:t xml:space="preserve">Raccomandazione 5.2 [DIRETTIVA]: la DPIA come condizione per l’introduzione di qualsiasi AMDMS </w:t>
      </w:r>
      <w:r w:rsidR="00D7386B">
        <w:t xml:space="preserve">– </w:t>
      </w:r>
      <w:r>
        <w:t xml:space="preserve">compresi i sistemi esistenti</w:t>
      </w:r>
    </w:p>
    <w:p w:rsidR="00983F19" w:rsidP="00750824" w:rsidRDefault="00000000" w14:paraId="7622A0C1" w14:textId="5A90BF6D">
      <w:pPr>
        <w:jc w:val="both"/>
      </w:pPr>
      <w:r>
        <w:lastRenderedPageBreak/>
      </w:r>
      <w:r>
        <w:t xml:space="preserve">I ministeri devono </w:t>
      </w:r>
      <w:r>
        <w:t xml:space="preserve">stabilire </w:t>
      </w:r>
      <w:r>
        <w:t xml:space="preserve">nella </w:t>
      </w:r>
      <w:r w:rsidR="008A7718">
        <w:t xml:space="preserve">legge di recepimento della direttiva </w:t>
      </w:r>
      <w:r>
        <w:t xml:space="preserve">che la valutazione d’impatto sulla protezione dei dati (DPIA) sia obbligatoria prima di ogni introduzione di un nuovo AMDMS e per tutti i sistemi esistenti già in uso sulla piattaforma al momento dell’entrata in vigore della legge. Il termine per l’esecuzione della valutazione per i sistemi esistenti non deve superare i sei mesi dall’entrata in vigore della legge. I rappresentanti dei lavoratori devono essere coinvolti nella preparazione della valutazione</w:t>
      </w:r>
      <w:r w:rsidR="008A7718">
        <w:t xml:space="preserve">, </w:t>
      </w:r>
      <w:r>
        <w:t xml:space="preserve">non solo informati della sua esistenza. La DPIA definitiva deve essere loro trasmessa senza che ne facciano richiesta.</w:t>
      </w:r>
    </w:p>
    <w:p w:rsidR="008A7718" w:rsidP="00750824" w:rsidRDefault="008A7718" w14:paraId="76FB34EE" w14:textId="77777777">
      <w:pPr>
        <w:jc w:val="both"/>
      </w:pPr>
    </w:p>
    <w:p w:rsidR="00983F19" w:rsidP="00750824" w:rsidRDefault="00000000" w14:paraId="297DFDC8" w14:textId="335EB246">
      <w:pPr>
        <w:pStyle w:val="Blokbesedila"/>
      </w:pPr>
      <w:r>
        <w:t xml:space="preserve">Contesto: l’articolo 8 è più rigoroso rispetto all’articolo 35 del GDPR: la direttiva </w:t>
      </w:r>
      <w:r w:rsidR="00016B3D">
        <w:t xml:space="preserve">presuppone </w:t>
      </w:r>
      <w:r>
        <w:t xml:space="preserve">incondizionatamente </w:t>
      </w:r>
      <w:r>
        <w:t xml:space="preserve">l’esistenza di un rischio </w:t>
      </w:r>
      <w:r w:rsidR="008A7718">
        <w:t xml:space="preserve">nel lavoro </w:t>
      </w:r>
      <w:r w:rsidR="008A7718">
        <w:t xml:space="preserve">su piattaforma</w:t>
      </w:r>
      <w:r>
        <w:t xml:space="preserve">. Ciò significa che la valutazione non può essere sostituita da una politica generale di protezione dei dati dell’azienda. La consultazione dei lavoratori durante la preparazione della DPIA è una condizione che le leggi nazionali devono rendere operativa.</w:t>
      </w:r>
    </w:p>
    <w:p w:rsidR="00983F19" w:rsidP="00750824" w:rsidRDefault="00000000" w14:paraId="617DAA43" w14:textId="1A3BD556">
      <w:pPr>
        <w:pStyle w:val="Naslov3"/>
        <w:jc w:val="both"/>
      </w:pPr>
      <w:r>
        <w:t xml:space="preserve">Raccomandazione 5.3 [DIRETTIVA]: La portabilità delle valutazioni e delle recensioni come </w:t>
      </w:r>
      <w:r w:rsidR="008A7718">
        <w:t xml:space="preserve">“proprietà”</w:t>
      </w:r>
      <w:r>
        <w:t xml:space="preserve"> del lavoratore</w:t>
      </w:r>
    </w:p>
    <w:p w:rsidR="00983F19" w:rsidP="00750824" w:rsidRDefault="00000000" w14:paraId="2CF9A68E" w14:textId="52E9E76B">
      <w:pPr>
        <w:jc w:val="both"/>
      </w:pPr>
      <w:r>
        <w:t xml:space="preserve">La legge deve stabilire espressamente che </w:t>
      </w:r>
      <w:r>
        <w:t xml:space="preserve">le valutazioni e i pareri raccolti durante lo svolgimento </w:t>
      </w:r>
      <w:r>
        <w:t xml:space="preserve">del lavoro </w:t>
      </w:r>
      <w:r>
        <w:t xml:space="preserve">su piattaforma </w:t>
      </w:r>
      <w:r w:rsidR="008A7718">
        <w:t xml:space="preserve">costituiscono </w:t>
      </w:r>
      <w:r>
        <w:t xml:space="preserve">dati personali del lavoratore e sono soggetti al diritto alla portabilità ai sensi dell’articolo 9, paragrafo 6, della direttiva. La piattaforma deve fornire strumenti gratuiti per il trasferimento in formato leggibile da dispositivo elettronico. Il lavoratore deve avere la possibilità di trasferire i dati su un’altra piattaforma o di presentarli nell’ambito di un procedimento volto a determinare lo status lavorativo. La legge deve vietare alla piattaforma di </w:t>
      </w:r>
      <w:r>
        <w:t xml:space="preserve">cancellare o nascondere </w:t>
      </w:r>
      <w:r>
        <w:t xml:space="preserve">le valutazioni al momento dell’uscita del lavoratore </w:t>
      </w:r>
      <w:r w:rsidR="008A7718">
        <w:t xml:space="preserve">dalla piattaforma</w:t>
      </w:r>
      <w:r>
        <w:t xml:space="preserve">.</w:t>
      </w:r>
    </w:p>
    <w:p w:rsidR="008A7718" w:rsidP="00750824" w:rsidRDefault="008A7718" w14:paraId="397723AE" w14:textId="77777777">
      <w:pPr>
        <w:jc w:val="both"/>
      </w:pPr>
    </w:p>
    <w:p w:rsidR="00983F19" w:rsidP="00750824" w:rsidRDefault="00000000" w14:paraId="007763BE" w14:textId="1BC413FF">
      <w:pPr>
        <w:jc w:val="both"/>
      </w:pPr>
      <w:r>
        <w:t xml:space="preserve">Il gruppo di esperti della CE ha </w:t>
      </w:r>
      <w:r w:rsidR="008A7718">
        <w:t xml:space="preserve">inoltre </w:t>
      </w:r>
      <w:r>
        <w:t xml:space="preserve">confermato </w:t>
      </w:r>
      <w:r w:rsidR="008A7718">
        <w:t xml:space="preserve">che </w:t>
      </w:r>
      <w:r>
        <w:t xml:space="preserve">il lavoratore </w:t>
      </w:r>
      <w:r w:rsidR="008A7718">
        <w:t xml:space="preserve">ha </w:t>
      </w:r>
      <w:r>
        <w:t xml:space="preserve">il diritto di determinare quali categorie di dati </w:t>
      </w:r>
      <w:r w:rsidR="008A7718">
        <w:t xml:space="preserve">debbano </w:t>
      </w:r>
      <w:r w:rsidR="008A7718">
        <w:t xml:space="preserve">essere trasferite</w:t>
      </w:r>
      <w:r>
        <w:t xml:space="preserve">, ma non può richiedere una selezione all’interno di una categoria.</w:t>
      </w:r>
    </w:p>
    <w:p w:rsidR="00D90A18" w:rsidP="00750824" w:rsidRDefault="00D90A18" w14:paraId="7F3A0E71" w14:textId="77777777">
      <w:pPr>
        <w:jc w:val="both"/>
      </w:pPr>
    </w:p>
    <w:p w:rsidR="00983F19" w:rsidP="00750824" w:rsidRDefault="00000000" w14:paraId="7148FB83" w14:textId="047411A6">
      <w:pPr>
        <w:pStyle w:val="Naslov3"/>
        <w:jc w:val="both"/>
      </w:pPr>
      <w:r>
        <w:t xml:space="preserve">Raccomandazione 5.4 [DIRETTIVA]: Controllo umano costante e verifica effettiva </w:t>
      </w:r>
      <w:r w:rsidR="00D7386B">
        <w:t xml:space="preserve">– </w:t>
      </w:r>
      <w:r>
        <w:t xml:space="preserve">non solo formale</w:t>
      </w:r>
    </w:p>
    <w:p w:rsidR="00983F19" w:rsidP="00750824" w:rsidRDefault="00000000" w14:paraId="17E5BCB7" w14:textId="1F384C38">
      <w:pPr>
        <w:jc w:val="both"/>
      </w:pPr>
      <w:r>
        <w:t xml:space="preserve">La legge deve stabilire che il controllo di cui all’articolo 10 sia continuo</w:t>
      </w:r>
      <w:r w:rsidR="00E872A3">
        <w:t xml:space="preserve">, </w:t>
      </w:r>
      <w:r>
        <w:t xml:space="preserve">non solo una revisione periodica ogni due anni. La piattaforma deve designare persone concrete responsabili del controllo, con poteri ben definiti che includano il diritto di annullare una decisione automatizzata. Tali persone non devono essere licenziate o sanzionate per aver esercitato la funzione di controllo </w:t>
      </w:r>
      <w:r w:rsidR="00D7386B">
        <w:t xml:space="preserve">– </w:t>
      </w:r>
      <w:r w:rsidR="00E872A3">
        <w:t xml:space="preserve">la</w:t>
      </w:r>
      <w:r>
        <w:t xml:space="preserve"> legge deve </w:t>
      </w:r>
      <w:r w:rsidR="00E872A3">
        <w:t xml:space="preserve">stabilirlo </w:t>
      </w:r>
      <w:r>
        <w:t xml:space="preserve">espressamente, indicando anche le conseguenze giuridiche per la piattaforma che lo violasse. Raccomandiamo che la piattaforma informi i sindacati in merito alle constatazioni di controllo ogni volta che rilevi una violazione dei diritti</w:t>
      </w:r>
      <w:r w:rsidR="00E872A3">
        <w:t xml:space="preserve">, </w:t>
      </w:r>
      <w:r>
        <w:t xml:space="preserve">non solo nell’ambito della relazione biennale.</w:t>
      </w:r>
    </w:p>
    <w:p w:rsidR="00E872A3" w:rsidP="00750824" w:rsidRDefault="00E872A3" w14:paraId="4A896CD8" w14:textId="77777777">
      <w:pPr>
        <w:jc w:val="both"/>
      </w:pPr>
    </w:p>
    <w:p w:rsidR="00E872A3" w:rsidP="00750824" w:rsidRDefault="00000000" w14:paraId="3E845F4F" w14:textId="16263007">
      <w:pPr>
        <w:pStyle w:val="Blokbesedila"/>
      </w:pPr>
      <w:r>
        <w:t xml:space="preserve">Contesto: l’articolo 10, paragrafo 2, della direttiva prevede già la tutela dei responsabili della vigilanza dal licenziamento, ma in forma generica. In assenza di una disposizione concreta nella legislazione nazionale, la piattaforma interpreterà tale obbligo in modo restrittivo. L’esperienza austriaca (valutazione di eccellenza, licenziamento automatico) dimostra che proprio le decisioni con le conseguenze più gravi per i lavoratori sono quelle che sono state completamente automatizzate.</w:t>
      </w:r>
    </w:p>
    <w:p w:rsidR="00983F19" w:rsidP="00750824" w:rsidRDefault="00000000" w14:paraId="670D7594" w14:textId="15B509F0">
      <w:pPr>
        <w:pStyle w:val="Naslov3"/>
        <w:jc w:val="both"/>
      </w:pPr>
      <w:r>
        <w:t xml:space="preserve">Raccomandazione 5.5 [SUPERA IL MINIMO]: Il Garante della protezione dei dati come interlocutore strutturale nel dialogo sociale</w:t>
      </w:r>
    </w:p>
    <w:p w:rsidR="00983F19" w:rsidP="00750824" w:rsidRDefault="00000000" w14:paraId="0A64ABF9" w14:textId="6A1A83B3">
      <w:pPr>
        <w:jc w:val="both"/>
      </w:pPr>
      <w:r>
        <w:t xml:space="preserve">I ministeri</w:t>
      </w:r>
      <w:r>
        <w:t xml:space="preserve">, insieme alle autorità per la protezione dei dati, dovrebbero istituire una procedura in cui il Garante per la protezione dei dati (o un’altra autorità competente in materia di protezione dei dati) partecipi all’introduzione di ogni nuovo sistema di gestione automatizzata dei dati (AMDMS) nella </w:t>
      </w:r>
      <w:r>
        <w:t xml:space="preserve">parte </w:t>
      </w:r>
      <w:r>
        <w:t xml:space="preserve">relativa alla piattaforma </w:t>
      </w:r>
      <w:r w:rsidR="00D7386B">
        <w:t xml:space="preserve">– </w:t>
      </w:r>
      <w:r>
        <w:t xml:space="preserve">non solo come autorità di controllo a seguito di una violazione, ma come interlocutore preventivo nel dialogo sociale. Raccomandiamo che la legge garantisca ai rappresentanti sindacali il diritto all’assistenza tecnica del Garante per la protezione dei dati nella valutazione dei sistemi algoritmici. In Slovenia</w:t>
      </w:r>
      <w:r w:rsidR="00E872A3">
        <w:t xml:space="preserve">,</w:t>
      </w:r>
      <w:r>
        <w:t xml:space="preserve"> la ZSSS </w:t>
      </w:r>
      <w:r w:rsidR="00E872A3">
        <w:t xml:space="preserve">propone </w:t>
      </w:r>
      <w:r>
        <w:t xml:space="preserve">espressamente </w:t>
      </w:r>
      <w:r>
        <w:t xml:space="preserve">questo ruolo</w:t>
      </w:r>
      <w:r w:rsidR="00E872A3">
        <w:lastRenderedPageBreak/>
      </w:r>
      <w:r w:rsidR="00E872A3">
        <w:t xml:space="preserve"> </w:t>
      </w:r>
      <w:r w:rsidR="00E872A3">
        <w:t xml:space="preserve">: </w:t>
      </w:r>
      <w:r>
        <w:t xml:space="preserve">raccomandiamo che tutti gli Stati membri lo sanciscano per legge in forma equivalente.</w:t>
      </w:r>
    </w:p>
    <w:p w:rsidR="00E872A3" w:rsidP="00750824" w:rsidRDefault="00E872A3" w14:paraId="0AF53F7E" w14:textId="77777777">
      <w:pPr>
        <w:jc w:val="both"/>
      </w:pPr>
    </w:p>
    <w:p w:rsidR="00983F19" w:rsidP="00750824" w:rsidRDefault="00000000" w14:paraId="532636F0" w14:textId="7EDD5CD2">
      <w:pPr>
        <w:pStyle w:val="Blokbesedila"/>
      </w:pPr>
      <w:r>
        <w:t xml:space="preserve">Contesto: le linee guida della ZSSS (aprile 2025) propongono il coinvolgimento del Garante per la protezione dei dati della Repubblica di Slovenia nell’introduzione dei sistemi di AM/AI. Il gruppo di esperti della CE ha confermato che le autorità di protezione dei dati (DPA) sono competenti in materia di protezione dei dati, ma rileva al contempo che il coordinamento con gli ispettorati è indispensabile</w:t>
      </w:r>
      <w:r w:rsidR="00E872A3">
        <w:t xml:space="preserve">, </w:t>
      </w:r>
      <w:r>
        <w:t xml:space="preserve">il che rappresenta uno dei problemi strutturali che l’attuazione deve risolvere.</w:t>
      </w:r>
    </w:p>
    <w:p w:rsidR="00983F19" w:rsidP="00750824" w:rsidRDefault="00000000" w14:paraId="7C1679F6" w14:textId="4D24BEB5">
      <w:pPr>
        <w:pStyle w:val="Naslov3"/>
        <w:jc w:val="both"/>
      </w:pPr>
      <w:r>
        <w:t xml:space="preserve">Raccomandazione 5.6 [SUPERA IL MINIMO]: Risoluzione della doppia competenza: coordinamento tra le autorità di protezione dei dati (DPA) e l’ispettorato del lavoro</w:t>
      </w:r>
    </w:p>
    <w:p w:rsidR="00983F19" w:rsidP="00750824" w:rsidRDefault="00000000" w14:paraId="0551DE56" w14:textId="0D3ED92E">
      <w:pPr>
        <w:jc w:val="both"/>
      </w:pPr>
      <w:r>
        <w:t xml:space="preserve">I ministeri devono specificare nella legge di recepimento quale autorità sia competente per l’attuazione di quale parte della direttiva: gli articoli 7-9 (protezione dei dati nell’ambito dell’AMDMS) rientra principalmente nella competenza dell’autorità per la protezione dei dati (DPA)</w:t>
      </w:r>
      <w:r w:rsidR="00B833F8">
        <w:t xml:space="preserve">, mentre </w:t>
      </w:r>
      <w:r>
        <w:t xml:space="preserve">gli articoli 10-11 (controllo umano, revisione delle decisioni) rientrano nella competenza dell’ispettorato del lavoro, per cui potrebbe essere necessaria un’azione coordinata tra entrambi. La legge deve istituire un protocollo obbligatorio di cooperazione tra la DPA e l’ispettorato del lavoro nelle questioni relative </w:t>
      </w:r>
      <w:r>
        <w:t xml:space="preserve">al lavoro </w:t>
      </w:r>
      <w:r>
        <w:t xml:space="preserve">su piattaforma</w:t>
      </w:r>
      <w:r>
        <w:t xml:space="preserve">. Il lavoratore o il sindacato che presenta una segnalazione non deve essere rinviato da un’autorità all’altra senza un esame sostanziale del caso.</w:t>
      </w:r>
    </w:p>
    <w:p w:rsidR="00DC4393" w:rsidP="00750824" w:rsidRDefault="00DC4393" w14:paraId="403CEDB1" w14:textId="77777777">
      <w:pPr>
        <w:jc w:val="both"/>
      </w:pPr>
    </w:p>
    <w:p w:rsidR="00983F19" w:rsidP="00750824" w:rsidRDefault="00000000" w14:paraId="30CB4868" w14:textId="3F1E7AF9">
      <w:pPr>
        <w:pStyle w:val="Blokbesedila"/>
      </w:pPr>
      <w:r>
        <w:t xml:space="preserve">Contesto: il gruppo di esperti della Commissione europea ha constatato che, per le questioni di cui al capitolo III della direttiva, sono competenti sia le autorità DPA che gli ispettorati del lavoro, a seconda che si tratti di una questione di protezione dei dati o di condizioni di lavoro. In assenza di una chiara delimitazione delle competenze</w:t>
      </w:r>
      <w:r>
        <w:t xml:space="preserve">,</w:t>
      </w:r>
      <w:r>
        <w:t xml:space="preserve"> si creerà </w:t>
      </w:r>
      <w:r>
        <w:t xml:space="preserve">un «ping-pong»</w:t>
      </w:r>
      <w:r>
        <w:t xml:space="preserve"> istituzionale </w:t>
      </w:r>
      <w:r w:rsidR="00B833F8">
        <w:t xml:space="preserve">estremamente dispendioso in termini di tempo e inefficace</w:t>
      </w:r>
      <w:r>
        <w:t xml:space="preserve">.</w:t>
      </w:r>
    </w:p>
    <w:p w:rsidR="00DC4393" w:rsidP="00750824" w:rsidRDefault="00DC4393" w14:paraId="21DB8DD9" w14:textId="77777777">
      <w:pPr>
        <w:jc w:val="both"/>
        <w:rPr>
          <w:b/>
          <w:bCs/>
        </w:rPr>
      </w:pPr>
    </w:p>
    <w:p w:rsidR="00983F19" w:rsidP="00750824" w:rsidRDefault="00000000" w14:paraId="01A59C58" w14:textId="3905780E">
      <w:pPr>
        <w:jc w:val="both"/>
      </w:pPr>
      <w:r>
        <w:rPr>
          <w:b/>
          <w:bCs/>
        </w:rPr>
        <w:t xml:space="preserve">Nota sull’attuazione</w:t>
      </w:r>
    </w:p>
    <w:p w:rsidR="00983F19" w:rsidP="00750824" w:rsidRDefault="00000000" w14:paraId="496B9849" w14:textId="14D6614E">
      <w:pPr>
        <w:jc w:val="both"/>
      </w:pPr>
      <w:r>
        <w:rPr>
          <w:i/>
          <w:iCs/>
        </w:rPr>
        <w:t xml:space="preserve">La protezione dei dati nel </w:t>
      </w:r>
      <w:r>
        <w:rPr>
          <w:i/>
          <w:iCs/>
        </w:rPr>
        <w:t xml:space="preserve">lavoro </w:t>
      </w:r>
      <w:r>
        <w:rPr>
          <w:i/>
          <w:iCs/>
        </w:rPr>
        <w:t xml:space="preserve">su piattaforma </w:t>
      </w:r>
      <w:r>
        <w:rPr>
          <w:i/>
          <w:iCs/>
        </w:rPr>
        <w:t xml:space="preserve">non è una questione tecnica a sé stante</w:t>
      </w:r>
      <w:r w:rsidR="00B833F8">
        <w:rPr>
          <w:i/>
          <w:iCs/>
        </w:rPr>
        <w:t xml:space="preserve">, </w:t>
      </w:r>
      <w:r>
        <w:rPr>
          <w:i/>
          <w:iCs/>
        </w:rPr>
        <w:t xml:space="preserve">ma un presupposto per un dialogo sociale credibile. Finché la piattaforma controlla quali lavoratori comunicano tra loro e quali diritti esercitano, i sindacati non godono di parità di trattamento nelle trattative. Gli articoli da 7 a 11 della direttiva </w:t>
      </w:r>
      <w:r w:rsidR="00B833F8">
        <w:rPr>
          <w:i/>
          <w:iCs/>
        </w:rPr>
        <w:t xml:space="preserve">affrontano </w:t>
      </w:r>
      <w:r w:rsidR="00B833F8">
        <w:rPr>
          <w:i/>
          <w:iCs/>
        </w:rPr>
        <w:t xml:space="preserve">questo </w:t>
      </w:r>
      <w:r>
        <w:rPr>
          <w:i/>
          <w:iCs/>
        </w:rPr>
        <w:t xml:space="preserve">squilibrio</w:t>
      </w:r>
      <w:r w:rsidR="00B833F8">
        <w:rPr>
          <w:i/>
          <w:iCs/>
        </w:rPr>
        <w:t xml:space="preserve"> strutturale </w:t>
      </w:r>
      <w:r>
        <w:rPr>
          <w:i/>
          <w:iCs/>
        </w:rPr>
        <w:t xml:space="preserve">con requisiti di trasparenza, portabilità e controllo umano. L’attuazione deve essere accurata: le disposizioni formali prive di standard sostanziali non sono sufficienti.</w:t>
      </w:r>
    </w:p>
    <w:p w:rsidR="00750824" w:rsidRDefault="00750824" w14:paraId="1E018822" w14:textId="77777777">
      <w:pPr>
        <w:rPr>
          <w:b/>
          <w:bCs/>
          <w:color w:val="1F3864"/>
          <w:sz w:val="36"/>
          <w:szCs w:val="36"/>
        </w:rPr>
      </w:pPr>
      <w:bookmarkStart w:name="Xeb9ad283c504020b2ba173fa22e0871cc81f3b2" w:id="46"/>
      <w:bookmarkEnd w:id="38"/>
      <w:bookmarkEnd w:id="45"/>
      <w:r>
        <w:br w:type="page"/>
      </w:r>
    </w:p>
    <w:p w:rsidR="00983F19" w:rsidP="00750824" w:rsidRDefault="00000000" w14:paraId="3FBE0AD4" w14:textId="5D4AEA0B">
      <w:pPr>
        <w:pStyle w:val="Naslov1"/>
        <w:jc w:val="both"/>
      </w:pPr>
      <w:bookmarkStart w:name="_Toc233699496" w:id="47"/>
      <w:r>
        <w:lastRenderedPageBreak/>
      </w:r>
      <w:r>
        <w:t xml:space="preserve">Capitolo 6: Diritti collettivi e dialogo sociale</w:t>
      </w:r>
      <w:bookmarkEnd w:id="47"/>
    </w:p>
    <w:p w:rsidR="00983F19" w:rsidP="00750824" w:rsidRDefault="00000000" w14:paraId="78B231F1" w14:textId="77777777">
      <w:pPr>
        <w:pStyle w:val="Naslov2"/>
        <w:jc w:val="both"/>
      </w:pPr>
      <w:bookmarkStart w:name="_Toc233699497" w:id="48"/>
      <w:bookmarkStart w:name="zahteve-direktive-3" w:id="49"/>
      <w:r>
        <w:t xml:space="preserve">6.1 Requisiti della direttiva</w:t>
      </w:r>
      <w:bookmarkEnd w:id="48"/>
    </w:p>
    <w:p w:rsidR="00983F19" w:rsidP="00750824" w:rsidRDefault="00000000" w14:paraId="6732DCF7" w14:textId="227CD3D5">
      <w:pPr>
        <w:jc w:val="both"/>
      </w:pPr>
      <w:r>
        <w:t xml:space="preserve">La direttiva UE 2024/2831 sul </w:t>
      </w:r>
      <w:r>
        <w:t xml:space="preserve">lavoro </w:t>
      </w:r>
      <w:r>
        <w:t xml:space="preserve">tramite piattaforme </w:t>
      </w:r>
      <w:r w:rsidR="000617C4">
        <w:t xml:space="preserve">dedica </w:t>
      </w:r>
      <w:r>
        <w:t xml:space="preserve">due disposizioni </w:t>
      </w:r>
      <w:r w:rsidR="000617C4">
        <w:t xml:space="preserve">dirette </w:t>
      </w:r>
      <w:r>
        <w:t xml:space="preserve">(articoli 25 e 29), una indiretta (articolo 28) e una serie di meccanismi che costituiscono il presupposto per il funzionamento del dialogo sociale nella pratica: </w:t>
      </w:r>
      <w:r w:rsidR="000617C4">
        <w:t xml:space="preserve">canali di comunicazione </w:t>
      </w:r>
      <w:r>
        <w:t xml:space="preserve">(articolo 20), rappresentanza procedurale (articolo 19), tutela contro le ritorsioni (articoli 22–23) e accesso alle prove (articolo 21). Nel loro insieme, queste disposizioni costituiscono un quadro che, per la prima volta, garantisce al dialogo sociale una base strutturale in un settore in cui, finora, la voce dei lavoratori era stata in gran parte messa a tacere.</w:t>
      </w:r>
    </w:p>
    <w:p w:rsidR="00D90A18" w:rsidP="00750824" w:rsidRDefault="00D90A18" w14:paraId="2553D7A8" w14:textId="77777777">
      <w:pPr>
        <w:jc w:val="both"/>
      </w:pPr>
    </w:p>
    <w:p w:rsidR="00983F19" w:rsidP="00750824" w:rsidRDefault="005C5C0F" w14:paraId="1C851F66" w14:textId="3105EF93">
      <w:pPr>
        <w:jc w:val="both"/>
      </w:pPr>
      <w:r>
        <w:rPr>
          <w:b/>
          <w:bCs/>
        </w:rPr>
        <w:t xml:space="preserve">L’articolo 25 </w:t>
      </w:r>
      <w:r>
        <w:rPr>
          <w:b/>
          <w:bCs/>
        </w:rPr>
        <w:t xml:space="preserve">(Promozione della contrattazione collettiva) </w:t>
      </w:r>
      <w:r>
        <w:t xml:space="preserve">impone agli Stati membri, senza pregiudicare l’autonomia delle parti sociali e tenendo conto della diversità delle prassi nazionali, di adottare misure adeguate per promuovere il ruolo delle parti sociali e l’esercizio del diritto alla contrattazione collettiva nel </w:t>
      </w:r>
      <w:r>
        <w:t xml:space="preserve">lavoro </w:t>
      </w:r>
      <w:r>
        <w:t xml:space="preserve">su piattaforma</w:t>
      </w:r>
      <w:r>
        <w:t xml:space="preserve">. Ciò comprende sia misure volte a determinare il corretto status lavorativo sia misure volte a facilitare l’esercizio dei diritti in relazione alla gestione algoritmica. Il gruppo di esperti della Commissione europea ha chiarito che l’articolo 25 non richiede l’istituzione per legge del diritto alla contrattazione collettiva per i lavoratori autonomi delle piattaforme, ma </w:t>
      </w:r>
      <w:r>
        <w:t xml:space="preserve">lascia agli Stati membri piena libertà di farlo. Le misure di cui all’articolo 25 possono consistere in legislazione diretta, strategie nazionali, piani d’azione, sostegno finanziario per il rafforzamento delle capacità dei sindacati o sanzioni nei confronti delle piattaforme che ostacolano la contrattazione collettiva.</w:t>
      </w:r>
    </w:p>
    <w:p w:rsidR="00D90A18" w:rsidP="00750824" w:rsidRDefault="00D90A18" w14:paraId="3A125DF4" w14:textId="77777777">
      <w:pPr>
        <w:jc w:val="both"/>
      </w:pPr>
    </w:p>
    <w:p w:rsidR="00983F19" w:rsidP="00750824" w:rsidRDefault="009F3F9C" w14:paraId="6DAB2192" w14:textId="0D45D20D">
      <w:pPr>
        <w:jc w:val="both"/>
      </w:pPr>
      <w:r>
        <w:rPr>
          <w:b/>
          <w:bCs/>
        </w:rPr>
        <w:t xml:space="preserve">L’articolo 28 (I contratti collettivi come meccanismo di attuazione) </w:t>
      </w:r>
      <w:r>
        <w:t xml:space="preserve">apre due possibilità fondamentali. In primo luogo, gli Stati membri e le parti sociali possono stabilire, per legge o tramite contratto collettivo, norme specifiche per la tutela dei diritti dei lavoratori in materia di trattamento dei dati personali (articoli 9, 10 e 11) che siano più rigorose rispetto ai requisiti minimi previsti dalla direttiva. In secondo luogo, laddove gli Stati membri lo consentano, le parti sociali possono stabilire, mediante contratti collettivi, disposizioni che si discostano dagli articoli 12 e 13 della direttiva </w:t>
      </w:r>
      <w:r w:rsidR="00D7386B">
        <w:t xml:space="preserve">– </w:t>
      </w:r>
      <w:r>
        <w:t xml:space="preserve">a condizione, tuttavia, che la tutela generale </w:t>
      </w:r>
      <w:r>
        <w:t xml:space="preserve">dei lavoratori </w:t>
      </w:r>
      <w:r>
        <w:t xml:space="preserve">delle piattaforme </w:t>
      </w:r>
      <w:r>
        <w:t xml:space="preserve">rimanga intatta e che le differenze siano compensate da condizioni più favorevoli in un altro ambito.</w:t>
      </w:r>
    </w:p>
    <w:p w:rsidR="00D90A18" w:rsidP="00750824" w:rsidRDefault="00D90A18" w14:paraId="5933C643" w14:textId="77777777">
      <w:pPr>
        <w:jc w:val="both"/>
      </w:pPr>
    </w:p>
    <w:p w:rsidR="00983F19" w:rsidP="00750824" w:rsidRDefault="009F3F9C" w14:paraId="3249EBA8" w14:textId="1DB2DA48">
      <w:pPr>
        <w:jc w:val="both"/>
      </w:pPr>
      <w:r>
        <w:rPr>
          <w:b/>
          <w:bCs/>
        </w:rPr>
        <w:t xml:space="preserve">L’articolo 29, paragrafi 3 e 4 (Delega alle parti sociali)</w:t>
      </w:r>
      <w:r>
        <w:t xml:space="preserve">, richiede agli Stati membri di garantire un coinvolgimento effettivo delle parti sociali nell’attuazione della direttiva. Inoltre, consente loro, su richiesta congiunta delle parti sociali</w:t>
      </w:r>
      <w:r>
        <w:t xml:space="preserve">,</w:t>
      </w:r>
      <w:r>
        <w:t xml:space="preserve"> di affidare proprio a queste ultime l’attuazione della direttiva </w:t>
      </w:r>
      <w:r w:rsidR="00D7386B">
        <w:t xml:space="preserve">– </w:t>
      </w:r>
      <w:r>
        <w:t xml:space="preserve">a condizione che lo Stato garantisca il raggiungimento degli obiettivi della direttiva. Si tratta di una </w:t>
      </w:r>
      <w:r>
        <w:t xml:space="preserve">delle disposizioni </w:t>
      </w:r>
      <w:r w:rsidR="00247A59">
        <w:t xml:space="preserve">più importanti</w:t>
      </w:r>
      <w:r>
        <w:t xml:space="preserve">, ma meno conosciute, della direttiva: essa apre </w:t>
      </w:r>
      <w:r w:rsidR="00247A59">
        <w:t xml:space="preserve">infatti </w:t>
      </w:r>
      <w:r>
        <w:t xml:space="preserve">la strada al recepimento della direttiva </w:t>
      </w:r>
      <w:r w:rsidR="00247A59">
        <w:t xml:space="preserve">tramite contratti collettivi</w:t>
      </w:r>
      <w:r>
        <w:t xml:space="preserve">, anziché attendere l’iter legislativo.</w:t>
      </w:r>
    </w:p>
    <w:p w:rsidR="00D90A18" w:rsidP="00750824" w:rsidRDefault="00D90A18" w14:paraId="58E25469" w14:textId="77777777">
      <w:pPr>
        <w:jc w:val="both"/>
      </w:pPr>
    </w:p>
    <w:p w:rsidR="00983F19" w:rsidP="00750824" w:rsidRDefault="00247A59" w14:paraId="7DCD2BD0" w14:textId="4EE30FE3">
      <w:pPr>
        <w:jc w:val="both"/>
      </w:pPr>
      <w:r>
        <w:rPr>
          <w:b/>
          <w:bCs/>
        </w:rPr>
        <w:t xml:space="preserve">L’articolo 20 (Canali di comunicazione) </w:t>
      </w:r>
      <w:r>
        <w:t xml:space="preserve">obbliga le piattaforme a garantire ai lavoratori un’infrastruttura per una comunicazione reciproca sicura e riservata, nonché per la comunicazione con i rappresentanti dei lavoratori, senza che le piattaforme stesse abbiano accesso al contenuto di tali comunicazioni. Il gruppo di esperti della Commissione europea ha chiarito che i messaggi di gruppo nelle app delle piattaforme (ad esempio</w:t>
      </w:r>
      <w:r>
        <w:t xml:space="preserve">,</w:t>
      </w:r>
      <w:r>
        <w:t xml:space="preserve"> un gruppo </w:t>
      </w:r>
      <w:r>
        <w:t xml:space="preserve">WhatsApp </w:t>
      </w:r>
      <w:r>
        <w:t xml:space="preserve">gestito dalla piattaforma) non sono sufficienti: i lavoratori hanno bisogno di un canale indipendente dalla piattaforma stessa.</w:t>
      </w:r>
    </w:p>
    <w:p w:rsidR="00D90A18" w:rsidP="00750824" w:rsidRDefault="00D90A18" w14:paraId="4316CB70" w14:textId="77777777">
      <w:pPr>
        <w:jc w:val="both"/>
      </w:pPr>
    </w:p>
    <w:p w:rsidR="00D90A18" w:rsidP="00750824" w:rsidRDefault="00247A59" w14:paraId="572DF69D" w14:textId="3BD0358D">
      <w:pPr>
        <w:jc w:val="both"/>
      </w:pPr>
      <w:r w:rsidRPr="00247A59">
        <w:rPr>
          <w:b/>
          <w:bCs/>
        </w:rPr>
        <w:lastRenderedPageBreak/>
      </w:r>
      <w:r w:rsidRPr="00247A59">
        <w:rPr>
          <w:b/>
          <w:bCs/>
        </w:rPr>
        <w:t xml:space="preserve"> </w:t>
      </w:r>
      <w:r>
        <w:rPr>
          <w:b/>
          <w:bCs/>
        </w:rPr>
        <w:t xml:space="preserve">L’articolo 19 (Rappresentanza procedurale) </w:t>
      </w:r>
      <w:r>
        <w:t xml:space="preserve">garantisce che i rappresentanti dei lavoratori e le persone giuridiche con un interesse legittimo possano intervenire in qualsiasi procedimento giudiziario o amministrativo per conto o a sostegno di uno o più lavoratori. Il gruppo di esperti della CE ha confermato che questo articolo comprende anche il diritto di avviare procedimenti, non solo quello di partecipare a quelli già avviati.</w:t>
      </w:r>
    </w:p>
    <w:p w:rsidR="00983F19" w:rsidP="00750824" w:rsidRDefault="00000000" w14:paraId="195AD6C7" w14:textId="77777777">
      <w:pPr>
        <w:pStyle w:val="Naslov2"/>
        <w:jc w:val="both"/>
      </w:pPr>
      <w:bookmarkStart w:name="_Toc233699498" w:id="50"/>
      <w:bookmarkStart w:name="ugotovitve-iz-prakse-3" w:id="51"/>
      <w:bookmarkEnd w:id="49"/>
      <w:r>
        <w:t xml:space="preserve">6.2 Conclusioni tratte dall’esperienza pratica</w:t>
      </w:r>
      <w:bookmarkEnd w:id="50"/>
    </w:p>
    <w:p w:rsidR="00983F19" w:rsidP="00750824" w:rsidRDefault="00000000" w14:paraId="4CEE5FCB" w14:textId="77777777">
      <w:pPr>
        <w:pStyle w:val="Naslov3"/>
        <w:jc w:val="both"/>
      </w:pPr>
      <w:bookmarkStart w:name="socialni-dialog-nujnost-in-ovire" w:id="52"/>
      <w:r>
        <w:t xml:space="preserve">Dialogo sociale: necessità e ostacoli</w:t>
      </w:r>
    </w:p>
    <w:p w:rsidR="00983F19" w:rsidP="00750824" w:rsidRDefault="00000000" w14:paraId="6FDDBDDE" w14:textId="0FAE4069">
      <w:pPr>
        <w:jc w:val="both"/>
      </w:pPr>
      <w:r>
        <w:t xml:space="preserve">La conferenza intermedia del progetto SDDP (Lubiana, maggio 2025) ha messo in luce una contraddizione fondamentale: il dialogo sociale è necessario per affrontare le sfide </w:t>
      </w:r>
      <w:r>
        <w:t xml:space="preserve">del lavoro </w:t>
      </w:r>
      <w:r>
        <w:t xml:space="preserve">su piattaforma</w:t>
      </w:r>
      <w:r>
        <w:t xml:space="preserve">, ma è proprio in questo settore che risulta più difficile crearne le condizioni. Le piattaforme considerano i lavoratori come lavoratori autonomi atomizzati, che non sono in contatto tra loro, non hanno una sede di lavoro comune e non hanno accesso alle informazioni che sarebbero il presupposto per una negoziazione su un piano di parità. Senza </w:t>
      </w:r>
      <w:r w:rsidR="00615F18">
        <w:t xml:space="preserve">un rapporto di lavoro </w:t>
      </w:r>
      <w:r>
        <w:t xml:space="preserve">non c’è diritto alla contrattazione collettiva, senza canali di comunicazione non c’è organizzazione, senza accesso ai dati non c’è materia per negoziare.</w:t>
      </w:r>
    </w:p>
    <w:p w:rsidR="00D90A18" w:rsidP="00750824" w:rsidRDefault="00D90A18" w14:paraId="28C9E6A9" w14:textId="77777777">
      <w:pPr>
        <w:jc w:val="both"/>
      </w:pPr>
    </w:p>
    <w:p w:rsidR="00983F19" w:rsidP="00750824" w:rsidRDefault="00000000" w14:paraId="64A2A25B" w14:textId="3FE479FC">
      <w:pPr>
        <w:jc w:val="both"/>
      </w:pPr>
      <w:r>
        <w:t xml:space="preserve">La conclusione comune di tutti i sindacati partner è stata inequivocabile: </w:t>
      </w:r>
      <w:r w:rsidR="00247A59">
        <w:rPr>
          <w:b/>
          <w:bCs/>
        </w:rPr>
        <w:t xml:space="preserve">«Non è possibile </w:t>
      </w:r>
      <w:r>
        <w:rPr>
          <w:b/>
          <w:bCs/>
        </w:rPr>
        <w:t xml:space="preserve">risolvere </w:t>
      </w:r>
      <w:r w:rsidR="00247A59">
        <w:rPr>
          <w:b/>
          <w:bCs/>
        </w:rPr>
        <w:t xml:space="preserve">tutti i problemi </w:t>
      </w:r>
      <w:r>
        <w:rPr>
          <w:b/>
          <w:bCs/>
        </w:rPr>
        <w:t xml:space="preserve">con un rapporto di lavoro, ma non se ne può risolvere nemmeno uno senza di esso». </w:t>
      </w:r>
      <w:r>
        <w:t xml:space="preserve">Il rapporto di lavoro non è una panacea, ma è </w:t>
      </w:r>
      <w:r>
        <w:t xml:space="preserve">un presupposto</w:t>
      </w:r>
      <w:r>
        <w:t xml:space="preserve"> strutturale </w:t>
      </w:r>
      <w:r>
        <w:t xml:space="preserve">per l’affermazione dei diritti collettivi. Allo stesso tempo, il dialogo sociale è l’unico meccanismo che garantisce protezione ai lavoratori prima e mentre i tribunali e gli ispettorati accertano lentamente </w:t>
      </w:r>
      <w:r w:rsidR="00247A59">
        <w:t xml:space="preserve">lo status lavorativo</w:t>
      </w:r>
      <w:r>
        <w:t xml:space="preserve">.</w:t>
      </w:r>
    </w:p>
    <w:p w:rsidR="00983F19" w:rsidP="00750824" w:rsidRDefault="00000000" w14:paraId="4E3B6968" w14:textId="77777777">
      <w:pPr>
        <w:pStyle w:val="Naslov3"/>
        <w:jc w:val="both"/>
      </w:pPr>
      <w:bookmarkStart w:name="izkušnje-iz-partnerskih-držav" w:id="53"/>
      <w:bookmarkEnd w:id="52"/>
      <w:r>
        <w:t xml:space="preserve">Esperienze dei paesi partner</w:t>
      </w:r>
    </w:p>
    <w:p w:rsidR="00983F19" w:rsidP="00750824" w:rsidRDefault="00000000" w14:paraId="58478748" w14:textId="0691E266">
      <w:pPr>
        <w:jc w:val="both"/>
      </w:pPr>
      <w:r>
        <w:rPr>
          <w:b/>
          <w:bCs/>
        </w:rPr>
        <w:t xml:space="preserve">La Spagna </w:t>
      </w:r>
      <w:r>
        <w:t xml:space="preserve">ha </w:t>
      </w:r>
      <w:r w:rsidR="00247A59">
        <w:t xml:space="preserve">percorso </w:t>
      </w:r>
      <w:r>
        <w:t xml:space="preserve">il cammino </w:t>
      </w:r>
      <w:r w:rsidR="00247A59">
        <w:t xml:space="preserve">più lungo </w:t>
      </w:r>
      <w:r>
        <w:t xml:space="preserve">dalle proteste al </w:t>
      </w:r>
      <w:r>
        <w:t xml:space="preserve">dialogo sociale </w:t>
      </w:r>
      <w:r>
        <w:t xml:space="preserve">istituzionalizzato</w:t>
      </w:r>
      <w:r>
        <w:t xml:space="preserve">. Dopo l’adozione della legge sui corrieri</w:t>
      </w:r>
      <w:r>
        <w:t xml:space="preserve">,</w:t>
      </w:r>
      <w:r>
        <w:t xml:space="preserve"> i sindacati CCOO e UGT hanno raggiunto un contratto collettivo con </w:t>
      </w:r>
      <w:r>
        <w:t xml:space="preserve">JustEat </w:t>
      </w:r>
      <w:r>
        <w:t xml:space="preserve">España </w:t>
      </w:r>
      <w:r w:rsidR="00D7386B">
        <w:t xml:space="preserve">– </w:t>
      </w:r>
      <w:r>
        <w:t xml:space="preserve">uno dei pochi in Europa che non si limiti a regolamentare i salari, ma istituisca una commissione congiunta per il controllo degli algoritmi. </w:t>
      </w:r>
      <w:r w:rsidR="00247A59">
        <w:t xml:space="preserve">La pressione congiunta eserc</w:t>
      </w:r>
      <w:r>
        <w:t xml:space="preserve">itata dall’ispettorato, dai media, dagli scioperi e dai procedimenti legali ha creato condizioni che nessun percorso individuale avrebbe potuto raggiungere da solo. Allo stesso tempo, l’esperienza spagnola rivela i limiti dell’approccio settoriale: la legge si applica solo alla consegna di cibo, </w:t>
      </w:r>
      <w:r>
        <w:t xml:space="preserve">mentre </w:t>
      </w:r>
      <w:r>
        <w:t xml:space="preserve">Uber </w:t>
      </w:r>
      <w:r>
        <w:t xml:space="preserve">Eats </w:t>
      </w:r>
      <w:r>
        <w:t xml:space="preserve">e </w:t>
      </w:r>
      <w:r>
        <w:t xml:space="preserve">Lieferando </w:t>
      </w:r>
      <w:r>
        <w:t xml:space="preserve">sono semplicemente passati a </w:t>
      </w:r>
      <w:r>
        <w:t xml:space="preserve">un modello </w:t>
      </w:r>
      <w:r>
        <w:t xml:space="preserve">di subappalto</w:t>
      </w:r>
      <w:r>
        <w:t xml:space="preserve">.</w:t>
      </w:r>
    </w:p>
    <w:p w:rsidR="00247A59" w:rsidP="00750824" w:rsidRDefault="00247A59" w14:paraId="0359DC76" w14:textId="77777777">
      <w:pPr>
        <w:jc w:val="both"/>
      </w:pPr>
    </w:p>
    <w:p w:rsidR="00983F19" w:rsidP="00750824" w:rsidRDefault="00000000" w14:paraId="4B1DC074" w14:textId="620943DA">
      <w:pPr>
        <w:jc w:val="both"/>
      </w:pPr>
      <w:r>
        <w:t xml:space="preserve">Nel 2020 </w:t>
      </w:r>
      <w:r>
        <w:rPr>
          <w:b/>
          <w:bCs/>
        </w:rPr>
        <w:t xml:space="preserve">l’Austria </w:t>
      </w:r>
      <w:r>
        <w:t xml:space="preserve">ha concluso il primo contratto collettivo di settore </w:t>
      </w:r>
      <w:r>
        <w:t xml:space="preserve">al mondo </w:t>
      </w:r>
      <w:r>
        <w:t xml:space="preserve">per </w:t>
      </w:r>
      <w:r>
        <w:t xml:space="preserve">i corrieri </w:t>
      </w:r>
      <w:r>
        <w:t xml:space="preserve">delle piattaforme</w:t>
      </w:r>
      <w:r w:rsidR="00247A59">
        <w:t xml:space="preserve">, che rappresenta </w:t>
      </w:r>
      <w:r>
        <w:t xml:space="preserve">un successo in materia di salari, ma non di algoritmi. </w:t>
      </w:r>
      <w:r>
        <w:t xml:space="preserve">Riders </w:t>
      </w:r>
      <w:r>
        <w:t xml:space="preserve">Collective </w:t>
      </w:r>
      <w:r>
        <w:t xml:space="preserve">ha sostenuto l’istituzione di un comitato dei lavoratori presso </w:t>
      </w:r>
      <w:r>
        <w:t xml:space="preserve">Foodora </w:t>
      </w:r>
      <w:r>
        <w:t xml:space="preserve">(il primo nel 2017), ma l’azienda ha successivamente bloccato il rinnovo del contratto aziendale sui dati nel 2021, adducendo come motivo la mancata disponibilità della dirigenza. Presso </w:t>
      </w:r>
      <w:r w:rsidR="00247A59">
        <w:t xml:space="preserve">Lieferando</w:t>
      </w:r>
      <w:r>
        <w:t xml:space="preserve">, il comitato dei lavoratori era attivo dal 2019, ma nel 2025 l’azienda ha bloccato legalmente ulteriori tentativi ricorrendo a licenziamenti di massa e al passaggio al lavoro autonomo, adducendo come motivazione la struttura decentralizzata e l’allineamento agli standard del settore.</w:t>
      </w:r>
    </w:p>
    <w:p w:rsidR="00247A59" w:rsidP="00750824" w:rsidRDefault="00247A59" w14:paraId="0D37FB91" w14:textId="77777777">
      <w:pPr>
        <w:jc w:val="both"/>
      </w:pPr>
    </w:p>
    <w:p w:rsidR="00983F19" w:rsidP="00750824" w:rsidRDefault="00000000" w14:paraId="4F6D002D" w14:textId="187CDC1D">
      <w:pPr>
        <w:jc w:val="both"/>
      </w:pPr>
      <w:r>
        <w:rPr>
          <w:b/>
          <w:bCs/>
        </w:rPr>
        <w:t xml:space="preserve">L’Italia </w:t>
      </w:r>
      <w:r>
        <w:t xml:space="preserve">si trova di fronte a una situazione di dualismo: </w:t>
      </w:r>
      <w:r>
        <w:t xml:space="preserve">JustEat </w:t>
      </w:r>
      <w:r>
        <w:t xml:space="preserve">è l’unica grande piattaforma ad aver assunto i fattorini e ad aver stipulato un contratto collettivo. Le altre piattaforme operano con lavoratori autonomi, </w:t>
      </w:r>
      <w:r>
        <w:t xml:space="preserve">mentre il governo di</w:t>
      </w:r>
      <w:r>
        <w:t xml:space="preserve"> estrema </w:t>
      </w:r>
      <w:r>
        <w:t xml:space="preserve">destra mantiene il silenzio assoluto sulla direttiva. I sindacati si sono quindi concentrati sugli accordi regionali e sulla costruzione di un’identità collettiva attraverso modelli organizzativi innovativi, come </w:t>
      </w:r>
      <w:r>
        <w:t xml:space="preserve">Casa </w:t>
      </w:r>
      <w:r>
        <w:t xml:space="preserve">Rider</w:t>
      </w:r>
      <w:r>
        <w:t xml:space="preserve">.</w:t>
      </w:r>
    </w:p>
    <w:p w:rsidR="00247A59" w:rsidP="00750824" w:rsidRDefault="00247A59" w14:paraId="5E864D0C" w14:textId="77777777">
      <w:pPr>
        <w:jc w:val="both"/>
      </w:pPr>
    </w:p>
    <w:p w:rsidR="00983F19" w:rsidP="00750824" w:rsidRDefault="00000000" w14:paraId="23AC969E" w14:textId="044D5ED6">
      <w:pPr>
        <w:jc w:val="both"/>
      </w:pPr>
      <w:r>
        <w:rPr>
          <w:b/>
          <w:bCs/>
        </w:rPr>
        <w:lastRenderedPageBreak/>
      </w:r>
      <w:r>
        <w:t xml:space="preserve">In</w:t>
      </w:r>
      <w:r>
        <w:rPr>
          <w:b/>
          <w:bCs/>
        </w:rPr>
        <w:t xml:space="preserve"> Belgio</w:t>
      </w:r>
      <w:r>
        <w:t xml:space="preserve">, </w:t>
      </w:r>
      <w:r>
        <w:t xml:space="preserve">la piattaforma </w:t>
      </w:r>
      <w:r>
        <w:t xml:space="preserve">Takeaway</w:t>
      </w:r>
      <w:r>
        <w:t xml:space="preserve"> è </w:t>
      </w:r>
      <w:r>
        <w:t xml:space="preserve">registrata come agenzia pubblicitaria</w:t>
      </w:r>
      <w:r w:rsidR="00247A59">
        <w:t xml:space="preserve">, </w:t>
      </w:r>
      <w:r>
        <w:t xml:space="preserve">il che le consente di applicare standard minimi settoriali più bassi ed eludere il settore dei trasporti. Il dialogo sociale esiste, ma è in conflitto: i sindacati ritengono che la piattaforma dovrebbe rientrare nel settore dei trasporti, che ha standard notevolmente più elevati. La direttiva dovrebbe porre fine a questa classificazione settoriale abusiva.</w:t>
      </w:r>
    </w:p>
    <w:p w:rsidR="00247A59" w:rsidP="00750824" w:rsidRDefault="00247A59" w14:paraId="18A8573A" w14:textId="77777777">
      <w:pPr>
        <w:jc w:val="both"/>
      </w:pPr>
    </w:p>
    <w:p w:rsidR="00983F19" w:rsidP="00750824" w:rsidRDefault="00000000" w14:paraId="2F1ADDD4" w14:textId="5A0E883E">
      <w:pPr>
        <w:jc w:val="both"/>
      </w:pPr>
      <w:r>
        <w:rPr>
          <w:b/>
          <w:bCs/>
        </w:rPr>
        <w:t xml:space="preserve">La Germania </w:t>
      </w:r>
      <w:r>
        <w:t xml:space="preserve">si trova ad affrontare un problema diverso: i sindacati non sanno chi sia il datore di lavoro dei lavoratori, poiché le catene di subappaltatori nascondono la responsabilità </w:t>
      </w:r>
      <w:r w:rsidR="00987363">
        <w:t xml:space="preserve">della piattaforma</w:t>
      </w:r>
      <w:r>
        <w:t xml:space="preserve">. Senza una chiara identificazione del datore di lavoro, non c’è un interlocutore con cui negoziare. </w:t>
      </w:r>
      <w:r>
        <w:t xml:space="preserve">Lieferando </w:t>
      </w:r>
      <w:r>
        <w:t xml:space="preserve">dispone sì di un comitato dei lavoratori</w:t>
      </w:r>
      <w:r w:rsidR="00987363">
        <w:t xml:space="preserve">, </w:t>
      </w:r>
      <w:r>
        <w:t xml:space="preserve">ma i sindacati (ad esempio l’NGG) giudicano </w:t>
      </w:r>
      <w:r w:rsidR="00987363">
        <w:t xml:space="preserve">i rapporti </w:t>
      </w:r>
      <w:r>
        <w:t xml:space="preserve">troppo limitanti: la piattaforma li sostiene pubblicamente, ma nella pratica li ostacola e rifiuta una collaborazione seria senza una vera organizzazione dal basso verso l’alto.</w:t>
      </w:r>
    </w:p>
    <w:p w:rsidR="00247A59" w:rsidP="00750824" w:rsidRDefault="00247A59" w14:paraId="1F15970F" w14:textId="77777777">
      <w:pPr>
        <w:jc w:val="both"/>
      </w:pPr>
    </w:p>
    <w:p w:rsidR="00983F19" w:rsidP="00750824" w:rsidRDefault="00000000" w14:paraId="34BCCADC" w14:textId="77777777">
      <w:pPr>
        <w:jc w:val="both"/>
      </w:pPr>
      <w:r>
        <w:rPr>
          <w:b/>
          <w:bCs/>
        </w:rPr>
        <w:t xml:space="preserve">La Slovenia </w:t>
      </w:r>
      <w:r>
        <w:t xml:space="preserve">si trova di fronte a una tipica ambivalenza: i lavoratori riconoscono la loro subordinazione alla piattaforma, ma si aspettano che il problema venga risolto dal ministero e dalla concorrenza, piuttosto che attraverso la contrattazione collettiva. Manca la consapevolezza del ruolo dei sindacati e del dialogo sociale. La ZSSS, nelle sue linee guida, propone che la direttiva stabilisca non solo il diritto alla contrattazione collettiva per </w:t>
      </w:r>
      <w:r>
        <w:t xml:space="preserve">i lavoratori </w:t>
      </w:r>
      <w:r>
        <w:t xml:space="preserve">delle piattaforme</w:t>
      </w:r>
      <w:r>
        <w:t xml:space="preserve">, ma anche le condizioni strutturali per garantirlo: un incontro annuale di tutti i lavoratori con i sindacati, organizzato dalla piattaforma stessa; il diritto dei sindacati di distribuire materiale informativo a tutti i lavoratori attraverso </w:t>
      </w:r>
      <w:r>
        <w:t xml:space="preserve">l’infrastruttura </w:t>
      </w:r>
      <w:r>
        <w:t xml:space="preserve">della piattaforma</w:t>
      </w:r>
      <w:r>
        <w:t xml:space="preserve">; e uno spazio digitale per l’organizzazione, la cui gestione venga trasferita, su richiesta dei lavoratori, ai loro rappresentanti.</w:t>
      </w:r>
    </w:p>
    <w:p w:rsidR="00983F19" w:rsidP="00750824" w:rsidRDefault="00000000" w14:paraId="49BF2047" w14:textId="77777777">
      <w:pPr>
        <w:pStyle w:val="Naslov3"/>
        <w:jc w:val="both"/>
      </w:pPr>
      <w:bookmarkStart w:name="Xee032679bfb18a805a02c69cf6ec84a6b09f355" w:id="54"/>
      <w:bookmarkEnd w:id="53"/>
      <w:r>
        <w:t xml:space="preserve">Le associazioni dei datori di lavoro come potenziali alleati</w:t>
      </w:r>
    </w:p>
    <w:p w:rsidR="00983F19" w:rsidP="00750824" w:rsidRDefault="00000000" w14:paraId="44463323" w14:textId="7A8D9547">
      <w:pPr>
        <w:jc w:val="both"/>
      </w:pPr>
      <w:r>
        <w:t xml:space="preserve">Una delle conclusioni della conferenza di Lubiana è stata sorprendente: </w:t>
      </w:r>
      <w:r>
        <w:rPr>
          <w:b/>
          <w:bCs/>
        </w:rPr>
        <w:t xml:space="preserve">le associazioni di datori di lavoro tradizionali sono potenziali alleati dei sindacati </w:t>
      </w:r>
      <w:r>
        <w:t xml:space="preserve">nella regolamentazione </w:t>
      </w:r>
      <w:r>
        <w:t xml:space="preserve">del lavoro </w:t>
      </w:r>
      <w:r>
        <w:t xml:space="preserve">sulle piattaforme</w:t>
      </w:r>
      <w:r>
        <w:t xml:space="preserve">. Le piattaforme non sono membri della maggior parte delle associazioni di categoria dei datori di lavoro. Poiché operano senza </w:t>
      </w:r>
      <w:r>
        <w:t xml:space="preserve">obblighi</w:t>
      </w:r>
      <w:r w:rsidR="00DB7748">
        <w:t xml:space="preserve"> di diritto del lavoro</w:t>
      </w:r>
      <w:r>
        <w:t xml:space="preserve">, rappresentano una concorrenza sleale per le imprese tradizionali che assumono e versano i contributi </w:t>
      </w:r>
      <w:r w:rsidR="00DB7748">
        <w:t xml:space="preserve">per i propri lavoratori, garantendo loro gli altri diritti derivanti dal lavoro</w:t>
      </w:r>
      <w:r>
        <w:t xml:space="preserve">. Ciò crea un interesse comune per condizioni di concorrenza eque (</w:t>
      </w:r>
      <w:r w:rsidRPr="00016B3D">
        <w:t xml:space="preserve">«level </w:t>
      </w:r>
      <w:r w:rsidRPr="00016B3D">
        <w:t xml:space="preserve">playing </w:t>
      </w:r>
      <w:r w:rsidRPr="00016B3D" w:rsidR="00DB7748">
        <w:t xml:space="preserve">field»</w:t>
      </w:r>
      <w:r w:rsidRPr="00DB7748">
        <w:t xml:space="preserve">), </w:t>
      </w:r>
      <w:r>
        <w:t xml:space="preserve">che la direttiva indica espressamente come uno dei suoi obiettivi.</w:t>
      </w:r>
    </w:p>
    <w:p w:rsidR="00983F19" w:rsidP="00750824" w:rsidRDefault="00000000" w14:paraId="54249C68" w14:textId="77777777">
      <w:pPr>
        <w:pStyle w:val="Naslov3"/>
        <w:jc w:val="both"/>
      </w:pPr>
      <w:bookmarkStart w:name="Xa2dd5d940cabac1ded9a12db2f3ecf2d9718612" w:id="55"/>
      <w:bookmarkEnd w:id="54"/>
      <w:r>
        <w:t xml:space="preserve">I contratti collettivi al di là </w:t>
      </w:r>
      <w:r>
        <w:t xml:space="preserve">del lavoro </w:t>
      </w:r>
      <w:r>
        <w:t xml:space="preserve">su piattaforma</w:t>
      </w:r>
    </w:p>
    <w:p w:rsidR="00983F19" w:rsidP="00750824" w:rsidRDefault="00000000" w14:paraId="1B9121B1" w14:textId="65BCC96A">
      <w:pPr>
        <w:jc w:val="both"/>
      </w:pPr>
      <w:r>
        <w:t xml:space="preserve">Diversi Stati membri hanno confermato una prassi che la direttiva non vieta e che l’articolo 28 sostiene indirettamente: l’estensione dei contratti collettivi settoriali esistenti ai lavoratori delle piattaforme che svolgono un lavoro comparabile. In Italia i sindacati stanno cercando </w:t>
      </w:r>
      <w:r>
        <w:t xml:space="preserve">di estendere il contratto </w:t>
      </w:r>
      <w:r w:rsidR="00DB7748">
        <w:t xml:space="preserve">collettivo </w:t>
      </w:r>
      <w:r>
        <w:t xml:space="preserve">del settore dei trasporti ai corrieri. In Austria, </w:t>
      </w:r>
      <w:r w:rsidR="00DB7748">
        <w:t xml:space="preserve">il contratto collettivo</w:t>
      </w:r>
      <w:r>
        <w:t xml:space="preserve"> per i corrieri è </w:t>
      </w:r>
      <w:r>
        <w:t xml:space="preserve">stato creato estendendo quello già esistente per i servizi postali. Questo approccio non richiede di creare da zero una struttura di negoziazione</w:t>
      </w:r>
      <w:r w:rsidR="00DB7748">
        <w:t xml:space="preserve">, ma </w:t>
      </w:r>
      <w:r>
        <w:t xml:space="preserve">si basa su quadri già esistenti e collaudati.</w:t>
      </w:r>
    </w:p>
    <w:p w:rsidR="00983F19" w:rsidP="00750824" w:rsidRDefault="00000000" w14:paraId="29C649F6" w14:textId="77777777">
      <w:pPr>
        <w:pStyle w:val="Naslov3"/>
        <w:jc w:val="both"/>
      </w:pPr>
      <w:bookmarkStart w:name="platforme-ki-blokirajo-socialni-dialog" w:id="56"/>
      <w:bookmarkEnd w:id="55"/>
      <w:r>
        <w:t xml:space="preserve">Le piattaforme che ostacolano il dialogo sociale</w:t>
      </w:r>
    </w:p>
    <w:p w:rsidR="00983F19" w:rsidP="00750824" w:rsidRDefault="00000000" w14:paraId="371020DC" w14:textId="74869D2B">
      <w:pPr>
        <w:jc w:val="both"/>
      </w:pPr>
      <w:r>
        <w:t xml:space="preserve">La conferenza ha individuato le tattiche tipiche delle piattaforme per impedire l’organizzazione: «riunioni di PR», alle quali vengono invitati singoli lavoratori (Polonia </w:t>
      </w:r>
      <w:r w:rsidR="00DB7748">
        <w:t xml:space="preserve">e Slovenia</w:t>
      </w:r>
      <w:r>
        <w:t xml:space="preserve">) per destabilizzare l’organizzazione collettiva; «sindacati gialli», che propongono una terza categoria a metà strada tra lavoratore dipendente e lavoratore autonomo (Italia, Polonia); sospensione dell’accesso </w:t>
      </w:r>
      <w:r w:rsidR="00DB7748">
        <w:t xml:space="preserve">alla </w:t>
      </w:r>
      <w:r>
        <w:t xml:space="preserve">piattaforma per i lavoratori che si organizzano o scioperano (il caso </w:t>
      </w:r>
      <w:r>
        <w:t xml:space="preserve">di Wolt </w:t>
      </w:r>
      <w:r>
        <w:t xml:space="preserve">in Polonia, che ha bloccato gli account</w:t>
      </w:r>
      <w:r>
        <w:lastRenderedPageBreak/>
      </w:r>
      <w:r>
        <w:t xml:space="preserve"> dei manifestanti</w:t>
      </w:r>
      <w:r w:rsidR="00DB7748">
        <w:t xml:space="preserve">, </w:t>
      </w:r>
      <w:r>
        <w:t xml:space="preserve">ma ha fatto marcia indietro a seguito della pressione dei media); nonché ostacoli legali ai comitati dei lavoratori con il pretesto della struttura decentralizzata (Austria).</w:t>
      </w:r>
    </w:p>
    <w:p w:rsidR="00983F19" w:rsidP="00750824" w:rsidRDefault="00000000" w14:paraId="00C95E22" w14:textId="77777777">
      <w:pPr>
        <w:pStyle w:val="Naslov2"/>
        <w:jc w:val="both"/>
      </w:pPr>
      <w:bookmarkStart w:name="_Toc233699499" w:id="57"/>
      <w:bookmarkStart w:name="priporočila-3" w:id="58"/>
      <w:bookmarkEnd w:id="51"/>
      <w:bookmarkEnd w:id="56"/>
      <w:r>
        <w:t xml:space="preserve">6.3 Raccomandazioni</w:t>
      </w:r>
      <w:bookmarkEnd w:id="57"/>
    </w:p>
    <w:p w:rsidR="00D90A18" w:rsidP="00750824" w:rsidRDefault="00000000" w14:paraId="482CF965" w14:textId="3DA33AB7">
      <w:pPr>
        <w:pStyle w:val="Naslov3"/>
        <w:jc w:val="both"/>
      </w:pPr>
      <w:r>
        <w:t xml:space="preserve">Raccomandazione 6.1 [SUPERA IL MINIMO]: Incentivi statali attivi per la contrattazione collettiva a favore di tutti i lavoratori, indipendentemente dal loro status</w:t>
      </w:r>
    </w:p>
    <w:p w:rsidR="00D90A18" w:rsidP="00750824" w:rsidRDefault="00000000" w14:paraId="006876A2" w14:textId="4D19F4F4">
      <w:pPr>
        <w:jc w:val="both"/>
      </w:pPr>
      <w:r>
        <w:t xml:space="preserve">L’articolo 25 della direttiva richiede «misure adeguate» per promuovere la contrattazione collettiva</w:t>
      </w:r>
      <w:r w:rsidR="00D7386B">
        <w:t xml:space="preserve">, </w:t>
      </w:r>
      <w:r>
        <w:t xml:space="preserve">ma non ne specifica il contenuto. Nell’attuazione, gli Stati membri dovrebbero andare oltre la mera promozione dichiarativa e istituire meccanismi concreti: sostegno finanziario per rafforzare le capacità sindacali nei settori digitali, sanzioni nei confronti delle piattaforme che ostacolano o ritardano la contrattazione collettiva e incentivi (ad esempio sotto forma di certificato sociale sul modello del primo pilastro delle proposte delle parti sociali SDDP) per le piattaforme che partecipano alle trattative in modo volontario e costruttivo. </w:t>
      </w:r>
    </w:p>
    <w:p w:rsidR="00D90A18" w:rsidP="00750824" w:rsidRDefault="00D90A18" w14:paraId="429BC2C0" w14:textId="77777777">
      <w:pPr>
        <w:jc w:val="both"/>
      </w:pPr>
    </w:p>
    <w:p w:rsidR="00D90A18" w:rsidP="00750824" w:rsidRDefault="00000000" w14:paraId="6C8B056F" w14:textId="11F4239B">
      <w:pPr>
        <w:jc w:val="both"/>
      </w:pPr>
      <w:r>
        <w:t xml:space="preserve">Raccomandiamo in particolare l’istituzione di un fondo nazionale per la revisione congiunta degli algoritmi, al quale le piattaforme versino una quota dei propri ricavi (0,</w:t>
      </w:r>
      <w:r>
        <w:t xml:space="preserve">5-1 %), sul modello </w:t>
      </w:r>
      <w:r w:rsidR="001627FA">
        <w:t xml:space="preserve">dell’«Arbeiterkammer»</w:t>
      </w:r>
      <w:r>
        <w:t xml:space="preserve"> austriaca </w:t>
      </w:r>
      <w:r>
        <w:t xml:space="preserve">(0,5 % dei salari) e del sistema francese di formazione professionale. Il fondo finanzia revisioni congiunte tripartite dei sistemi di gestione automatizzata (AM): sia i sindacati che la piattaforma propongono esperti indipendenti, mentre un arbitro neutrale risolve le divergenze. Lo scopo del fondo è eliminare l’asimmetria informativa </w:t>
      </w:r>
      <w:r w:rsidR="001627FA">
        <w:t xml:space="preserve">e </w:t>
      </w:r>
      <w:r>
        <w:t xml:space="preserve">non finanziare una delle parti in una controversia di lavoro a scapito dell’altra. Il fondo è gestito da un comitato tripartito (governo, sindacati, piattaforma) sotto la supervisione dell’ELA.</w:t>
      </w:r>
    </w:p>
    <w:p w:rsidR="00D90A18" w:rsidP="00750824" w:rsidRDefault="00000000" w14:paraId="4C103689" w14:textId="3273A31F">
      <w:pPr>
        <w:pStyle w:val="Naslov3"/>
        <w:jc w:val="both"/>
      </w:pPr>
      <w:r>
        <w:t xml:space="preserve">Raccomandazione 6.2 [DIRETTIVA]: L’infrastruttura di comunicazione come condizione strutturale per l’organizzazione</w:t>
      </w:r>
    </w:p>
    <w:p w:rsidR="00D90A18" w:rsidP="00750824" w:rsidRDefault="00000000" w14:paraId="25091304" w14:textId="7EB11E9A">
      <w:pPr>
        <w:jc w:val="both"/>
      </w:pPr>
      <w:r>
        <w:t xml:space="preserve">L’articolo 20 della direttiva richiede canali di comunicazione sicuri e riservati, indipendenti dalla piattaforma stessa. Il gruppo di esperti della Commissione europea ha chiarito che i messaggi di gruppo nelle applicazioni delle piattaforme non sono sufficienti. </w:t>
      </w:r>
      <w:r w:rsidR="001627FA">
        <w:t xml:space="preserve">Proponiamo </w:t>
      </w:r>
      <w:r>
        <w:t xml:space="preserve">due soluzioni complementari: l’obbligo per le piattaforme di creare uno spazio digitale separato per la comunicazione tra i lavoratori, la cui gestione sia trasferita, su richiesta, ai rappresentanti dei lavoratori, e l’obbligo per le piattaforme di trasmettere, su richiesta del sindacato, </w:t>
      </w:r>
      <w:r>
        <w:t xml:space="preserve">il materiale informativo</w:t>
      </w:r>
      <w:r w:rsidR="001627FA">
        <w:t xml:space="preserve"> sindacale </w:t>
      </w:r>
      <w:r>
        <w:t xml:space="preserve">a tutti i lavoratori tramite </w:t>
      </w:r>
      <w:r>
        <w:t xml:space="preserve">l’infrastruttura </w:t>
      </w:r>
      <w:r w:rsidR="001627FA">
        <w:t xml:space="preserve">della piattaforma</w:t>
      </w:r>
      <w:r>
        <w:t xml:space="preserve">. Inoltre, le piattaforme dovrebbero organizzare un incontro annuale di tutti i lavoratori, al quale </w:t>
      </w:r>
      <w:r w:rsidR="001627FA">
        <w:t xml:space="preserve">partecipino </w:t>
      </w:r>
      <w:r>
        <w:t xml:space="preserve">anche i rappresentanti sindacali. Tutti questi obblighi dovrebbero essere esplicitamente </w:t>
      </w:r>
      <w:r w:rsidR="001627FA">
        <w:t xml:space="preserve">inclusi </w:t>
      </w:r>
      <w:r>
        <w:t xml:space="preserve">nelle </w:t>
      </w:r>
      <w:r w:rsidR="001627FA">
        <w:t xml:space="preserve">misure di attuazione</w:t>
      </w:r>
      <w:r>
        <w:t xml:space="preserve">, non solo impliciti.</w:t>
      </w:r>
    </w:p>
    <w:p w:rsidR="00D90A18" w:rsidP="00750824" w:rsidRDefault="00000000" w14:paraId="682B53D9" w14:textId="171C4444">
      <w:pPr>
        <w:pStyle w:val="Naslov3"/>
        <w:jc w:val="both"/>
      </w:pPr>
      <w:r>
        <w:t xml:space="preserve">Raccomandazione 6.3 [DIRETTIVA]: Il percorso contrattuale collettivo verso l’attuazione della direttiva</w:t>
      </w:r>
    </w:p>
    <w:p w:rsidR="00D90A18" w:rsidP="00750824" w:rsidRDefault="00000000" w14:paraId="613C8C0A" w14:textId="2C1EEB0F">
      <w:pPr>
        <w:jc w:val="both"/>
      </w:pPr>
      <w:r>
        <w:t xml:space="preserve">L’articolo 29, paragrafo 4, della direttiva consente alle parti sociali, su richiesta congiunta, di farsi carico dell’attuazione della direttiva (o di parti di essa), a condizione che lo Stato garantisca il raggiungimento dei suoi obiettivi. Laddove i sindacati e i datori di lavoro siano disposti e in grado di farlo, i governi dovrebbero promuovere attivamente questa via come alternativa più rapida, più adeguata e legittima al classico iter legislativo. </w:t>
      </w:r>
      <w:r>
        <w:t xml:space="preserve">Questo meccanismo è </w:t>
      </w:r>
      <w:r>
        <w:t xml:space="preserve">particolarmente </w:t>
      </w:r>
      <w:r>
        <w:t xml:space="preserve">prezioso </w:t>
      </w:r>
      <w:r>
        <w:t xml:space="preserve">nei paesi </w:t>
      </w:r>
      <w:r w:rsidR="001627FA">
        <w:t xml:space="preserve">in cui </w:t>
      </w:r>
      <w:r>
        <w:t xml:space="preserve">il processo legislativo è lento o politicamente instabile (ad esempio, Slovenia, Italia). La condizione è che il governo assuma un ruolo attivo di mediatore, assicurando il controllo e la garanzia del pieno raggiungimento degli obiettivi della direttiva.</w:t>
      </w:r>
    </w:p>
    <w:p w:rsidR="00D90A18" w:rsidP="00750824" w:rsidRDefault="00000000" w14:paraId="6AD53E29" w14:textId="19459B81">
      <w:pPr>
        <w:pStyle w:val="Naslov3"/>
        <w:jc w:val="both"/>
      </w:pPr>
      <w:r>
        <w:lastRenderedPageBreak/>
      </w:r>
      <w:r>
        <w:t xml:space="preserve">Raccomandazione 6.4 [SUPERA IL MINIMO]: Estensione dei contratti collettivi settoriali esistenti ai </w:t>
      </w:r>
      <w:r>
        <w:t xml:space="preserve">lavoratori </w:t>
      </w:r>
      <w:r>
        <w:t xml:space="preserve">delle piattaforme</w:t>
      </w:r>
      <w:r>
        <w:t xml:space="preserve"> comparabili</w:t>
      </w:r>
    </w:p>
    <w:p w:rsidR="00D90A18" w:rsidP="00750824" w:rsidRDefault="00000000" w14:paraId="11BEA5A1" w14:textId="1002763B">
      <w:pPr>
        <w:jc w:val="both"/>
      </w:pPr>
      <w:r>
        <w:t xml:space="preserve">I contratti collettivi in settori affini </w:t>
      </w:r>
      <w:r w:rsidR="00D7386B">
        <w:t xml:space="preserve">– </w:t>
      </w:r>
      <w:r>
        <w:t xml:space="preserve">trasporti, logistica, servizi postali </w:t>
      </w:r>
      <w:r w:rsidR="00D7386B">
        <w:t xml:space="preserve">– </w:t>
      </w:r>
      <w:r>
        <w:t xml:space="preserve">spesso coprono attività sostanzialmente comparabili a </w:t>
      </w:r>
      <w:r>
        <w:t xml:space="preserve">quelle svolte sui portali</w:t>
      </w:r>
      <w:r>
        <w:t xml:space="preserve">. La direttiva e l’articolo 28 consentono l’estensione di tali contratti ai lavoratori delle piattaforme. I governi dovrebbero istituire meccanismi di mediazione e incentivi finanziari per tali estensioni. Questo approccio è più rapido e politicamente meno impegnativo rispetto alla creazione di strutture contrattuali collettive completamente nuove </w:t>
      </w:r>
      <w:r w:rsidR="00D7386B">
        <w:t xml:space="preserve">– </w:t>
      </w:r>
      <w:r>
        <w:t xml:space="preserve">e affronta direttamente il problema della concorrenza sleale percepito dalle associazioni di datori di lavoro settoriali tradizionali. Il modello di riferimento per </w:t>
      </w:r>
      <w:r>
        <w:t xml:space="preserve">un contratto collettivo specifico per le piattaforme è l’esperienza </w:t>
      </w:r>
      <w:r>
        <w:t xml:space="preserve">di JustEat </w:t>
      </w:r>
      <w:r>
        <w:t xml:space="preserve">España </w:t>
      </w:r>
      <w:r w:rsidR="00D7386B">
        <w:t xml:space="preserve">– </w:t>
      </w:r>
      <w:r>
        <w:t xml:space="preserve">l’unico contratto collettivo del settore che, oltre alle retribuzioni, istituisce una commissione congiunta per il controllo degli algoritmi. Le parti sociali </w:t>
      </w:r>
      <w:r w:rsidR="00191599">
        <w:t xml:space="preserve">dovrebbero</w:t>
      </w:r>
      <w:r>
        <w:t xml:space="preserve"> </w:t>
      </w:r>
      <w:r>
        <w:t xml:space="preserve">adoperarsi per la conclusione </w:t>
      </w:r>
      <w:r>
        <w:t xml:space="preserve">di contratti collettivi specifici per le piattaforme entro due anni dall’entrata in vigore della legge di recepimento.</w:t>
      </w:r>
    </w:p>
    <w:p w:rsidR="00D90A18" w:rsidP="00750824" w:rsidRDefault="00000000" w14:paraId="59E4D958" w14:textId="791CE12D">
      <w:pPr>
        <w:pStyle w:val="Naslov3"/>
        <w:jc w:val="both"/>
      </w:pPr>
      <w:r>
        <w:t xml:space="preserve">Raccomandazione 6.5 [SUPERA IL MINIMO]: Il dialogo sociale come ponte tra l’adozione della direttiva e la sua effettiva attuazione </w:t>
      </w:r>
      <w:r w:rsidR="00D7386B">
        <w:t xml:space="preserve">– </w:t>
      </w:r>
      <w:r>
        <w:t xml:space="preserve">tutela collettiva provvisoria durante la contestazione della presunzione legale </w:t>
      </w:r>
      <w:r w:rsidR="00615F18">
        <w:t xml:space="preserve">di rapporto di lavoro</w:t>
      </w:r>
    </w:p>
    <w:p w:rsidR="005D1CAF" w:rsidP="00750824" w:rsidRDefault="00000000" w14:paraId="4BA1000A" w14:textId="7642267F">
      <w:pPr>
        <w:jc w:val="both"/>
      </w:pPr>
      <w:r>
        <w:t xml:space="preserve">Sulla base dell’esperienza di tutti i paesi partner, l’attuazione della direttiva darà il via a lunghe contestazioni giudiziarie e amministrative da parte delle piattaforme. In questo periodo</w:t>
      </w:r>
      <w:r w:rsidR="005D1CAF">
        <w:t xml:space="preserve">, </w:t>
      </w:r>
      <w:r>
        <w:t xml:space="preserve">che in alcuni paesi durerà anni</w:t>
      </w:r>
      <w:r w:rsidR="005D1CAF">
        <w:t xml:space="preserve">, </w:t>
      </w:r>
      <w:r>
        <w:t xml:space="preserve">i lavoratori </w:t>
      </w:r>
      <w:r w:rsidR="005D1CAF">
        <w:t xml:space="preserve">rimarranno </w:t>
      </w:r>
      <w:r>
        <w:t xml:space="preserve">privi di tutela. Proponiamo che gli Stati membri, nel recepire la direttiva, istituiscano un meccanismo di tutela collettiva provvisoria: non appena l’ispettorato competente accerti con una decisione che la piattaforma è un datore di lavoro, si avvii obbligatoriamente un dialogo tripartito tra i sindacati, la piattaforma e </w:t>
      </w:r>
      <w:r w:rsidR="005D1CAF">
        <w:t xml:space="preserve">il ministero competente</w:t>
      </w:r>
      <w:r>
        <w:t xml:space="preserve">. In tale contesto, le parti sociali concludono un accordo collettivo provvisorio per tutti i lavoratori della piattaforma in questione, che disciplini i diritti fondamentali (retribuzione minima, orario di lavoro, ferie, sicurezza e salute, contributi previdenziali) e rimanga in vigore fino alla decisione definitiva sullo status. La piattaforma deve avviare le trattative entro e non oltre 15 giorni </w:t>
      </w:r>
      <w:r>
        <w:t xml:space="preserve">o entro un termine più breve consentito dall’ordinamento giuridico nazionale. Il rifiuto o il ritardo costituiscono circostanze aggravanti in un eventuale procedimento giudiziario relativo allo status lavorativo </w:t>
      </w:r>
      <w:r>
        <w:t xml:space="preserve">e comportano l’applicazione di sanzioni pecuniarie giornaliere progressivamente crescenti. Il divieto di attività viene pronunciato solo come </w:t>
      </w:r>
      <w:r w:rsidRPr="00016B3D">
        <w:rPr>
          <w:i/>
          <w:iCs/>
        </w:rPr>
        <w:t xml:space="preserve">ultima </w:t>
      </w:r>
      <w:r w:rsidRPr="00016B3D">
        <w:rPr>
          <w:i/>
          <w:iCs/>
        </w:rPr>
        <w:t xml:space="preserve">ratio, </w:t>
      </w:r>
      <w:r>
        <w:t xml:space="preserve">previa conferma giudiziaria di un comportamento di rifiuto persistente. Le retribuzioni per il lavoro svolto e i contributi versati rimangono ai lavoratori; se il tribunale accerta in via definitiva che il rapporto non </w:t>
      </w:r>
      <w:r w:rsidR="00615F18">
        <w:t xml:space="preserve">era di lavoro subordinato</w:t>
      </w:r>
      <w:r>
        <w:t xml:space="preserve">, la piattaforma acquisisce il diritto a </w:t>
      </w:r>
      <w:r w:rsidR="005D1CAF">
        <w:t xml:space="preserve">un rimborso</w:t>
      </w:r>
      <w:r>
        <w:t xml:space="preserve"> limitato </w:t>
      </w:r>
      <w:r w:rsidR="005D1CAF">
        <w:t xml:space="preserve">solo </w:t>
      </w:r>
      <w:r>
        <w:t xml:space="preserve">della parte dei pagamenti che eccede la retribuzione spettanti ai lavoratori autonomi nello stesso periodo </w:t>
      </w:r>
      <w:r w:rsidR="00D7386B">
        <w:t xml:space="preserve">– </w:t>
      </w:r>
      <w:r>
        <w:t xml:space="preserve">senza interessi e entro un termine ragionevole stabilito dal legislatore (proposta: fino a 24 mesi), mentre i compensi per il lavoro svolto, i contributi e le indennità di spesa non vengono restituiti. </w:t>
      </w:r>
    </w:p>
    <w:p w:rsidR="005D1CAF" w:rsidP="00750824" w:rsidRDefault="005D1CAF" w14:paraId="0EAF7B61" w14:textId="77777777">
      <w:pPr>
        <w:jc w:val="both"/>
      </w:pPr>
    </w:p>
    <w:p w:rsidR="00D90A18" w:rsidP="00750824" w:rsidRDefault="00000000" w14:paraId="3B72E63A" w14:textId="019D19BF">
      <w:pPr>
        <w:jc w:val="both"/>
      </w:pPr>
      <w:r>
        <w:t xml:space="preserve">Lo Stato si assume il rischio di una determinazione errata dello status lavorativo: se </w:t>
      </w:r>
      <w:r>
        <w:t xml:space="preserve">la decisione</w:t>
      </w:r>
      <w:r w:rsidR="005D1CAF">
        <w:t xml:space="preserve"> dell’ispettore</w:t>
      </w:r>
      <w:r>
        <w:t xml:space="preserve"> </w:t>
      </w:r>
      <w:r>
        <w:t xml:space="preserve">si rivela errata, l’onere del rimborso dei pagamenti ricade sullo Stato, non sul lavoratore né sulla piattaforma. In questo modo lo Stato garantisce l’affidabilità </w:t>
      </w:r>
      <w:r>
        <w:t xml:space="preserve">della decisione</w:t>
      </w:r>
      <w:r w:rsidR="005D1CAF">
        <w:t xml:space="preserve"> ispettiva </w:t>
      </w:r>
      <w:r>
        <w:t xml:space="preserve">e, al contempo, crea un incentivo economico per un lavoro di qualità da parte dell’ispettorato</w:t>
      </w:r>
      <w:r w:rsidR="00D7386B">
        <w:t xml:space="preserve">: </w:t>
      </w:r>
      <w:r>
        <w:t xml:space="preserve">se lo Stato deve pagare quando l’ispettorato commette un errore, investirà in personale, formazione e competenze algoritmiche </w:t>
      </w:r>
      <w:r w:rsidR="005D1CAF">
        <w:t xml:space="preserve">che prevengano gli errori</w:t>
      </w:r>
      <w:r>
        <w:t xml:space="preserve">.</w:t>
      </w:r>
    </w:p>
    <w:p w:rsidR="00D90A18" w:rsidP="00750824" w:rsidRDefault="00000000" w14:paraId="41F71011" w14:textId="5DB7C7EE">
      <w:pPr>
        <w:pStyle w:val="Naslov3"/>
        <w:jc w:val="both"/>
      </w:pPr>
      <w:r>
        <w:t xml:space="preserve">Raccomandazione 6.6 [DIRETTIVA]: Esercizio collettivo dei diritti e procedimenti collettivi</w:t>
      </w:r>
    </w:p>
    <w:p w:rsidR="00983F19" w:rsidP="00750824" w:rsidRDefault="00000000" w14:paraId="3E304394" w14:textId="5EE2445E">
      <w:pPr>
        <w:jc w:val="both"/>
      </w:pPr>
      <w:r>
        <w:lastRenderedPageBreak/>
      </w:r>
      <w:r>
        <w:t xml:space="preserve">Si veda integralmente la Raccomandazione 3.5. Il capitolo V </w:t>
      </w:r>
      <w:r w:rsidR="005D1CAF">
        <w:t xml:space="preserve">della direttiva </w:t>
      </w:r>
      <w:r>
        <w:t xml:space="preserve">rafforza </w:t>
      </w:r>
      <w:r w:rsidR="005D1CAF">
        <w:t xml:space="preserve">questa </w:t>
      </w:r>
      <w:r>
        <w:t xml:space="preserve">richiesta: gli Stati membri dovrebbero, al momento del recepimento, disciplinare esplicitamente le norme procedurali per l’esercizio collettivo dei diritti da parte dei sindacati, poiché in diversi paesi </w:t>
      </w:r>
      <w:r w:rsidR="00D7386B">
        <w:t xml:space="preserve">– </w:t>
      </w:r>
      <w:r>
        <w:t xml:space="preserve">tra cui la Germania e la Slovenia </w:t>
      </w:r>
      <w:r w:rsidR="00D7386B">
        <w:t xml:space="preserve">– </w:t>
      </w:r>
      <w:r>
        <w:t xml:space="preserve">la legislazione non prevede affatto le azioni collettive in materia di diritto del lavoro. Questa è l’unica via realistica per ottenere cambiamenti sistemici in un settore in cui i lavoratori, per paura di perdere l’accesso alla piattaforma, non avvieranno procedimenti a titolo individuale.</w:t>
      </w:r>
    </w:p>
    <w:p w:rsidR="00D90A18" w:rsidP="00750824" w:rsidRDefault="00D90A18" w14:paraId="5C9D51B7" w14:textId="77777777">
      <w:pPr>
        <w:jc w:val="both"/>
      </w:pPr>
    </w:p>
    <w:p w:rsidR="00983F19" w:rsidP="00750824" w:rsidRDefault="00000000" w14:paraId="1A54C83A" w14:textId="08861689">
      <w:pPr>
        <w:jc w:val="both"/>
      </w:pPr>
      <w:r>
        <w:rPr>
          <w:i/>
          <w:iCs/>
        </w:rPr>
        <w:t xml:space="preserve">Fonti: Relazione del gruppo di esperti per il recepimento della Direttiva (UE) 2024/2831 (gennaio 2026); Atti della conferenza intermedia dell’SDDP, Lubiana, maggio 2025; Linee guida della ZSSS per l’attuazione della Direttiva UE 2024/2831 (aprile 2025); Quadro comune delle parti sociali per l’attuazione della direttiva </w:t>
      </w:r>
      <w:r w:rsidR="00D7386B">
        <w:rPr>
          <w:i/>
          <w:iCs/>
        </w:rPr>
        <w:t xml:space="preserve">– </w:t>
      </w:r>
      <w:r>
        <w:rPr>
          <w:i/>
          <w:iCs/>
        </w:rPr>
        <w:t xml:space="preserve">proposta dell’SDDP (2026).</w:t>
      </w:r>
    </w:p>
    <w:p w:rsidR="00D90A18" w:rsidP="00750824" w:rsidRDefault="00000000" w14:paraId="41921E61" w14:textId="6E7DDB49">
      <w:pPr>
        <w:pStyle w:val="Naslov3"/>
        <w:jc w:val="both"/>
      </w:pPr>
      <w:r>
        <w:t xml:space="preserve">Raccomandazione 6.7 [AMBIZIOSA]: Pressione ESG/finanziaria come meccanismo parallelo per promuovere la conformità delle piattaforme</w:t>
      </w:r>
    </w:p>
    <w:p w:rsidR="00D90A18" w:rsidP="00750824" w:rsidRDefault="00000000" w14:paraId="1DA449C1" w14:textId="2BFCEEB4">
      <w:pPr>
        <w:jc w:val="both"/>
      </w:pPr>
      <w:r>
        <w:t xml:space="preserve">I ministeri dovrebbero </w:t>
      </w:r>
      <w:r>
        <w:t xml:space="preserve">coordinarsi con le autorità di regolamentazione dei mercati dei capitali (ESMA) e gli organismi preposti alla rendicontazione sulla </w:t>
      </w:r>
      <w:r>
        <w:t xml:space="preserve">sostenibilità </w:t>
      </w:r>
      <w:r>
        <w:t xml:space="preserve">per </w:t>
      </w:r>
      <w:r w:rsidR="005D1CAF">
        <w:t xml:space="preserve">garantire </w:t>
      </w:r>
      <w:r>
        <w:t xml:space="preserve">che l’assenza di un certificato sociale comporti una divulgazione sociale negativa misurabile per le piattaforme quotate in borsa. Le piattaforme soggette a rendicontazione secondo gli standard CSRD (ESRS S1 per i dipendenti, ESRS S2 per i lavoratori della catena del valore) devono rendere note la situazione lavorativa e le condizioni di lavoro </w:t>
      </w:r>
      <w:r>
        <w:t xml:space="preserve">dei lavoratori </w:t>
      </w:r>
      <w:r>
        <w:t xml:space="preserve">delle piattaforme</w:t>
      </w:r>
      <w:r w:rsidR="00D7386B">
        <w:t xml:space="preserve">: </w:t>
      </w:r>
      <w:r>
        <w:t xml:space="preserve">l’assenza di un certificato sociale costituisce un indicatore sociale negativo documentato. Ai sensi del regolamento SFDR (2019/2088/UE), i fondi con mandato ESG (fondi pensionistici statali, compagnie assicurative) devono </w:t>
      </w:r>
      <w:r>
        <w:t xml:space="preserve">segnalare </w:t>
      </w:r>
      <w:r>
        <w:t xml:space="preserve">il mancato rispetto della direttiva sul </w:t>
      </w:r>
      <w:r>
        <w:t xml:space="preserve">lavoro </w:t>
      </w:r>
      <w:r>
        <w:t xml:space="preserve">delle piattaforme </w:t>
      </w:r>
      <w:r>
        <w:t xml:space="preserve">come </w:t>
      </w:r>
      <w:r>
        <w:t xml:space="preserve">«Principal </w:t>
      </w:r>
      <w:r>
        <w:t xml:space="preserve">Adverse </w:t>
      </w:r>
      <w:r w:rsidR="00016B3D">
        <w:t xml:space="preserve">Impact»</w:t>
      </w:r>
      <w:r w:rsidR="005D1CAF">
        <w:t xml:space="preserve">, </w:t>
      </w:r>
      <w:r>
        <w:t xml:space="preserve">il che aumenta i costi di capitale della piattaforma e ne limita l’accesso agli investitori istituzionali. I ministeri dovrebbero garantire che le autorità competenti informino sistematicamente le agenzie ESG (MSCI ESG, </w:t>
      </w:r>
      <w:r>
        <w:t xml:space="preserve">Sustainalytics</w:t>
      </w:r>
      <w:r>
        <w:t xml:space="preserve">, ISS) in merito alle violazioni della direttiva riscontrate, poiché un rating ESG ridotto per le piattaforme globali (ad es. </w:t>
      </w:r>
      <w:r>
        <w:t xml:space="preserve">Delivery </w:t>
      </w:r>
      <w:r>
        <w:t xml:space="preserve">Hero/DAX, </w:t>
      </w:r>
      <w:r>
        <w:t xml:space="preserve">Uber/NYSE) comporta una conseguenza finanziaria diretta, che per tali soggetti è </w:t>
      </w:r>
      <w:r w:rsidR="005D1CAF">
        <w:t xml:space="preserve">più gravosa </w:t>
      </w:r>
      <w:r>
        <w:t xml:space="preserve">delle sanzioni nazionali.</w:t>
      </w:r>
    </w:p>
    <w:p w:rsidR="005D1CAF" w:rsidP="00750824" w:rsidRDefault="005D1CAF" w14:paraId="3ACF0DE9" w14:textId="77777777">
      <w:pPr>
        <w:jc w:val="both"/>
      </w:pPr>
    </w:p>
    <w:p w:rsidR="00D90A18" w:rsidP="00750824" w:rsidRDefault="00000000" w14:paraId="42AE34C6" w14:textId="13C5A036">
      <w:pPr>
        <w:pStyle w:val="Blokbesedila"/>
      </w:pPr>
      <w:r>
        <w:t xml:space="preserve">Contesto: il primo pilastro del Protocollo SDDP istituisce il certificato sociale come attestazione pubblica di conformità con un impatto sui mercati finanziari attraverso una catena causale a più livelli: (1) la non conformità viene documentata (ispettorato del lavoro o sentenza) </w:t>
      </w:r>
      <w:r w:rsidR="00D7386B">
        <w:t xml:space="preserve">– </w:t>
      </w:r>
      <w:r>
        <w:t xml:space="preserve">(2) la piattaforma la divulga ai sensi della CSRD (Direttiva 2022/2464/UE) secondo gli standard ESRS S1/S2 </w:t>
      </w:r>
      <w:r w:rsidR="00D7386B">
        <w:t xml:space="preserve">– </w:t>
      </w:r>
      <w:r>
        <w:t xml:space="preserve">(3) le agenzie ESG (MSCI ESG, </w:t>
      </w:r>
      <w:r>
        <w:t xml:space="preserve">Sustainalytics</w:t>
      </w:r>
      <w:r>
        <w:t xml:space="preserve">, ISS) abbassano il rating </w:t>
      </w:r>
      <w:r w:rsidR="00D7386B">
        <w:t xml:space="preserve">– </w:t>
      </w:r>
      <w:r>
        <w:t xml:space="preserve">(4) gli investitori istituzionali </w:t>
      </w:r>
      <w:r>
        <w:t xml:space="preserve">lo </w:t>
      </w:r>
      <w:r>
        <w:t xml:space="preserve">rendono</w:t>
      </w:r>
      <w:r>
        <w:t xml:space="preserve"> pubblico </w:t>
      </w:r>
      <w:r>
        <w:t xml:space="preserve">tramite la segnalazione del «principal </w:t>
      </w:r>
      <w:r>
        <w:t xml:space="preserve">adverse </w:t>
      </w:r>
      <w:r>
        <w:t xml:space="preserve">impact» ai sensi del Regolamento SFDR (2019/2088/UE) </w:t>
      </w:r>
      <w:r w:rsidR="00D7386B">
        <w:t xml:space="preserve">– </w:t>
      </w:r>
      <w:r>
        <w:t xml:space="preserve">(5) i costi di finanziamento aumentano. Il ritardo è di 1–2 anni, ma l’effetto è duraturo. </w:t>
      </w:r>
      <w:r>
        <w:t xml:space="preserve">Delivery </w:t>
      </w:r>
      <w:r>
        <w:t xml:space="preserve">Hero </w:t>
      </w:r>
      <w:r>
        <w:t xml:space="preserve">è quotata sul DAX, </w:t>
      </w:r>
      <w:r>
        <w:t xml:space="preserve">Uber </w:t>
      </w:r>
      <w:r>
        <w:t xml:space="preserve">sul NYSE</w:t>
      </w:r>
      <w:r w:rsidR="00D7386B">
        <w:t xml:space="preserve">: </w:t>
      </w:r>
      <w:r>
        <w:t xml:space="preserve">un rating ESG più basso si traduce in un premio di rischio più elevato e in un valore di mercato inferiore. Questa pressione finanziaria è molto più gravosa per una piattaforma globale rispetto alla perdita di una singola gara d’appalto pubblica.</w:t>
      </w:r>
    </w:p>
    <w:p w:rsidR="00750824" w:rsidRDefault="00750824" w14:paraId="101D57FD" w14:textId="77777777">
      <w:pPr>
        <w:rPr>
          <w:b/>
          <w:bCs/>
          <w:color w:val="1F3864"/>
          <w:sz w:val="36"/>
          <w:szCs w:val="36"/>
        </w:rPr>
      </w:pPr>
      <w:bookmarkStart w:name="X2e90f431d41461f94a17746c4d41698b0106f03" w:id="59"/>
      <w:bookmarkEnd w:id="46"/>
      <w:bookmarkEnd w:id="58"/>
      <w:r>
        <w:br w:type="page"/>
      </w:r>
    </w:p>
    <w:p w:rsidR="00983F19" w:rsidP="00750824" w:rsidRDefault="00000000" w14:paraId="302B6A98" w14:textId="6D5279F3">
      <w:pPr>
        <w:pStyle w:val="Naslov1"/>
        <w:jc w:val="both"/>
      </w:pPr>
      <w:bookmarkStart w:name="_Toc233699500" w:id="60"/>
      <w:r>
        <w:lastRenderedPageBreak/>
      </w:r>
      <w:r>
        <w:t xml:space="preserve">Capitolo 7: Applicazione e rimedi giuridici</w:t>
      </w:r>
      <w:bookmarkEnd w:id="60"/>
    </w:p>
    <w:p w:rsidR="00983F19" w:rsidP="00750824" w:rsidRDefault="00000000" w14:paraId="0CA51AD2" w14:textId="31318C20">
      <w:pPr>
        <w:jc w:val="both"/>
      </w:pPr>
      <w:r>
        <w:t xml:space="preserve">I diritti garantiti dalla direttiva valgono </w:t>
      </w:r>
      <w:r w:rsidR="009C0D64">
        <w:t xml:space="preserve">solo </w:t>
      </w:r>
      <w:r>
        <w:t xml:space="preserve">nella misura in cui è probabile che possano essere effettivamente fatti valere </w:t>
      </w:r>
      <w:r w:rsidR="009C0D64">
        <w:t xml:space="preserve">nella pratica</w:t>
      </w:r>
      <w:r>
        <w:t xml:space="preserve">. Questo è il problema fondamentale del capitolo V della direttiva: gli articoli da 18 a 24 </w:t>
      </w:r>
      <w:r>
        <w:t xml:space="preserve">stabiliscono</w:t>
      </w:r>
      <w:r w:rsidR="009C0D64">
        <w:t xml:space="preserve"> sì </w:t>
      </w:r>
      <w:r>
        <w:t xml:space="preserve">un quadro per l’applicazione, ma senza un adeguato finanziamento degli organismi di controllo, senza </w:t>
      </w:r>
      <w:r w:rsidR="009C0D64">
        <w:t xml:space="preserve">la possibilità </w:t>
      </w:r>
      <w:r>
        <w:t xml:space="preserve">di azioni collettive e senza </w:t>
      </w:r>
      <w:r>
        <w:t xml:space="preserve">sanzioni dissuasive </w:t>
      </w:r>
      <w:r w:rsidR="009C0D64">
        <w:t xml:space="preserve">per le piattaforme, </w:t>
      </w:r>
      <w:r>
        <w:t xml:space="preserve">tale quadro rimane prevalentemente formale. Le piattaforme sono soggetti giuridici ben finanziati che possono permettersi lunghi contenziosi giudiziari</w:t>
      </w:r>
      <w:r w:rsidR="009C0D64">
        <w:t xml:space="preserve">, </w:t>
      </w:r>
      <w:r w:rsidR="009C0D64">
        <w:t xml:space="preserve">mentre</w:t>
      </w:r>
      <w:r>
        <w:t xml:space="preserve"> i lavoratori e i sindacati</w:t>
      </w:r>
      <w:r w:rsidR="009C0D64">
        <w:t xml:space="preserve">, </w:t>
      </w:r>
      <w:r>
        <w:t xml:space="preserve">di norma, non ne hanno la possibilità. Il filo conduttore di questo capitolo è quindi il seguente: l’applicazione senza procedimenti collettivi e senza sanzioni sufficientemente severe è </w:t>
      </w:r>
      <w:r w:rsidR="009C0D64">
        <w:t xml:space="preserve">solo </w:t>
      </w:r>
      <w:r>
        <w:t xml:space="preserve">apparente.</w:t>
      </w:r>
    </w:p>
    <w:p w:rsidR="00983F19" w:rsidP="00750824" w:rsidRDefault="00000000" w14:paraId="35029659" w14:textId="77777777">
      <w:pPr>
        <w:pStyle w:val="Naslov2"/>
        <w:jc w:val="both"/>
      </w:pPr>
      <w:bookmarkStart w:name="_Toc233699501" w:id="61"/>
      <w:bookmarkStart w:name="zahteve-direktive-4" w:id="62"/>
      <w:r>
        <w:t xml:space="preserve">7.1 Requisiti della direttiva</w:t>
      </w:r>
      <w:bookmarkEnd w:id="61"/>
    </w:p>
    <w:p w:rsidR="00983F19" w:rsidP="00750824" w:rsidRDefault="00000000" w14:paraId="3F4EA6AE" w14:textId="306C1FBE">
      <w:pPr>
        <w:jc w:val="both"/>
      </w:pPr>
      <w:r>
        <w:t xml:space="preserve">L’articolo 18 </w:t>
      </w:r>
      <w:r w:rsidR="009C0D64">
        <w:t xml:space="preserve">garantisce </w:t>
      </w:r>
      <w:r>
        <w:t xml:space="preserve">a chiunque svolga </w:t>
      </w:r>
      <w:r>
        <w:t xml:space="preserve">un lavoro </w:t>
      </w:r>
      <w:r>
        <w:t xml:space="preserve">su piattaforma </w:t>
      </w:r>
      <w:r>
        <w:t xml:space="preserve">il diritto di accedere a procedure di risoluzione delle controversie tempestive, efficaci e imparziali, nonché a un adeguato risarcimento per i danni subiti a causa della violazione di qualsiasi diritto previsto dalla direttiva. Il diritto alla tutela giurisdizionale permane anche dopo la cessazione del rapporto contrattuale con la piattaforma</w:t>
      </w:r>
      <w:r w:rsidR="00D7386B">
        <w:t xml:space="preserve">: </w:t>
      </w:r>
      <w:r>
        <w:t xml:space="preserve">la piattaforma non può quindi, con </w:t>
      </w:r>
      <w:r>
        <w:t xml:space="preserve">la cessazione del rapporto, precludere l’accesso alla tutela giuridica. Il gruppo di esperti della Commissione europea ha chiarito che le procedure possono essere amministrative o giudiziarie, compresa </w:t>
      </w:r>
      <w:r w:rsidR="0030041A">
        <w:t xml:space="preserve">la risoluzione </w:t>
      </w:r>
      <w:r w:rsidR="0030041A">
        <w:t xml:space="preserve">extragiudiziale</w:t>
      </w:r>
      <w:r>
        <w:t xml:space="preserve"> </w:t>
      </w:r>
      <w:r w:rsidR="0030041A">
        <w:t xml:space="preserve">delle controversie; </w:t>
      </w:r>
      <w:r>
        <w:t xml:space="preserve">indipendentemente dal tipo di procedura, al lavoratore deve sempre rimanere aperta la via del ricorso in tribunale</w:t>
      </w:r>
      <w:r w:rsidR="0030041A">
        <w:t xml:space="preserve">.</w:t>
      </w:r>
    </w:p>
    <w:p w:rsidR="00D90A18" w:rsidP="00750824" w:rsidRDefault="00D90A18" w14:paraId="475D2C97" w14:textId="77777777">
      <w:pPr>
        <w:jc w:val="both"/>
      </w:pPr>
    </w:p>
    <w:p w:rsidR="00983F19" w:rsidP="00750824" w:rsidRDefault="00000000" w14:paraId="5C846C5A" w14:textId="60DF7432">
      <w:pPr>
        <w:jc w:val="both"/>
      </w:pPr>
      <w:r>
        <w:t xml:space="preserve">L’articolo 19 rappresenta uno dei risultati procedurali più importanti della direttiva per i sindacati: i sindacati e altre persone giuridiche con un interesse legittimo possono avviare procedimenti giudiziari o amministrativi per conto o a sostegno di una o più persone che svolgono </w:t>
      </w:r>
      <w:r>
        <w:t xml:space="preserve">lavoro </w:t>
      </w:r>
      <w:r>
        <w:t xml:space="preserve">su piattaforma</w:t>
      </w:r>
      <w:r>
        <w:t xml:space="preserve">, </w:t>
      </w:r>
      <w:r>
        <w:t xml:space="preserve">in caso di violazione di qualsiasi diritto previsto dalla direttiva. Il gruppo di esperti </w:t>
      </w:r>
      <w:r w:rsidR="0030041A">
        <w:t xml:space="preserve">della Commissione europea </w:t>
      </w:r>
      <w:r>
        <w:t xml:space="preserve">ha confermato che questa disposizione comprende il diritto di avviare procedimenti, non solo quello di intervenire in procedimenti già in corso. Ha inoltre confermato </w:t>
      </w:r>
      <w:r w:rsidR="0030041A">
        <w:t xml:space="preserve">che </w:t>
      </w:r>
      <w:r w:rsidR="0030041A">
        <w:t xml:space="preserve">i procedimenti </w:t>
      </w:r>
      <w:r>
        <w:t xml:space="preserve">possono </w:t>
      </w:r>
      <w:r>
        <w:t xml:space="preserve">essere </w:t>
      </w:r>
      <w:r>
        <w:t xml:space="preserve">collettivi. Il diritto nazionale definisce i dettagli relativi alla rappresentanza e al consenso, ma la direttiva richiede agli Stati membri di garantire almeno una delle due forme: agire per conto del lavoratore o agire a suo sostegno. Entrambe le opzioni sono possibili.</w:t>
      </w:r>
    </w:p>
    <w:p w:rsidR="00D90A18" w:rsidP="00750824" w:rsidRDefault="00D90A18" w14:paraId="5F3DAE2E" w14:textId="77777777">
      <w:pPr>
        <w:jc w:val="both"/>
      </w:pPr>
    </w:p>
    <w:p w:rsidR="00983F19" w:rsidP="00750824" w:rsidRDefault="00000000" w14:paraId="5C5013B8" w14:textId="23235FF1">
      <w:pPr>
        <w:jc w:val="both"/>
      </w:pPr>
      <w:r>
        <w:t xml:space="preserve">L’articolo 20 disciplina i canali di comunicazione per le persone che svolgono </w:t>
      </w:r>
      <w:r>
        <w:t xml:space="preserve">lavoro </w:t>
      </w:r>
      <w:r>
        <w:t xml:space="preserve">su piattaforma</w:t>
      </w:r>
      <w:r>
        <w:t xml:space="preserve">. La piattaforma deve garantire un’infrastruttura digitale che consenta ai lavoratori di comunicare tra loro in modo privato e sicuro e di entrare in contatto con i rappresentanti sindacali. La piattaforma non può accedere al contenuto di tali comunicazioni </w:t>
      </w:r>
      <w:r w:rsidR="00A14D12">
        <w:t xml:space="preserve">né </w:t>
      </w:r>
      <w:r>
        <w:t xml:space="preserve">controllarle. Il gruppo di esperti è stato chiaro: </w:t>
      </w:r>
      <w:r>
        <w:t xml:space="preserve">una chat di gruppo su una piattaforma esterna, come </w:t>
      </w:r>
      <w:r>
        <w:t xml:space="preserve">WhatsApp</w:t>
      </w:r>
      <w:r>
        <w:t xml:space="preserve">, non soddisfa questa condizione </w:t>
      </w:r>
      <w:r w:rsidR="00D7386B">
        <w:t xml:space="preserve">– </w:t>
      </w:r>
      <w:r>
        <w:t xml:space="preserve">i canali devono essere accessibili individualmente ai rappresentanti sindacali e la privacy deve essere tecnicamente garantita. </w:t>
      </w:r>
      <w:r>
        <w:t xml:space="preserve">L’</w:t>
      </w:r>
      <w:r>
        <w:t xml:space="preserve">eventuale </w:t>
      </w:r>
      <w:r>
        <w:t xml:space="preserve">moderazione </w:t>
      </w:r>
      <w:r>
        <w:t xml:space="preserve">dei contenuti (ad esempio in caso di messaggi violenti) deve essere affidata a una terza parte indipendente, non a dipendenti della piattaforma.</w:t>
      </w:r>
    </w:p>
    <w:p w:rsidR="00D90A18" w:rsidP="00750824" w:rsidRDefault="00D90A18" w14:paraId="07116119" w14:textId="77777777">
      <w:pPr>
        <w:jc w:val="both"/>
      </w:pPr>
    </w:p>
    <w:p w:rsidR="00983F19" w:rsidP="00750824" w:rsidRDefault="00000000" w14:paraId="40C6BB19" w14:textId="7290A77D">
      <w:pPr>
        <w:jc w:val="both"/>
      </w:pPr>
      <w:r>
        <w:t xml:space="preserve">L’articolo 21 disciplina l’accesso alle prove. I tribunali e le autorità competenti devono avere il potere di richiedere alla piattaforma di divulgare qualsiasi prova rilevante in suo possesso </w:t>
      </w:r>
      <w:r w:rsidR="00D7386B">
        <w:t xml:space="preserve">– </w:t>
      </w:r>
      <w:r>
        <w:t xml:space="preserve">comprese le informazioni riservate, purché esistano adeguati meccanismi di tutela della riservatezza. Il gruppo di esperti ha sottolineato che le prove fondamentali relative alle istruzioni e al controllo tramite algoritmi sono, di norma, in possesso della piattaforma e </w:t>
      </w:r>
      <w:r>
        <w:t xml:space="preserve">non sono accessibili </w:t>
      </w:r>
      <w:r>
        <w:t xml:space="preserve">ai lavoratori </w:t>
      </w:r>
      <w:r w:rsidR="00A14D12">
        <w:t xml:space="preserve">e ai loro rappresentanti</w:t>
      </w:r>
      <w:r>
        <w:t xml:space="preserve">. Il ricorso al segreto commerciale non costituisce un ostacolo assoluto alla divulgazione</w:t>
      </w:r>
      <w:r w:rsidR="00D7386B">
        <w:t xml:space="preserve">: </w:t>
      </w:r>
      <w:r>
        <w:t xml:space="preserve">il tribunale è autorizzato a ordinare la divulgazione con adeguate misure di tutela.</w:t>
      </w:r>
    </w:p>
    <w:p w:rsidR="00D90A18" w:rsidP="00750824" w:rsidRDefault="00D90A18" w14:paraId="23047EB5" w14:textId="77777777">
      <w:pPr>
        <w:jc w:val="both"/>
      </w:pPr>
    </w:p>
    <w:p w:rsidR="00983F19" w:rsidP="00750824" w:rsidRDefault="00000000" w14:paraId="7E7DAA4F" w14:textId="3A2E838B">
      <w:pPr>
        <w:jc w:val="both"/>
      </w:pPr>
      <w:r>
        <w:t xml:space="preserve">L’articolo 22 </w:t>
      </w:r>
      <w:r w:rsidR="00016B3D">
        <w:t xml:space="preserve">tutela </w:t>
      </w:r>
      <w:r>
        <w:t xml:space="preserve">tutte le persone che svolgono </w:t>
      </w:r>
      <w:r>
        <w:t xml:space="preserve">lavoro </w:t>
      </w:r>
      <w:r>
        <w:t xml:space="preserve">su piattaforma </w:t>
      </w:r>
      <w:r>
        <w:t xml:space="preserve">da </w:t>
      </w:r>
      <w:r w:rsidR="00A14D12">
        <w:t xml:space="preserve">misure di ritorsione </w:t>
      </w:r>
      <w:r>
        <w:t xml:space="preserve">in risposta all’esercizio dei diritti previsti dalla direttiva. La direttiva afferma espressamente che sono vietate valutazioni più basse, l’assegnazione di un minor numero di incarichi e qualsiasi altra forma di sanzione occulta. Il gruppo di esperti ha aggiunto: l’assegnazione di un minor numero di incarichi o un controllo più rigoroso a seguito dell’esercizio dei diritti sono esempi tipici di ritorsioni vietate </w:t>
      </w:r>
      <w:r w:rsidR="00D7386B">
        <w:t xml:space="preserve">– </w:t>
      </w:r>
      <w:r>
        <w:t xml:space="preserve">è sufficiente dimostrare il nesso causale tra l’esercizio dei diritti e la misura lesiva, e l’onere della prova ricade sulla piattaforma. L’articolo 23 estende specificamente tale tutela al licenziamento o a misure equivalenti: la piattaforma non può rescindere il rapporto contrattuale con il lavoratore né bloccargli il conto per il fatto che questi abbia esercitato i diritti previsti dalla direttiva. Inoltre, su richiesta del lavoratore, deve indicare per iscritto i motivi della cessazione. L’onere della prova ricade sulla piattaforma</w:t>
      </w:r>
      <w:r w:rsidR="00D7386B">
        <w:t xml:space="preserve">, </w:t>
      </w:r>
      <w:r>
        <w:t xml:space="preserve">che deve dimostrare che la risoluzione non è stata una conseguenza dell’esercizio dei diritti.</w:t>
      </w:r>
    </w:p>
    <w:p w:rsidR="00D90A18" w:rsidP="00750824" w:rsidRDefault="00D90A18" w14:paraId="35FBA09F" w14:textId="77777777">
      <w:pPr>
        <w:jc w:val="both"/>
      </w:pPr>
    </w:p>
    <w:p w:rsidR="00983F19" w:rsidP="00750824" w:rsidRDefault="00000000" w14:paraId="114DBA6C" w14:textId="17261AE2">
      <w:pPr>
        <w:jc w:val="both"/>
      </w:pPr>
      <w:r>
        <w:t xml:space="preserve">L’articolo 24 disciplina il controllo e le sanzioni. Le autorità garanti della protezione dei dati sono competenti per il controllo </w:t>
      </w:r>
      <w:r w:rsidR="00A14D12">
        <w:t xml:space="preserve">degli articoli </w:t>
      </w:r>
      <w:r>
        <w:t xml:space="preserve">da 7 a 11, </w:t>
      </w:r>
      <w:r w:rsidR="00A14D12">
        <w:t xml:space="preserve">qualora </w:t>
      </w:r>
      <w:r>
        <w:t xml:space="preserve">si tratti di questioni relative alla protezione dei dati; per le altre disposizioni della direttiva sono competenti gli ispettorati del lavoro e altre autorità competenti. L’articolo 24, paragrafo 2, stabilisce tra loro un obbligo di cooperazione, compreso lo scambio di informazioni relative </w:t>
      </w:r>
      <w:r w:rsidR="00A14D12">
        <w:t xml:space="preserve">alle ispezioni </w:t>
      </w:r>
      <w:r>
        <w:t xml:space="preserve">e alle indagini. L’articolo 24, paragrafo 5, richiede che le sanzioni per le violazioni delle disposizioni della direttiva siano efficaci, proporzionate e dissuasive </w:t>
      </w:r>
      <w:r w:rsidR="00D7386B">
        <w:t xml:space="preserve">– </w:t>
      </w:r>
      <w:r>
        <w:t xml:space="preserve">la proporzionalità è misurata in base alle dimensioni della piattaforma e al numero di lavoratori interessati. Fondamentale è la disposizione di cui all’articolo 24, paragrafo 6: qualora la piattaforma non si conformi alla prima decisione giudiziaria o amministrativa definitiva relativa allo status lavorativo dei lavoratori, gli Stati membri devono garantire sanzioni supplementari, che possono essere di natura pecuniaria.</w:t>
      </w:r>
    </w:p>
    <w:p w:rsidR="00983F19" w:rsidP="00750824" w:rsidRDefault="00000000" w14:paraId="6DF57FB9" w14:textId="77777777">
      <w:pPr>
        <w:pStyle w:val="Naslov2"/>
        <w:jc w:val="both"/>
      </w:pPr>
      <w:bookmarkStart w:name="_Toc233699502" w:id="63"/>
      <w:bookmarkStart w:name="ugotovitve-iz-prakse-4" w:id="64"/>
      <w:bookmarkEnd w:id="62"/>
      <w:r>
        <w:t xml:space="preserve">7.2 Risultati emersi dalla pratica</w:t>
      </w:r>
      <w:bookmarkEnd w:id="63"/>
    </w:p>
    <w:p w:rsidR="00983F19" w:rsidP="00750824" w:rsidRDefault="00000000" w14:paraId="7E31C8C6" w14:textId="2AF82EC0">
      <w:pPr>
        <w:jc w:val="both"/>
      </w:pPr>
      <w:r>
        <w:t xml:space="preserve">La constatazione comune di tutti i partner del progetto SDDP è inequivocabile: l’affermazione dei diritti </w:t>
      </w:r>
      <w:r>
        <w:t xml:space="preserve">dei lavoratori </w:t>
      </w:r>
      <w:r>
        <w:t xml:space="preserve">delle piattaforme </w:t>
      </w:r>
      <w:r>
        <w:t xml:space="preserve">in tutti e cinque i paesi partner incontra </w:t>
      </w:r>
      <w:r w:rsidR="00A14D12">
        <w:t xml:space="preserve">gli stessi </w:t>
      </w:r>
      <w:r>
        <w:t xml:space="preserve">ostacoli strutturali. Questi non sono specifici di un singolo ordinamento giuridico</w:t>
      </w:r>
      <w:r w:rsidR="00A14D12">
        <w:t xml:space="preserve">, ma </w:t>
      </w:r>
      <w:r>
        <w:t xml:space="preserve">derivano dall’asimmetria </w:t>
      </w:r>
      <w:r w:rsidR="00A14D12">
        <w:t xml:space="preserve">di potere </w:t>
      </w:r>
      <w:r>
        <w:t xml:space="preserve">tra piattaforme ben finanziate e lavoratori privi dei mezzi necessari per affrontare lunghe </w:t>
      </w:r>
      <w:r>
        <w:t xml:space="preserve">controversie</w:t>
      </w:r>
      <w:r w:rsidR="00A14D12">
        <w:t xml:space="preserve"> giudiziarie</w:t>
      </w:r>
      <w:r>
        <w:t xml:space="preserve">.</w:t>
      </w:r>
    </w:p>
    <w:p w:rsidR="00D90A18" w:rsidP="00750824" w:rsidRDefault="00D90A18" w14:paraId="56F05BC6" w14:textId="77777777">
      <w:pPr>
        <w:jc w:val="both"/>
      </w:pPr>
    </w:p>
    <w:p w:rsidR="00983F19" w:rsidP="00750824" w:rsidRDefault="00B11C0F" w14:paraId="5DFDA0E8" w14:textId="763582A7">
      <w:pPr>
        <w:jc w:val="both"/>
      </w:pPr>
      <w:r>
        <w:rPr>
          <w:b/>
          <w:bCs/>
        </w:rPr>
        <w:t xml:space="preserve">L’esaurimento finanziario come strategia delle piattaforme. </w:t>
      </w:r>
      <w:r>
        <w:t xml:space="preserve">Le piattaforme sfruttano sistematicamente l’asimmetria dei costi: assumono team di consulenti legali che portano i procedimenti ai gradi superiori e </w:t>
      </w:r>
      <w:r>
        <w:t xml:space="preserve">optano per </w:t>
      </w:r>
      <w:r>
        <w:t xml:space="preserve">ricorsi </w:t>
      </w:r>
      <w:r>
        <w:t xml:space="preserve">lunghi e costosi </w:t>
      </w:r>
      <w:r w:rsidR="00D7386B">
        <w:t xml:space="preserve">– </w:t>
      </w:r>
      <w:r>
        <w:t xml:space="preserve">una strategia che logora il singolo lavoratore prima che ottenga una sentenza definitiva. Un caso spagnolo è ben documentato: dopo la sentenza della Corte Suprema del 2020, che ha </w:t>
      </w:r>
      <w:r>
        <w:t xml:space="preserve">riconosciuto </w:t>
      </w:r>
      <w:r>
        <w:t xml:space="preserve">i corrieri </w:t>
      </w:r>
      <w:r>
        <w:t xml:space="preserve">di Glovo </w:t>
      </w:r>
      <w:r>
        <w:t xml:space="preserve">come lavoratori, la piattaforma ha proseguito con procedimenti individuali, contestando ogni singolo caso, invece di adottare una regolamentazione sistematica. I singoli lavoratori, privi di assistenza legale gratuita e di un procedimento collettivo, non hanno alcuna possibilità concreta di far valere i propri diritti.</w:t>
      </w:r>
    </w:p>
    <w:p w:rsidR="00D90A18" w:rsidP="00750824" w:rsidRDefault="00D90A18" w14:paraId="6612C649" w14:textId="77777777">
      <w:pPr>
        <w:jc w:val="both"/>
      </w:pPr>
    </w:p>
    <w:p w:rsidR="00983F19" w:rsidP="00750824" w:rsidRDefault="00000000" w14:paraId="794DCED5" w14:textId="18537679">
      <w:pPr>
        <w:jc w:val="both"/>
      </w:pPr>
      <w:r>
        <w:rPr>
          <w:b/>
          <w:bCs/>
        </w:rPr>
        <w:t xml:space="preserve">Azioni collettive: una lacuna strutturale in Germania e in Slovenia. </w:t>
      </w:r>
      <w:r>
        <w:t xml:space="preserve">In entrambi i paesi, il diritto processuale vigente non prevede azioni collettive in materia di diritto del lavoro secondo le modalità previste dalla direttiva. I sindacati non possono avviare un procedimento per un gruppo di lavoratori senza le autorizzazioni individuali di ciascuno di essi</w:t>
      </w:r>
      <w:r w:rsidR="00B11C0F">
        <w:t xml:space="preserve">, </w:t>
      </w:r>
      <w:r>
        <w:t xml:space="preserve">il che nella pratica è spesso irrealizzabile, poiché i lavoratori sono dispersi, anonimi e temono ritorsioni. L’articolo 19 della direttiva </w:t>
      </w:r>
      <w:r w:rsidR="00B11C0F">
        <w:t xml:space="preserve">richiede che </w:t>
      </w:r>
      <w:r>
        <w:t xml:space="preserve">questa lacuna </w:t>
      </w:r>
      <w:r w:rsidR="00B11C0F">
        <w:t xml:space="preserve">venga </w:t>
      </w:r>
      <w:r w:rsidR="00B11C0F">
        <w:t xml:space="preserve">colmata</w:t>
      </w:r>
      <w:r>
        <w:t xml:space="preserve">: i ministeri devono garantire un meccanismo procedurale che consenta al sindacato di agire per conto o a sostegno di un gruppo di lavoratori senza il consenso individuale di ciascuno di essi.</w:t>
      </w:r>
    </w:p>
    <w:p w:rsidR="00D90A18" w:rsidP="00750824" w:rsidRDefault="00D90A18" w14:paraId="3904CC4C" w14:textId="77777777">
      <w:pPr>
        <w:jc w:val="both"/>
      </w:pPr>
    </w:p>
    <w:p w:rsidR="00983F19" w:rsidP="00750824" w:rsidRDefault="00000000" w14:paraId="081E5076" w14:textId="740C1670">
      <w:pPr>
        <w:jc w:val="both"/>
      </w:pPr>
      <w:r>
        <w:rPr>
          <w:b/>
          <w:bCs/>
        </w:rPr>
        <w:lastRenderedPageBreak/>
      </w:r>
      <w:r>
        <w:rPr>
          <w:b/>
          <w:bCs/>
        </w:rPr>
        <w:t xml:space="preserve">Operatori nel sistema a flotta: la responsabilità penale degli amministratori nella prassi spagnola. </w:t>
      </w:r>
      <w:r>
        <w:t xml:space="preserve">L’esperienza spagnola dopo l’entrata in vigore della Legge sui corrieri nel 2021 mostra come, a seguito della regolamentazione, le piattaforme stiano passando in massa al sistema a flotta e come le società di comodo diventino uno strumento per eludere le responsabilità. Quando un subappaltatore chiude l’azienda, i lavoratori rimangono senza retribuzione e senza nessuno a cui far valere i propri diritti. In alcuni casi, le autorità spagnole hanno avviato procedimenti penali contro gli amministratori delle società di comodo che fungevano da intermediari </w:t>
      </w:r>
      <w:r w:rsidR="00B11C0F">
        <w:t xml:space="preserve">delle piattaforme </w:t>
      </w:r>
      <w:r>
        <w:t xml:space="preserve">per eludere gli obblighi in materia di diritto del lavoro. Si tratta di un modello che vale </w:t>
      </w:r>
      <w:r w:rsidR="00B11C0F">
        <w:t xml:space="preserve">la pena </w:t>
      </w:r>
      <w:r>
        <w:t xml:space="preserve">prendere in considerazione in sede di recepimento della direttiva.</w:t>
      </w:r>
      <w:r>
        <w:br/>
      </w:r>
      <w:r>
        <w:br/>
      </w:r>
      <w:r>
        <w:rPr>
          <w:b/>
          <w:bCs/>
        </w:rPr>
        <w:t xml:space="preserve">Finanziamento degli ispettorati: una richiesta comune a tutti i partner. </w:t>
      </w:r>
      <w:r>
        <w:t xml:space="preserve">Ciascuno dei cinque contributi nazionali al progetto SDDP evidenzia la carenza degli ispettorati del lavoro: troppo pochi ispettori, competenze insufficienti per il controllo </w:t>
      </w:r>
      <w:r w:rsidR="00E11794">
        <w:t xml:space="preserve">dei sistemi algoritmici</w:t>
      </w:r>
      <w:r>
        <w:t xml:space="preserve">, mancanza di strumenti per l’analisi dei dati relativi al lavoro sulle piattaforme. Gli ispettorati che non sono in grado di interpretare un sistema di controllo algoritmico non possono individuare le violazioni. Il finanziamento e la formazione degli ispettorati sono un prerequisito per qualsiasi applicazione della direttiva</w:t>
      </w:r>
      <w:r w:rsidR="00E11794">
        <w:t xml:space="preserve">, </w:t>
      </w:r>
      <w:r>
        <w:t xml:space="preserve">non solo una raccomandazione.</w:t>
      </w:r>
    </w:p>
    <w:p w:rsidR="00D90A18" w:rsidP="00750824" w:rsidRDefault="00D90A18" w14:paraId="0E0171F9" w14:textId="77777777">
      <w:pPr>
        <w:jc w:val="both"/>
      </w:pPr>
    </w:p>
    <w:p w:rsidR="00983F19" w:rsidP="00750824" w:rsidRDefault="00000000" w14:paraId="687E0C49" w14:textId="68113A75">
      <w:pPr>
        <w:jc w:val="both"/>
      </w:pPr>
      <w:r>
        <w:rPr>
          <w:b/>
          <w:bCs/>
        </w:rPr>
        <w:t xml:space="preserve">Misure di ricorso tramite algoritmi: la prova è difficile da fornire.</w:t>
      </w:r>
      <w:r>
        <w:t xml:space="preserve"> Alla conferenza del progetto SDDP tenutasi a Lubiana nel maggio 2025, i rappresentanti sindacali di tutti i paesi partner hanno descritto lo stesso schema: dopo aver presentato un reclamo o aver svolto attività sindacali, il lavoratore riceve nelle settimane successive un numero significativamente inferiore di incarichi</w:t>
      </w:r>
      <w:r w:rsidR="00E11794">
        <w:t xml:space="preserve">, </w:t>
      </w:r>
      <w:r>
        <w:t xml:space="preserve">ma la piattaforma lo spiega come conseguenza di parametri algoritmici oggettivi, non come una sanzione. Dimostrare il nesso causale senza avere accesso ai dati algoritmici è praticamente impossibile. L’articolo 21 della direttiva (accesso alle prove) e l’articolo 22 (inversione dell’onere della prova) affrontano congiuntamente questa asimmetria </w:t>
      </w:r>
      <w:r w:rsidR="00D7386B">
        <w:t xml:space="preserve">– </w:t>
      </w:r>
      <w:r>
        <w:t xml:space="preserve">ma solo se i tribunali e gli ispettorati sono </w:t>
      </w:r>
      <w:r w:rsidR="00E11794">
        <w:t xml:space="preserve">in grado di effettuare un’analisi effettiva dei dati. </w:t>
      </w:r>
    </w:p>
    <w:p w:rsidR="00D90A18" w:rsidP="00750824" w:rsidRDefault="00D90A18" w14:paraId="46AA3A84" w14:textId="77777777">
      <w:pPr>
        <w:jc w:val="both"/>
      </w:pPr>
    </w:p>
    <w:p w:rsidR="00983F19" w:rsidP="00750824" w:rsidRDefault="00000000" w14:paraId="0B93A64F" w14:textId="15418CB2">
      <w:pPr>
        <w:jc w:val="both"/>
      </w:pPr>
      <w:r>
        <w:rPr>
          <w:b/>
          <w:bCs/>
        </w:rPr>
        <w:t xml:space="preserve">Il punteggio di eccellenza di </w:t>
      </w:r>
      <w:r>
        <w:rPr>
          <w:b/>
          <w:bCs/>
        </w:rPr>
        <w:t xml:space="preserve">Foodora </w:t>
      </w:r>
      <w:r>
        <w:rPr>
          <w:b/>
          <w:bCs/>
        </w:rPr>
        <w:t xml:space="preserve">come esempio di risoluzione automatica del contratto. </w:t>
      </w:r>
      <w:r>
        <w:t xml:space="preserve">Foodora </w:t>
      </w:r>
      <w:r>
        <w:t xml:space="preserve">e Bolt </w:t>
      </w:r>
      <w:r>
        <w:t xml:space="preserve">Food </w:t>
      </w:r>
      <w:r>
        <w:t xml:space="preserve">utilizzano in alcuni paesi un sistema di punteggio denominato </w:t>
      </w:r>
      <w:r w:rsidR="00E11794">
        <w:t xml:space="preserve">«punteggio </w:t>
      </w:r>
      <w:r>
        <w:t xml:space="preserve">di </w:t>
      </w:r>
      <w:r w:rsidR="00E11794">
        <w:t xml:space="preserve">eccellenza» (</w:t>
      </w:r>
      <w:r w:rsidR="00E11794">
        <w:t xml:space="preserve">«Excellence </w:t>
      </w:r>
      <w:r w:rsidR="00E11794">
        <w:t xml:space="preserve">Score»)</w:t>
      </w:r>
      <w:r>
        <w:t xml:space="preserve">, che classifica i lavoratori in base al tasso di accettazione degli ordini, alla puntualità, alle valutazioni dei clienti e ad altri parametri algoritmici. Quando il punteggio scende al di sotto di una determinata soglia, il sistema invia automaticamente una notifica di risoluzione del contratto senza alcun </w:t>
      </w:r>
      <w:r>
        <w:t xml:space="preserve">intervento</w:t>
      </w:r>
      <w:r w:rsidR="00E11794">
        <w:t xml:space="preserve"> umano </w:t>
      </w:r>
      <w:r>
        <w:t xml:space="preserve">e senza </w:t>
      </w:r>
      <w:r>
        <w:t xml:space="preserve">alcuna </w:t>
      </w:r>
      <w:r>
        <w:t xml:space="preserve">motivazione preventiva. Tale pratica è in netto contrasto con l’articolo 10, paragrafo 5, della direttiva, che richiede che ogni decisione relativa alla risoluzione del rapporto contrattuale sia presa da una persona, e con l’articolo 11, che garantisce il diritto a una motivazione scritta e a un riesame. Tuttavia, poiché i sindacati hanno individuato questa pratica solo durante la revisione dei contratti, proprio questo sistema rappresenta per le piattaforme una delle leve di controllo più importanti </w:t>
      </w:r>
      <w:r w:rsidR="00D7386B">
        <w:t xml:space="preserve">– </w:t>
      </w:r>
      <w:r>
        <w:t xml:space="preserve">ed è proprio su questo punto che non sono disposti a negoziare. La direttiva lo vieta esplicitamente</w:t>
      </w:r>
      <w:r w:rsidR="00E11794">
        <w:t xml:space="preserve">. </w:t>
      </w:r>
      <w:r w:rsidR="00E11794">
        <w:t xml:space="preserve">L’attuazione </w:t>
      </w:r>
      <w:r>
        <w:t xml:space="preserve">deve rendere operativa tale proibizione mediante una disposizione espressa nella legge.</w:t>
      </w:r>
    </w:p>
    <w:p w:rsidR="00983F19" w:rsidP="00750824" w:rsidRDefault="00000000" w14:paraId="3A5FDBB2" w14:textId="77777777">
      <w:pPr>
        <w:pStyle w:val="Naslov2"/>
        <w:jc w:val="both"/>
      </w:pPr>
      <w:bookmarkStart w:name="_Toc233699503" w:id="65"/>
      <w:bookmarkStart w:name="priporočila-4" w:id="66"/>
      <w:bookmarkEnd w:id="64"/>
      <w:r>
        <w:t xml:space="preserve">7.3 Raccomandazioni</w:t>
      </w:r>
      <w:bookmarkEnd w:id="65"/>
    </w:p>
    <w:p w:rsidR="00D90A18" w:rsidP="00750824" w:rsidRDefault="00000000" w14:paraId="0A7C21F2" w14:textId="4E601750">
      <w:pPr>
        <w:jc w:val="both"/>
      </w:pPr>
      <w:r>
        <w:t xml:space="preserve">Le seguenti raccomandazioni sono rivolte ai </w:t>
      </w:r>
      <w:r>
        <w:t xml:space="preserve">ministeri</w:t>
      </w:r>
      <w:r w:rsidR="00E11794">
        <w:t xml:space="preserve"> competenti </w:t>
      </w:r>
      <w:r>
        <w:t xml:space="preserve">e alle autorità competenti degli Stati membri dell’UE.</w:t>
      </w:r>
    </w:p>
    <w:p w:rsidR="00983F19" w:rsidP="00750824" w:rsidRDefault="00000000" w14:paraId="71346B44" w14:textId="50C5505D">
      <w:pPr>
        <w:pStyle w:val="Naslov3"/>
        <w:jc w:val="both"/>
      </w:pPr>
      <w:r>
        <w:t xml:space="preserve">Raccomandazione 7.1 [SUPERA IL MINIMO]: Sanzioni realmente dissuasive </w:t>
      </w:r>
      <w:r w:rsidR="00D7386B">
        <w:t xml:space="preserve">– </w:t>
      </w:r>
      <w:r>
        <w:t xml:space="preserve">legate al fatturato della piattaforma</w:t>
      </w:r>
    </w:p>
    <w:p w:rsidR="00983F19" w:rsidP="00750824" w:rsidRDefault="00000000" w14:paraId="0303FBE7" w14:textId="511A8E4D">
      <w:pPr>
        <w:jc w:val="both"/>
      </w:pPr>
      <w:r>
        <w:t xml:space="preserve">I ministeri devono stabilire nella legge che il limite massimo delle sanzioni per le violazioni </w:t>
      </w:r>
      <w:r w:rsidR="00E11794">
        <w:t xml:space="preserve">dei diritti garantiti dalla direttiva </w:t>
      </w:r>
      <w:r>
        <w:t xml:space="preserve">sia </w:t>
      </w:r>
      <w:r>
        <w:t xml:space="preserve">legato al fatturato annuo della piattaforma nel paese in questione </w:t>
      </w:r>
      <w:r w:rsidR="00E11794">
        <w:t xml:space="preserve">e </w:t>
      </w:r>
      <w:r>
        <w:t xml:space="preserve">non a </w:t>
      </w:r>
      <w:r w:rsidR="00E11794">
        <w:t xml:space="preserve">un </w:t>
      </w:r>
      <w:r w:rsidR="00E11794">
        <w:t xml:space="preserve">importo astratto e</w:t>
      </w:r>
      <w:r>
        <w:lastRenderedPageBreak/>
      </w:r>
      <w:r w:rsidR="00E11794">
        <w:t xml:space="preserve"> </w:t>
      </w:r>
      <w:r>
        <w:t xml:space="preserve">. Raccomandiamo </w:t>
      </w:r>
      <w:r>
        <w:t xml:space="preserve">il</w:t>
      </w:r>
      <w:r w:rsidR="00E11794">
        <w:t xml:space="preserve"> seguente </w:t>
      </w:r>
      <w:r>
        <w:t xml:space="preserve">modello: per le violazioni relative alla gestione algoritmica, fino al 2% dei ricavi annuali della piattaforma nel paese in questione; per le violazioni relative allo status lavorativo e ai licenziamenti, fino al 4% dei ricavi annuali; per le violazioni sistematiche (una serie di violazioni da parte della stessa piattaforma), un fattore moltiplicatore aggiuntivo fino a 1,5x. La sanzione per il mancato rispetto della prima decisione giudiziaria passata in giudicato (articolo 24, paragrafo 6) deve essere finanziariamente significativa e obbligatoria. Il ricorso contro il provvedimento di interdizione dall’attività ha effetto sospensivo; il ricorso contro la sanzione pecuniaria non ha effetto sospensivo, salvo in caso di comprovata minaccia di insolvenza.</w:t>
      </w:r>
    </w:p>
    <w:p w:rsidR="00E11794" w:rsidP="00750824" w:rsidRDefault="00E11794" w14:paraId="1699B101" w14:textId="77777777">
      <w:pPr>
        <w:jc w:val="both"/>
      </w:pPr>
    </w:p>
    <w:p w:rsidR="00983F19" w:rsidP="00750824" w:rsidRDefault="00000000" w14:paraId="4AE38B7C" w14:textId="3A924E9D">
      <w:pPr>
        <w:pStyle w:val="Blokbesedila"/>
      </w:pPr>
      <w:r>
        <w:rPr>
          <w:b/>
          <w:bCs/>
        </w:rPr>
        <w:t xml:space="preserve">Contesto: </w:t>
      </w:r>
      <w:r>
        <w:t xml:space="preserve">l’articolo 24, paragrafo 5, della direttiva richiede sanzioni efficaci, proporzionate e dissuasive; la proporzionalità si misura in base alle dimensioni della piattaforma e al numero di lavoratori interessati. Il gruppo di esperti della Commissione europea ha confermato che l’articolo 24, paragrafo 6, deve essere obbligatoriamente attuato: il mancato rispetto della prima decisione giudiziaria deve comportare conseguenze finanziarie. Le sanzioni legate al fatturato sono già in vigore nel GDPR (art. 83: fino al 4% del fatturato globale annuo) </w:t>
      </w:r>
      <w:r w:rsidR="00D7386B">
        <w:t xml:space="preserve">– </w:t>
      </w:r>
      <w:r>
        <w:t xml:space="preserve">la direttiva sul </w:t>
      </w:r>
      <w:r>
        <w:t xml:space="preserve">lavoro </w:t>
      </w:r>
      <w:r>
        <w:t xml:space="preserve">tramite piattaforme </w:t>
      </w:r>
      <w:r>
        <w:t xml:space="preserve">non stabilisce un limite unico, ma proprio per questo è tanto più urgente che le leggi nazionali lo definiscano in modo adeguato.</w:t>
      </w:r>
    </w:p>
    <w:p w:rsidR="00983F19" w:rsidP="00750824" w:rsidRDefault="00000000" w14:paraId="166AE13A" w14:textId="0B64A2D1">
      <w:pPr>
        <w:pStyle w:val="Naslov3"/>
        <w:jc w:val="both"/>
      </w:pPr>
      <w:r>
        <w:t xml:space="preserve">Raccomandazione 7.2 [DIRETTIVA]: Tutela contro le ritorsioni: valutazioni più basse e un minor numero di appalti </w:t>
      </w:r>
      <w:r w:rsidR="00EB5A7D">
        <w:t xml:space="preserve">come misura di ritorsione </w:t>
      </w:r>
      <w:r>
        <w:t xml:space="preserve">costituiscono una violazione </w:t>
      </w:r>
    </w:p>
    <w:p w:rsidR="00983F19" w:rsidP="00750824" w:rsidRDefault="00000000" w14:paraId="1D4F3C00" w14:textId="3DDD9244">
      <w:pPr>
        <w:jc w:val="both"/>
      </w:pPr>
      <w:r>
        <w:t xml:space="preserve">I ministeri devono </w:t>
      </w:r>
      <w:r>
        <w:t xml:space="preserve">stabilire </w:t>
      </w:r>
      <w:r>
        <w:t xml:space="preserve">nella </w:t>
      </w:r>
      <w:r w:rsidR="00EB5A7D">
        <w:t xml:space="preserve">legge </w:t>
      </w:r>
      <w:r>
        <w:t xml:space="preserve">che qualsiasi </w:t>
      </w:r>
      <w:r>
        <w:t xml:space="preserve">misura</w:t>
      </w:r>
      <w:r w:rsidR="00EB5A7D">
        <w:t xml:space="preserve"> di ritorsione </w:t>
      </w:r>
      <w:r>
        <w:t xml:space="preserve">a seguito dell’esercizio dei diritti </w:t>
      </w:r>
      <w:r w:rsidR="00D7386B">
        <w:t xml:space="preserve">– </w:t>
      </w:r>
      <w:r>
        <w:t xml:space="preserve">valutazioni più basse, minor numero di incarichi assegnati, modifica dell’orario di lavoro, controllo rafforzato </w:t>
      </w:r>
      <w:r w:rsidR="00D7386B">
        <w:t xml:space="preserve">– </w:t>
      </w:r>
      <w:r>
        <w:t xml:space="preserve">è </w:t>
      </w:r>
      <w:r>
        <w:t xml:space="preserve">vietata e che tali misure sono considerate ritorsive fino a prova contraria da parte della piattaforma. La legge deve disciplinare espressamente l’inversione dell’onere della prova: il lavoratore deve dimostrare la probabilità di un nesso causale tra l’esercizio dei propri diritti e la misura lesiva</w:t>
      </w:r>
      <w:r w:rsidR="00EB5A7D">
        <w:t xml:space="preserve">, </w:t>
      </w:r>
      <w:r w:rsidR="00EB5A7D">
        <w:t xml:space="preserve">mentre </w:t>
      </w:r>
      <w:r>
        <w:t xml:space="preserve">la piattaforma </w:t>
      </w:r>
      <w:r>
        <w:t xml:space="preserve">deve dimostrare che la misura è il risultato di fattori oggettivi </w:t>
      </w:r>
      <w:r w:rsidR="00EB5A7D">
        <w:t xml:space="preserve">e non costituisce una misura di ritorsione</w:t>
      </w:r>
      <w:r>
        <w:t xml:space="preserve">. Poiché tali fattori sono memorizzati in sistemi algoritmici, i tribunali e gli ispettorati devono avere il potere di richiedere la divulgazione dei dati algoritmici relativi al periodo in questione.</w:t>
      </w:r>
    </w:p>
    <w:p w:rsidR="00EB5A7D" w:rsidP="00750824" w:rsidRDefault="00EB5A7D" w14:paraId="35B841F0" w14:textId="77777777">
      <w:pPr>
        <w:jc w:val="both"/>
      </w:pPr>
    </w:p>
    <w:p w:rsidR="00983F19" w:rsidP="00750824" w:rsidRDefault="00000000" w14:paraId="03BD7BE2" w14:textId="64F60027">
      <w:pPr>
        <w:pStyle w:val="Blokbesedila"/>
      </w:pPr>
      <w:r>
        <w:rPr>
          <w:b/>
          <w:bCs/>
        </w:rPr>
        <w:t xml:space="preserve">Contesto: </w:t>
      </w:r>
      <w:r>
        <w:t xml:space="preserve">gli articoli 22 e 23 della direttiva stabiliscono la tutela e l’inversione dell’onere della prova. Il gruppo di esperti della Commissione europea ha confermato che l’assegnazione di un minor numero di incarichi o un controllo più rigoroso a seguito dell’esercizio dei propri diritti costituiscono esempi tipici di misure di ritorsione vietate. Senza l’accesso ai dati algoritmici (articolo 21), tuttavia</w:t>
      </w:r>
      <w:r w:rsidR="00EB5A7D">
        <w:t xml:space="preserve">,</w:t>
      </w:r>
      <w:r>
        <w:t xml:space="preserve"> dimostrare il nesso causale è praticamente impossibile</w:t>
      </w:r>
      <w:r w:rsidR="00EB5A7D">
        <w:t xml:space="preserve">; </w:t>
      </w:r>
      <w:r>
        <w:t xml:space="preserve">pertanto, gli articoli 21 e 22 devono essere attuati congiuntamente, non separatamente.</w:t>
      </w:r>
    </w:p>
    <w:p w:rsidR="00983F19" w:rsidP="00750824" w:rsidRDefault="00000000" w14:paraId="17464334" w14:textId="49D0FA40">
      <w:pPr>
        <w:pStyle w:val="Naslov3"/>
        <w:jc w:val="both"/>
      </w:pPr>
      <w:r>
        <w:t xml:space="preserve">Raccomandazione 7.3 [DIRETTIVA]: Canali di comunicazione sotto controllo indipendente </w:t>
      </w:r>
      <w:r w:rsidR="00EB5A7D">
        <w:t xml:space="preserve">e </w:t>
      </w:r>
      <w:r>
        <w:t xml:space="preserve">non all’interno dell’infrastruttura della piattaforma</w:t>
      </w:r>
    </w:p>
    <w:p w:rsidR="00D90A18" w:rsidP="00750824" w:rsidRDefault="00000000" w14:paraId="7D8CDAE8" w14:textId="77777777">
      <w:pPr>
        <w:jc w:val="both"/>
      </w:pPr>
      <w:r>
        <w:t xml:space="preserve">I ministeri devono stabilire per legge che l’obbligo di cui all’articolo 20 sia soddisfatto solo da un’infrastruttura digitale che:</w:t>
      </w:r>
    </w:p>
    <w:p w:rsidR="00D90A18" w:rsidP="00750824" w:rsidRDefault="00000000" w14:paraId="1FB6FF41" w14:textId="77777777">
      <w:pPr>
        <w:pStyle w:val="Odstavekseznama"/>
        <w:numPr>
          <w:ilvl w:val="0"/>
          <w:numId w:val="6"/>
        </w:numPr>
        <w:jc w:val="both"/>
      </w:pPr>
      <w:r>
        <w:t xml:space="preserve">(a) garantisca la riservatezza tecnica delle comunicazioni, </w:t>
      </w:r>
    </w:p>
    <w:p w:rsidR="00D90A18" w:rsidP="00750824" w:rsidRDefault="00000000" w14:paraId="4A6B1596" w14:textId="77777777">
      <w:pPr>
        <w:pStyle w:val="Odstavekseznama"/>
        <w:numPr>
          <w:ilvl w:val="0"/>
          <w:numId w:val="6"/>
        </w:numPr>
        <w:jc w:val="both"/>
      </w:pPr>
      <w:r>
        <w:t xml:space="preserve">(b) non memorizzi metadati sui server della piattaforma e </w:t>
      </w:r>
    </w:p>
    <w:p w:rsidR="00D90A18" w:rsidP="00750824" w:rsidRDefault="00000000" w14:paraId="09280572" w14:textId="77777777">
      <w:pPr>
        <w:pStyle w:val="Odstavekseznama"/>
        <w:numPr>
          <w:ilvl w:val="0"/>
          <w:numId w:val="6"/>
        </w:numPr>
        <w:jc w:val="both"/>
      </w:pPr>
      <w:r>
        <w:t xml:space="preserve">(c) sia accessibile ai rappresentanti sindacali per il contatto individuale con i lavoratori. </w:t>
      </w:r>
    </w:p>
    <w:p w:rsidR="00983F19" w:rsidP="00750824" w:rsidRDefault="00000000" w14:paraId="5F6593BE" w14:textId="22F823DC">
      <w:pPr>
        <w:jc w:val="both"/>
      </w:pPr>
      <w:r w:rsidR="00583744">
        <w:t xml:space="preserve">La comunicazione</w:t>
      </w:r>
      <w:r>
        <w:t xml:space="preserve"> di gruppo </w:t>
      </w:r>
      <w:r>
        <w:t xml:space="preserve">su servizi esterni non soddisfa tali condizioni. Raccomandiamo che la legge preveda la possibilità per il sindacato di presentare un reclamo formale all’ispettorato, qualora ritenga che il canale fornito non soddisfi tali condizioni</w:t>
      </w:r>
      <w:r w:rsidR="00583744">
        <w:t xml:space="preserve">, </w:t>
      </w:r>
      <w:r>
        <w:t xml:space="preserve">con l’obbligo per l’ispettorato di verificare la questione entro 30 giorni.</w:t>
      </w:r>
    </w:p>
    <w:p w:rsidR="00D90A18" w:rsidP="00750824" w:rsidRDefault="00D90A18" w14:paraId="56E1DC1B" w14:textId="77777777">
      <w:pPr>
        <w:jc w:val="both"/>
      </w:pPr>
    </w:p>
    <w:p w:rsidR="00D90A18" w:rsidP="00750824" w:rsidRDefault="00000000" w14:paraId="31C5C9DB" w14:textId="46D01427">
      <w:pPr>
        <w:pStyle w:val="Blokbesedila"/>
      </w:pPr>
      <w:r>
        <w:rPr>
          <w:b/>
          <w:bCs/>
        </w:rPr>
        <w:t xml:space="preserve">Contesto: </w:t>
      </w:r>
      <w:r>
        <w:t xml:space="preserve">Il gruppo di esperti della CE è stato chiaro: </w:t>
      </w:r>
      <w:r w:rsidR="00583744">
        <w:t xml:space="preserve">la chat di gruppo </w:t>
      </w:r>
      <w:r>
        <w:t xml:space="preserve">su una piattaforma esterna non è sufficiente, poiché non garantisce il contatto individuale tra il rappresentante sindacale e ogni singolo lavoratore. I canali devono essere tecnicamente riservati</w:t>
      </w:r>
      <w:r w:rsidR="00D7386B">
        <w:t xml:space="preserve">: </w:t>
      </w:r>
      <w:r>
        <w:t xml:space="preserve">la piattaforma non deve avere accesso al contenuto delle comunicazioni.</w:t>
      </w:r>
    </w:p>
    <w:p w:rsidR="00983F19" w:rsidP="00750824" w:rsidRDefault="00000000" w14:paraId="0BDDAC6E" w14:textId="77777777">
      <w:pPr>
        <w:pStyle w:val="Naslov3"/>
        <w:jc w:val="both"/>
      </w:pPr>
      <w:r>
        <w:lastRenderedPageBreak/>
      </w:r>
      <w:r>
        <w:t xml:space="preserve">Raccomandazione 7.4 [DIRETTIVA]: Divulgazione degli algoritmi come obbligo di legge nei procedimenti giudiziari e ispettivi</w:t>
      </w:r>
    </w:p>
    <w:p w:rsidR="00983F19" w:rsidP="00750824" w:rsidRDefault="00000000" w14:paraId="522CB194" w14:textId="68588E60">
      <w:pPr>
        <w:jc w:val="both"/>
      </w:pPr>
      <w:r>
        <w:t xml:space="preserve">I ministeri devono stabilire chiaramente nella legge che i tribunali e gli ispettorati del lavoro siano autorizzati a richiedere la divulgazione di qualsiasi prova algoritmica pertinente </w:t>
      </w:r>
      <w:r w:rsidR="00D7386B">
        <w:t xml:space="preserve">– </w:t>
      </w:r>
      <w:r>
        <w:t xml:space="preserve">compresi i parametri, la cronologia delle decisioni e i dati di monitoraggio </w:t>
      </w:r>
      <w:r w:rsidR="00D7386B">
        <w:t xml:space="preserve">– </w:t>
      </w:r>
      <w:r>
        <w:t xml:space="preserve">in possesso della piattaforma. Il ricorso al segreto commerciale non deve costituire un motivo di rifiuto assoluto della divulgazione</w:t>
      </w:r>
      <w:r w:rsidR="00583744">
        <w:t xml:space="preserve">. </w:t>
      </w:r>
      <w:r>
        <w:t xml:space="preserve">Il tribunale o l’ispettorato deve disporre di meccanismi per la tutela della riservatezza (esame in udienza a porte chiuse, </w:t>
      </w:r>
      <w:r>
        <w:t xml:space="preserve">anonimizzazione </w:t>
      </w:r>
      <w:r>
        <w:t xml:space="preserve">nella parte pubblica della sentenza). Si raccomanda che la legge preveda che il rifiuto di divulgare i dati rilevanti senza un motivo fondato sia considerato dal tribunale come una circostanza aggravante nella valutazione della controversia.</w:t>
      </w:r>
    </w:p>
    <w:p w:rsidR="00583744" w:rsidP="00750824" w:rsidRDefault="00583744" w14:paraId="3D9F7CFD" w14:textId="77777777">
      <w:pPr>
        <w:jc w:val="both"/>
      </w:pPr>
    </w:p>
    <w:p w:rsidR="00583744" w:rsidP="00750824" w:rsidRDefault="00000000" w14:paraId="4148CC07" w14:textId="3CA8D641">
      <w:pPr>
        <w:pStyle w:val="Blokbesedila"/>
      </w:pPr>
      <w:r>
        <w:rPr>
          <w:b/>
          <w:bCs/>
        </w:rPr>
        <w:t xml:space="preserve">Contesto: </w:t>
      </w:r>
      <w:r>
        <w:t xml:space="preserve">l’articolo 21 della direttiva richiede che i tribunali e le autorità competenti siano autorizzati a richiedere la divulgazione delle prove</w:t>
      </w:r>
      <w:r w:rsidR="00D7386B">
        <w:t xml:space="preserve">, </w:t>
      </w:r>
      <w:r>
        <w:t xml:space="preserve">comprese le informazioni riservate. Il gruppo di esperti della Commissione europea ha confermato che il ricorso al segreto commerciale non costituisce un ostacolo assoluto. La Corte di giustizia dell’Unione europea, nella causa C-634/21, ha chiarito che deve essere garantita almeno una quantità minima di informazioni, indipendentemente dalle esigenze di riservatezza commerciale.</w:t>
      </w:r>
    </w:p>
    <w:p w:rsidR="00983F19" w:rsidP="00750824" w:rsidRDefault="00000000" w14:paraId="4096C2D9" w14:textId="34BD8053">
      <w:pPr>
        <w:pStyle w:val="Naslov3"/>
        <w:jc w:val="both"/>
      </w:pPr>
      <w:r>
        <w:t xml:space="preserve">Raccomandazione 7.5 [SUPERA IL MINIMO]: </w:t>
      </w:r>
      <w:r w:rsidR="00583744">
        <w:t xml:space="preserve">Responsabilità penale </w:t>
      </w:r>
      <w:r>
        <w:t xml:space="preserve">degli amministratori nelle società di comodo: la responsabilità deve estendersi oltre la persona giuridica</w:t>
      </w:r>
    </w:p>
    <w:p w:rsidR="00983F19" w:rsidP="00750824" w:rsidRDefault="00000000" w14:paraId="72BDC569" w14:textId="216FC185">
      <w:pPr>
        <w:jc w:val="both"/>
      </w:pPr>
      <w:r>
        <w:t xml:space="preserve">I ministeri devono includere nella legge una disposizione che stabilisca la responsabilità personale degli amministratori o dei proprietari </w:t>
      </w:r>
      <w:r>
        <w:t xml:space="preserve">delle imprese </w:t>
      </w:r>
      <w:r>
        <w:t xml:space="preserve">subappaltatrici</w:t>
      </w:r>
      <w:r>
        <w:t xml:space="preserve">, qualora si accerti che tali imprese abbiano operato esclusivamente o prevalentemente come strumento per eludere gli obblighi in materia di diritto del lavoro della piattaforma e qualora, al momento della chiusura, fossero debitrici nei confronti dei lavoratori di retribuzioni, contributi o indennità</w:t>
      </w:r>
      <w:r>
        <w:t xml:space="preserve">. La responsabilità </w:t>
      </w:r>
      <w:r w:rsidR="00A25A76">
        <w:t xml:space="preserve">solidale </w:t>
      </w:r>
      <w:r>
        <w:t xml:space="preserve">della piattaforma in tali casi deve essere incondizionata. Raccomandiamo che la legge introduca la presunzione che la piattaforma fosse a conoscenza del comportamento della società di facciata, qualora avesse </w:t>
      </w:r>
      <w:r w:rsidR="00583744">
        <w:t xml:space="preserve">intrattenuto</w:t>
      </w:r>
      <w:r>
        <w:t xml:space="preserve"> con essa </w:t>
      </w:r>
      <w:r w:rsidR="00583744">
        <w:t xml:space="preserve">un rapporto contrattuale </w:t>
      </w:r>
      <w:r>
        <w:t xml:space="preserve">di durata superiore </w:t>
      </w:r>
      <w:r w:rsidR="00583744">
        <w:t xml:space="preserve">a tre mesi</w:t>
      </w:r>
      <w:r>
        <w:t xml:space="preserve">.</w:t>
      </w:r>
    </w:p>
    <w:p w:rsidR="00583744" w:rsidP="00750824" w:rsidRDefault="00583744" w14:paraId="37A93A4C" w14:textId="77777777">
      <w:pPr>
        <w:jc w:val="both"/>
      </w:pPr>
    </w:p>
    <w:p w:rsidR="00583744" w:rsidP="00750824" w:rsidRDefault="00000000" w14:paraId="081FCAED" w14:textId="3430469E">
      <w:pPr>
        <w:pStyle w:val="Blokbesedila"/>
      </w:pPr>
      <w:r>
        <w:rPr>
          <w:b/>
          <w:bCs/>
        </w:rPr>
        <w:t xml:space="preserve">Contesto: </w:t>
      </w:r>
      <w:r>
        <w:t xml:space="preserve">l’esperienza spagnola a seguito della Legge sui corrieri del 2021 documenta come, dopo l’introduzione della normativa, le piattaforme abbiano iniziato in modo sistematico a costituire società di facciata che hanno assunto il ruolo di datore di lavoro formale. Quando queste società chiudono i battenti, i lavoratori rimangono senza retribuzione e senza un soggetto responsabile. In alcuni casi, le autorità spagnole hanno avviato procedimenti penali nei confronti degli amministratori di tali società. L’analisi di 91 piattaforme mostra che questo modello è presente in almeno 41 casi.</w:t>
      </w:r>
    </w:p>
    <w:p w:rsidR="00D90A18" w:rsidP="00750824" w:rsidRDefault="00000000" w14:paraId="360D6B61" w14:textId="3B11EE6B">
      <w:pPr>
        <w:pStyle w:val="Naslov3"/>
        <w:jc w:val="both"/>
      </w:pPr>
      <w:r>
        <w:t xml:space="preserve">Raccomandazione 7.6 [SUPERA IL MINIMO]: Blocco transfrontaliero dell’applicazione tramite DSA ed ELA in caso di violazioni sistematiche</w:t>
      </w:r>
    </w:p>
    <w:p w:rsidR="00D90A18" w:rsidP="00750824" w:rsidRDefault="00000000" w14:paraId="3BDD30EC" w14:textId="462A1AE6">
      <w:pPr>
        <w:jc w:val="both"/>
      </w:pPr>
      <w:r>
        <w:t xml:space="preserve">I ministeri dovrebbero istituire un protocollo formale per la notifica transfrontaliera tramite l’Agenzia europea per il lavoro (ELA) e il sistema IMI (</w:t>
      </w:r>
      <w:r>
        <w:t xml:space="preserve">Internal </w:t>
      </w:r>
      <w:r>
        <w:t xml:space="preserve">Market </w:t>
      </w:r>
      <w:r>
        <w:t xml:space="preserve">Information </w:t>
      </w:r>
      <w:r>
        <w:t xml:space="preserve">System</w:t>
      </w:r>
      <w:r>
        <w:t xml:space="preserve">), qualora l’autorità nazionale competente accerti una violazione grave o sistematica della direttiva da parte di una piattaforma. Sulla base di tale protocollo, l’ELA coordina ispezioni congiunte e propone misure coordinate. In caso </w:t>
      </w:r>
      <w:r w:rsidR="00B357A5">
        <w:t xml:space="preserve">di</w:t>
      </w:r>
      <w:r>
        <w:t xml:space="preserve"> violazioni sistematiche </w:t>
      </w:r>
      <w:r>
        <w:t xml:space="preserve">che si ripetono in più Stati membri</w:t>
      </w:r>
      <w:r w:rsidR="00B357A5">
        <w:t xml:space="preserve">, </w:t>
      </w:r>
      <w:r>
        <w:t xml:space="preserve">l’ELA raccoglie la documentazione e riferisce </w:t>
      </w:r>
      <w:r>
        <w:t xml:space="preserve">alla Commissione</w:t>
      </w:r>
      <w:r w:rsidR="00B357A5">
        <w:t xml:space="preserve"> europea</w:t>
      </w:r>
      <w:r>
        <w:t xml:space="preserve">, la quale può avviare una procedura di constatazione delle violazioni del diritto dell’UE nei confronti degli Stati membri che non applicano la direttiva. La piattaforma che commette violazioni sistematiche viene esclusa dagli appalti pubblici nell’UE ai sensi della direttiva 2014/24/UE (articolo 57). Il ricorso contro le sanzioni pecuniarie non ha effetto sospensivo; il ricorso contro il divieto di attività ha effetto sospensivo fino alla decisione dell’organo di ricorso.</w:t>
      </w:r>
    </w:p>
    <w:p w:rsidR="00B357A5" w:rsidP="00750824" w:rsidRDefault="00B357A5" w14:paraId="0F065822" w14:textId="77777777">
      <w:pPr>
        <w:jc w:val="both"/>
      </w:pPr>
    </w:p>
    <w:p w:rsidR="00D90A18" w:rsidP="00750824" w:rsidRDefault="00000000" w14:paraId="2FAA9F8F" w14:textId="33AF4758">
      <w:pPr>
        <w:pStyle w:val="Blokbesedila"/>
      </w:pPr>
      <w:r>
        <w:lastRenderedPageBreak/>
      </w:r>
      <w:r>
        <w:t xml:space="preserve">Contesto: il protocollo SDDP (I° pilastro, rivisto) prevede il coordinamento tramite ELA e IMI e l’esclusione dagli appalti pubblici in caso di violazioni sistematiche. Il DSA (Regolamento sui servizi digitali) disciplina i contenuti online illegali </w:t>
      </w:r>
      <w:r w:rsidR="00D7386B">
        <w:t xml:space="preserve">– </w:t>
      </w:r>
      <w:r>
        <w:t xml:space="preserve">non le controversie in materia di diritto del lavoro </w:t>
      </w:r>
      <w:r w:rsidR="00D7386B">
        <w:t xml:space="preserve">– </w:t>
      </w:r>
      <w:r>
        <w:t xml:space="preserve">e non costituisce una base giuridica per il blocco delle applicazioni a causa di violazioni della legislazione sul lavoro. L’articolo 24, paragrafo 4, della direttiva istituisce un quadro per la cooperazione transfrontaliera; la direttiva 2014/24/UE (articolo 57) consente l’esclusione dagli appalti pubblici in caso di gravi violazioni della legislazione. Si tratta di una combinazione realistica e giuridicamente sostenibile.</w:t>
      </w:r>
    </w:p>
    <w:p w:rsidR="00D90A18" w:rsidP="00750824" w:rsidRDefault="00D90A18" w14:paraId="3FB7F1EA" w14:textId="77777777">
      <w:pPr>
        <w:jc w:val="both"/>
        <w:rPr>
          <w:b/>
          <w:bCs/>
        </w:rPr>
      </w:pPr>
    </w:p>
    <w:p w:rsidR="00983F19" w:rsidP="00750824" w:rsidRDefault="00000000" w14:paraId="0EC863FF" w14:textId="77777777">
      <w:pPr>
        <w:jc w:val="both"/>
      </w:pPr>
      <w:r>
        <w:rPr>
          <w:b/>
          <w:bCs/>
        </w:rPr>
        <w:t xml:space="preserve">Nota sull’attuazione</w:t>
      </w:r>
    </w:p>
    <w:p w:rsidR="00983F19" w:rsidP="00750824" w:rsidRDefault="00000000" w14:paraId="38B0D3C7" w14:textId="14DDC68A">
      <w:pPr>
        <w:jc w:val="both"/>
      </w:pPr>
      <w:r>
        <w:rPr>
          <w:i/>
          <w:iCs/>
        </w:rPr>
        <w:t xml:space="preserve">L’attuazione della direttiva è una catena: i due anelli più deboli sono proprio questi. I procedimenti collettivi senza sanzioni dissuasive non risolvono il problema</w:t>
      </w:r>
      <w:r w:rsidR="00D7386B">
        <w:rPr>
          <w:i/>
          <w:iCs/>
        </w:rPr>
        <w:t xml:space="preserve">: </w:t>
      </w:r>
      <w:r>
        <w:rPr>
          <w:i/>
          <w:iCs/>
        </w:rPr>
        <w:t xml:space="preserve">le piattaforme perderanno la singola controversia, ma continueranno con la pratica sistematica finché ciò sarà finanziariamente più vantaggioso rispetto al rispetto </w:t>
      </w:r>
      <w:r w:rsidR="00B357A5">
        <w:rPr>
          <w:i/>
          <w:iCs/>
        </w:rPr>
        <w:t xml:space="preserve">della normativa</w:t>
      </w:r>
      <w:r>
        <w:rPr>
          <w:i/>
          <w:iCs/>
        </w:rPr>
        <w:t xml:space="preserve">. Le sanzioni dissuasive senza procedimenti collettivi non risolvono il problema</w:t>
      </w:r>
      <w:r w:rsidR="00D7386B">
        <w:rPr>
          <w:i/>
          <w:iCs/>
        </w:rPr>
        <w:t xml:space="preserve">: </w:t>
      </w:r>
      <w:r>
        <w:rPr>
          <w:i/>
          <w:iCs/>
        </w:rPr>
        <w:t xml:space="preserve">i lavoratori non avvieranno procedimenti che non sono in grado di finanziare. Entrambi gli elementi sono indispensabili contemporaneamente. Un terzo requisito indispensabile </w:t>
      </w:r>
      <w:r w:rsidR="00B357A5">
        <w:rPr>
          <w:i/>
          <w:iCs/>
        </w:rPr>
        <w:t xml:space="preserve">è costituito da </w:t>
      </w:r>
      <w:r w:rsidR="00B357A5">
        <w:rPr>
          <w:i/>
          <w:iCs/>
        </w:rPr>
        <w:t xml:space="preserve">ispettorati </w:t>
      </w:r>
      <w:r w:rsidR="00B357A5">
        <w:rPr>
          <w:i/>
          <w:iCs/>
        </w:rPr>
        <w:t xml:space="preserve">adeguatamente </w:t>
      </w:r>
      <w:r>
        <w:rPr>
          <w:i/>
          <w:iCs/>
        </w:rPr>
        <w:t xml:space="preserve">finanziati e qualificati</w:t>
      </w:r>
      <w:r>
        <w:rPr>
          <w:i/>
          <w:iCs/>
        </w:rPr>
        <w:t xml:space="preserve">.</w:t>
      </w:r>
    </w:p>
    <w:p w:rsidR="00750824" w:rsidRDefault="00750824" w14:paraId="6F777EB7" w14:textId="77777777">
      <w:pPr>
        <w:rPr>
          <w:b/>
          <w:bCs/>
          <w:color w:val="1F3864"/>
          <w:sz w:val="36"/>
          <w:szCs w:val="36"/>
        </w:rPr>
      </w:pPr>
      <w:bookmarkStart w:name="X01c0a85e2beae09c886a0133721a09d77e9ac5a" w:id="67"/>
      <w:bookmarkEnd w:id="59"/>
      <w:bookmarkEnd w:id="66"/>
      <w:r>
        <w:br w:type="page"/>
      </w:r>
    </w:p>
    <w:p w:rsidR="00983F19" w:rsidP="00750824" w:rsidRDefault="00000000" w14:paraId="72B93E39" w14:textId="39F4629A">
      <w:pPr>
        <w:pStyle w:val="Naslov1"/>
        <w:jc w:val="both"/>
      </w:pPr>
      <w:bookmarkStart w:name="_Toc233699504" w:id="68"/>
      <w:r>
        <w:lastRenderedPageBreak/>
      </w:r>
      <w:r>
        <w:t xml:space="preserve">Capitolo 8: L’applicazione più ampia della direttiva al di là </w:t>
      </w:r>
      <w:r>
        <w:t xml:space="preserve">del lavoro </w:t>
      </w:r>
      <w:r>
        <w:t xml:space="preserve">su piattaforma</w:t>
      </w:r>
      <w:bookmarkEnd w:id="68"/>
    </w:p>
    <w:p w:rsidR="00983F19" w:rsidP="00750824" w:rsidRDefault="00000000" w14:paraId="4795151B" w14:textId="602D88D5">
      <w:pPr>
        <w:jc w:val="both"/>
      </w:pPr>
      <w:r>
        <w:t xml:space="preserve">La direttiva UE 2024/2831 è stata adottata in risposta </w:t>
      </w:r>
      <w:r>
        <w:t xml:space="preserve">all’economia</w:t>
      </w:r>
      <w:r>
        <w:t xml:space="preserve"> </w:t>
      </w:r>
      <w:r>
        <w:t xml:space="preserve">delle piattaforme</w:t>
      </w:r>
      <w:r w:rsidR="00E923E8">
        <w:t xml:space="preserve">, </w:t>
      </w:r>
      <w:r>
        <w:t xml:space="preserve">ma </w:t>
      </w:r>
      <w:r>
        <w:t xml:space="preserve">le</w:t>
      </w:r>
      <w:r w:rsidR="00E923E8">
        <w:t xml:space="preserve"> problematiche </w:t>
      </w:r>
      <w:r>
        <w:t xml:space="preserve">che affronta non sono </w:t>
      </w:r>
      <w:r w:rsidR="00E923E8">
        <w:t xml:space="preserve">specifiche </w:t>
      </w:r>
      <w:r>
        <w:t xml:space="preserve">di </w:t>
      </w:r>
      <w:r>
        <w:t xml:space="preserve">Uber </w:t>
      </w:r>
      <w:r>
        <w:t xml:space="preserve">o </w:t>
      </w:r>
      <w:r>
        <w:t xml:space="preserve">Wolt</w:t>
      </w:r>
      <w:r>
        <w:t xml:space="preserve">. Il falso lavoro autonomo, </w:t>
      </w:r>
      <w:r>
        <w:t xml:space="preserve">le catene </w:t>
      </w:r>
      <w:r>
        <w:t xml:space="preserve">di subappalto </w:t>
      </w:r>
      <w:r>
        <w:t xml:space="preserve">volte a eludere gli obblighi in materia di diritto del lavoro e la gestione algoritmica (AM) si sono </w:t>
      </w:r>
      <w:r w:rsidR="00E923E8">
        <w:t xml:space="preserve">semplicemente </w:t>
      </w:r>
      <w:r>
        <w:t xml:space="preserve">manifestati nella </w:t>
      </w:r>
      <w:r>
        <w:t xml:space="preserve">forma</w:t>
      </w:r>
      <w:r w:rsidR="00E923E8">
        <w:t xml:space="preserve"> più evidente </w:t>
      </w:r>
      <w:r>
        <w:t xml:space="preserve">nel </w:t>
      </w:r>
      <w:r>
        <w:t xml:space="preserve">lavoro </w:t>
      </w:r>
      <w:r>
        <w:t xml:space="preserve">tramite piattaforma</w:t>
      </w:r>
      <w:r>
        <w:t xml:space="preserve">. In settori come la logistica e le consegne, </w:t>
      </w:r>
      <w:r>
        <w:t xml:space="preserve">modelli</w:t>
      </w:r>
      <w:r w:rsidR="00E923E8">
        <w:t xml:space="preserve"> simili</w:t>
      </w:r>
      <w:r>
        <w:t xml:space="preserve"> sono </w:t>
      </w:r>
      <w:r>
        <w:t xml:space="preserve">presenti, solo senza un’app in primo piano. La direttiva, quindi, non è solo una normativa settoriale</w:t>
      </w:r>
      <w:r w:rsidR="00D7386B">
        <w:t xml:space="preserve">: </w:t>
      </w:r>
      <w:r>
        <w:t xml:space="preserve">è un prototipo per una riforma più ampia del diritto del lavoro nell’era digitale.</w:t>
      </w:r>
    </w:p>
    <w:p w:rsidR="00983F19" w:rsidP="00750824" w:rsidRDefault="00000000" w14:paraId="3D578526" w14:textId="77777777">
      <w:pPr>
        <w:pStyle w:val="Naslov2"/>
        <w:jc w:val="both"/>
      </w:pPr>
      <w:bookmarkStart w:name="_Toc233699505" w:id="69"/>
      <w:bookmarkStart w:name="X09750c65b21f891164a18d50f383bfaf4ab216f" w:id="70"/>
      <w:r>
        <w:t xml:space="preserve">8.1 Cosa consente la direttiva al di là </w:t>
      </w:r>
      <w:r>
        <w:t xml:space="preserve">del lavoro </w:t>
      </w:r>
      <w:r>
        <w:t xml:space="preserve">su piattaforma</w:t>
      </w:r>
      <w:bookmarkEnd w:id="69"/>
    </w:p>
    <w:p w:rsidR="00983F19" w:rsidP="00750824" w:rsidRDefault="00000000" w14:paraId="619BE290" w14:textId="77777777">
      <w:pPr>
        <w:jc w:val="both"/>
      </w:pPr>
      <w:r>
        <w:t xml:space="preserve">L’articolo 26, paragrafo 2, della direttiva costituisce un invito esplicito a un recepimento più ambizioso. La direttiva non pregiudica il diritto degli Stati membri di applicare o introdurre, in linea con gli obiettivi della direttiva</w:t>
      </w:r>
      <w:r>
        <w:t xml:space="preserve">,</w:t>
      </w:r>
      <w:r>
        <w:t xml:space="preserve"> leggi </w:t>
      </w:r>
      <w:r>
        <w:t xml:space="preserve">più favorevoli</w:t>
      </w:r>
      <w:r>
        <w:t xml:space="preserve"> ai </w:t>
      </w:r>
      <w:r>
        <w:t xml:space="preserve">lavoratori </w:t>
      </w:r>
      <w:r>
        <w:t xml:space="preserve">delle piattaforme</w:t>
      </w:r>
      <w:r>
        <w:t xml:space="preserve">, né di promuovere contratti collettivi che vadano oltre i requisiti minimi. La direttiva stabilisce un livello minimo, non un limite massimo.</w:t>
      </w:r>
      <w:r>
        <w:rPr>
          <w:rStyle w:val="Sprotnaopomba-sklic"/>
        </w:rPr>
        <w:footnoteReference w:id="6"/>
      </w:r>
    </w:p>
    <w:p w:rsidR="00D90A18" w:rsidP="00750824" w:rsidRDefault="00D90A18" w14:paraId="344F8D66" w14:textId="77777777">
      <w:pPr>
        <w:jc w:val="both"/>
      </w:pPr>
    </w:p>
    <w:p w:rsidR="00983F19" w:rsidP="00750824" w:rsidRDefault="00000000" w14:paraId="6AF048C9" w14:textId="3A4CC47E">
      <w:pPr>
        <w:jc w:val="both"/>
      </w:pPr>
      <w:r>
        <w:t xml:space="preserve">L’articolo 25 richiede agli Stati membri di promuovere attivamente il ruolo delle parti sociali e di far valere il diritto alla contrattazione collettiva nel </w:t>
      </w:r>
      <w:r>
        <w:t xml:space="preserve">lavoro </w:t>
      </w:r>
      <w:r>
        <w:t xml:space="preserve">su piattaforma </w:t>
      </w:r>
      <w:r w:rsidR="00D7386B">
        <w:t xml:space="preserve">– </w:t>
      </w:r>
      <w:r>
        <w:t xml:space="preserve">compresa la definizione di un corretto status lavorativo e l’affermazione dei diritti in relazione alla gestione algoritmica (AM) e ai sistemi di intelligenza artificiale (</w:t>
      </w:r>
      <w:r>
        <w:t xml:space="preserve">intelligenza </w:t>
      </w:r>
      <w:r>
        <w:t xml:space="preserve">artificiale</w:t>
      </w:r>
      <w:r>
        <w:t xml:space="preserve">, IA). Il gruppo di esperti della Commissione europea ha confermato che tali misure non </w:t>
      </w:r>
      <w:r w:rsidR="00D17094">
        <w:t xml:space="preserve">devono necessariamente </w:t>
      </w:r>
      <w:r>
        <w:t xml:space="preserve">essere sancite da norme giuridiche separate</w:t>
      </w:r>
      <w:r w:rsidR="00D7386B">
        <w:t xml:space="preserve">: </w:t>
      </w:r>
      <w:r>
        <w:t xml:space="preserve">è sufficiente che facciano parte di politiche o piani d’azione più ampi.</w:t>
      </w:r>
    </w:p>
    <w:p w:rsidR="00D17094" w:rsidP="00750824" w:rsidRDefault="00D17094" w14:paraId="35B312B6" w14:textId="77777777">
      <w:pPr>
        <w:jc w:val="both"/>
      </w:pPr>
    </w:p>
    <w:p w:rsidR="00983F19" w:rsidP="00750824" w:rsidRDefault="00000000" w14:paraId="1F2532D8" w14:textId="26D37833">
      <w:pPr>
        <w:jc w:val="both"/>
      </w:pPr>
      <w:r>
        <w:t xml:space="preserve">L’argomento chiave a favore dell’estensione della direttiva al di là </w:t>
      </w:r>
      <w:r>
        <w:t xml:space="preserve">del lavoro </w:t>
      </w:r>
      <w:r>
        <w:t xml:space="preserve">su piattaforma </w:t>
      </w:r>
      <w:r>
        <w:t xml:space="preserve">deriva dalla natura stessa del problema: le piattaforme sono diventate </w:t>
      </w:r>
      <w:r w:rsidR="00D17094">
        <w:t xml:space="preserve">solo </w:t>
      </w:r>
      <w:r>
        <w:t xml:space="preserve">l’esempio più evidente, ma non l’unico</w:t>
      </w:r>
      <w:r>
        <w:t xml:space="preserve">, di catene </w:t>
      </w:r>
      <w:r>
        <w:t xml:space="preserve">di subappalto </w:t>
      </w:r>
      <w:r>
        <w:t xml:space="preserve">in cui non è chiaro chi sia effettivamente il datore di lavoro e chi abbia la responsabilità di </w:t>
      </w:r>
      <w:r w:rsidR="00D17094">
        <w:t xml:space="preserve">garantire i diritti lavorativi e sociali ai lavoratori</w:t>
      </w:r>
      <w:r>
        <w:t xml:space="preserve">. </w:t>
      </w:r>
      <w:r w:rsidR="00D17094">
        <w:t xml:space="preserve">La gestione algoritmica non è appannaggio esclusivo delle piattaforme, </w:t>
      </w:r>
      <w:r w:rsidR="00D17094">
        <w:t xml:space="preserve">ma</w:t>
      </w:r>
      <w:r>
        <w:t xml:space="preserve"> è presente </w:t>
      </w:r>
      <w:r w:rsidR="00D17094">
        <w:t xml:space="preserve">anche </w:t>
      </w:r>
      <w:r>
        <w:t xml:space="preserve">nei magazzini</w:t>
      </w:r>
      <w:r w:rsidR="00D17094">
        <w:t xml:space="preserve">,</w:t>
      </w:r>
      <w:r>
        <w:t xml:space="preserve"> </w:t>
      </w:r>
      <w:r>
        <w:t xml:space="preserve">nei call center </w:t>
      </w:r>
      <w:r w:rsidR="00D17094">
        <w:t xml:space="preserve">e in altri contesti</w:t>
      </w:r>
      <w:r>
        <w:t xml:space="preserve">.</w:t>
      </w:r>
    </w:p>
    <w:p w:rsidR="00983F19" w:rsidP="00750824" w:rsidRDefault="00000000" w14:paraId="711C4AA1" w14:textId="77777777">
      <w:pPr>
        <w:pStyle w:val="Naslov2"/>
        <w:jc w:val="both"/>
      </w:pPr>
      <w:bookmarkStart w:name="_Toc233699506" w:id="71"/>
      <w:bookmarkStart w:name="ugotovitve-iz-prakse-5" w:id="72"/>
      <w:bookmarkEnd w:id="70"/>
      <w:r>
        <w:t xml:space="preserve">8.2 Risultati emersi dalla pratica</w:t>
      </w:r>
      <w:bookmarkEnd w:id="71"/>
    </w:p>
    <w:p w:rsidR="00983F19" w:rsidP="00750824" w:rsidRDefault="00000000" w14:paraId="6567EB3C" w14:textId="583FA04F">
      <w:pPr>
        <w:jc w:val="both"/>
      </w:pPr>
      <w:r>
        <w:rPr>
          <w:b/>
          <w:bCs/>
        </w:rPr>
        <w:t xml:space="preserve">Catene </w:t>
      </w:r>
      <w:r>
        <w:rPr>
          <w:b/>
          <w:bCs/>
        </w:rPr>
        <w:t xml:space="preserve">di subappalto </w:t>
      </w:r>
      <w:r>
        <w:rPr>
          <w:b/>
          <w:bCs/>
        </w:rPr>
        <w:t xml:space="preserve">e offuscamento della responsabilità del datore di lavoro. </w:t>
      </w:r>
      <w:r>
        <w:t xml:space="preserve">Il contributo al progetto SDDP sull’intermediazione nel </w:t>
      </w:r>
      <w:r>
        <w:t xml:space="preserve">lavoro </w:t>
      </w:r>
      <w:r>
        <w:t xml:space="preserve">su piattaforma </w:t>
      </w:r>
      <w:r>
        <w:t xml:space="preserve">documenta che in quasi la metà delle piattaforme analizzate (cfr. capitolo 2) </w:t>
      </w:r>
      <w:r>
        <w:t xml:space="preserve">le catene </w:t>
      </w:r>
      <w:r>
        <w:t xml:space="preserve">di subappalto </w:t>
      </w:r>
      <w:r>
        <w:t xml:space="preserve">non sono un’anomalia, ma una componente strutturale </w:t>
      </w:r>
      <w:r w:rsidR="000F63BC">
        <w:t xml:space="preserve">del loro </w:t>
      </w:r>
      <w:r>
        <w:t xml:space="preserve">modello di business. Il problema non si limita alle piattaforme: in Germania le catene di intermediazione nell’industria della lavorazione della carne erano talmente complesse che non è stato possibile stabilire chi fosse effettivamente il datore di lavoro e chi fosse giuridicamente responsabile </w:t>
      </w:r>
      <w:r w:rsidR="000F63BC">
        <w:t xml:space="preserve">dei </w:t>
      </w:r>
      <w:r>
        <w:t xml:space="preserve">diritti dei lavoratori. Nel 2021, </w:t>
      </w:r>
      <w:r w:rsidR="000F63BC">
        <w:t xml:space="preserve">in risposta alla sistematica occultamento della responsabilità del datore di lavoro</w:t>
      </w:r>
      <w:r>
        <w:t xml:space="preserve">, </w:t>
      </w:r>
      <w:r>
        <w:t xml:space="preserve">la Germania ha </w:t>
      </w:r>
      <w:r>
        <w:t xml:space="preserve">introdotto l’obbligo di assunzione diretta in questo settore.</w:t>
      </w:r>
      <w:r>
        <w:rPr>
          <w:rStyle w:val="Sprotnaopomba-sklic"/>
        </w:rPr>
        <w:footnoteReference w:id="7"/>
      </w:r>
    </w:p>
    <w:p w:rsidR="00D90A18" w:rsidP="00750824" w:rsidRDefault="00D90A18" w14:paraId="5EB85A9A" w14:textId="77777777">
      <w:pPr>
        <w:jc w:val="both"/>
      </w:pPr>
    </w:p>
    <w:p w:rsidR="00983F19" w:rsidP="00750824" w:rsidRDefault="00000000" w14:paraId="61789ECF" w14:textId="385552FF">
      <w:pPr>
        <w:jc w:val="both"/>
      </w:pPr>
      <w:r>
        <w:rPr>
          <w:b/>
          <w:bCs/>
        </w:rPr>
        <w:lastRenderedPageBreak/>
      </w:r>
      <w:r>
        <w:rPr>
          <w:b/>
          <w:bCs/>
        </w:rPr>
        <w:t xml:space="preserve">Gestione algoritmica nei magazzini e nei call center. </w:t>
      </w:r>
      <w:r>
        <w:t xml:space="preserve">Il contributo austriaco al progetto SDDP documenta che la gestione algoritmica non si limita alle piattaforme: i sistemi di misurazione della produttività, la distribuzione algoritmica del lavoro e le sanzioni automatiche per gli scostamenti dalla norma operano </w:t>
      </w:r>
      <w:r w:rsidR="000F63BC">
        <w:t xml:space="preserve">anche </w:t>
      </w:r>
      <w:r>
        <w:t xml:space="preserve">nei magazzini e nei call center. La direttiva disciplina tali pratiche nel caso delle piattaforme, ma non per tutti gli altri datori di lavoro</w:t>
      </w:r>
      <w:r w:rsidR="000F63BC">
        <w:t xml:space="preserve">, </w:t>
      </w:r>
      <w:r>
        <w:t xml:space="preserve">creando così un’asimmetria tra i settori.</w:t>
      </w:r>
    </w:p>
    <w:p w:rsidR="00D90A18" w:rsidP="00750824" w:rsidRDefault="00D90A18" w14:paraId="6B71555F" w14:textId="77777777">
      <w:pPr>
        <w:jc w:val="both"/>
      </w:pPr>
    </w:p>
    <w:p w:rsidR="00983F19" w:rsidP="00750824" w:rsidRDefault="00000000" w14:paraId="75E5061C" w14:textId="4B833C24">
      <w:pPr>
        <w:jc w:val="both"/>
      </w:pPr>
      <w:r>
        <w:rPr>
          <w:b/>
          <w:bCs/>
        </w:rPr>
        <w:t xml:space="preserve">Falso lavoro autonomo al di fuori delle piattaforme. </w:t>
      </w:r>
      <w:r>
        <w:t xml:space="preserve">La ZSSS, nelle sue linee guida per l’attuazione della direttiva (aprile 2025), constata che il falso lavoro autonomo nella Repubblica di Slovenia è diffuso ben oltre </w:t>
      </w:r>
      <w:r>
        <w:t xml:space="preserve">il lavoro </w:t>
      </w:r>
      <w:r>
        <w:t xml:space="preserve">su piattaforma</w:t>
      </w:r>
      <w:r>
        <w:t xml:space="preserve">. La ZSSS propone che in Slovenia venga applicata la logica secondo cui si presume che ogni attività lavorativa sia svolta nell’ambito di un rapporto di lavoro </w:t>
      </w:r>
      <w:r w:rsidR="00615F18">
        <w:t xml:space="preserve">o di un’occupazione</w:t>
      </w:r>
      <w:r>
        <w:t xml:space="preserve">, a meno che il datore di lavoro non dimostri in anticipo il contrario. A tal fine, la ZSSS propone l’istituzione di un registro che riporti tutti i casi di forme atipiche di lavoro, insieme alle motivazioni del loro ricorso.</w:t>
      </w:r>
    </w:p>
    <w:p w:rsidR="00D90A18" w:rsidP="00750824" w:rsidRDefault="00D90A18" w14:paraId="6E284FE3" w14:textId="77777777">
      <w:pPr>
        <w:jc w:val="both"/>
      </w:pPr>
    </w:p>
    <w:p w:rsidR="00D90A18" w:rsidP="00750824" w:rsidRDefault="00000000" w14:paraId="1B8DB113" w14:textId="7EA14F35">
      <w:pPr>
        <w:jc w:val="both"/>
      </w:pPr>
      <w:r>
        <w:rPr>
          <w:b/>
          <w:bCs/>
        </w:rPr>
        <w:t xml:space="preserve">Un contratto collettivo privo di disposizioni relative all’AM non costituisce una tutela sufficiente. </w:t>
      </w:r>
      <w:r>
        <w:t xml:space="preserve">Due esperienze provenienti dai paesi partner lo confermano chiaramente. Il contratto collettivo austriaco per i corrieri (</w:t>
      </w:r>
      <w:r>
        <w:t xml:space="preserve">Gewerkschaft </w:t>
      </w:r>
      <w:r>
        <w:t xml:space="preserve">vida, in vigore dal 2023 al 2025) ha disciplinato </w:t>
      </w:r>
      <w:r w:rsidR="001E67F7">
        <w:t xml:space="preserve">le questioni relative alla retribuzione</w:t>
      </w:r>
      <w:r>
        <w:t xml:space="preserve">, </w:t>
      </w:r>
      <w:r w:rsidR="001E67F7">
        <w:t xml:space="preserve">all’orario</w:t>
      </w:r>
      <w:r w:rsidR="001E67F7">
        <w:t xml:space="preserve"> di lavoro </w:t>
      </w:r>
      <w:r>
        <w:t xml:space="preserve">e </w:t>
      </w:r>
      <w:r w:rsidR="001E67F7">
        <w:t xml:space="preserve">al rimborso delle spese, </w:t>
      </w:r>
      <w:r w:rsidR="001E67F7">
        <w:t xml:space="preserve">ma </w:t>
      </w:r>
      <w:r>
        <w:t xml:space="preserve">non ha affrontato il tema </w:t>
      </w:r>
      <w:r>
        <w:t xml:space="preserve">della gestione algoritmica</w:t>
      </w:r>
      <w:r>
        <w:t xml:space="preserve">. Il sindacato ha denunciato il contratto nel giugno 2025. Il contratto italiano per i corrieri di Just </w:t>
      </w:r>
      <w:r>
        <w:t xml:space="preserve">Eat </w:t>
      </w:r>
      <w:r>
        <w:t xml:space="preserve">Takeaway </w:t>
      </w:r>
      <w:r>
        <w:t xml:space="preserve">/ </w:t>
      </w:r>
      <w:r>
        <w:t xml:space="preserve">Scoober </w:t>
      </w:r>
      <w:r>
        <w:t xml:space="preserve">(in vigore da gennaio 2025 a dicembre 2027) fa un passo in più: i corrieri sono </w:t>
      </w:r>
      <w:r w:rsidR="00615F18">
        <w:t xml:space="preserve">assunti come dipendenti e </w:t>
      </w:r>
      <w:r>
        <w:t xml:space="preserve">il contratto fa riferimento al </w:t>
      </w:r>
      <w:r w:rsidR="001E67F7">
        <w:t xml:space="preserve">contratto collettivo</w:t>
      </w:r>
      <w:r>
        <w:t xml:space="preserve"> nazionale </w:t>
      </w:r>
      <w:r>
        <w:t xml:space="preserve">di</w:t>
      </w:r>
      <w:r w:rsidR="001E67F7">
        <w:t xml:space="preserve"> lavoro </w:t>
      </w:r>
      <w:r>
        <w:t xml:space="preserve">per la logistica e i trasporti (CCNL </w:t>
      </w:r>
      <w:r>
        <w:t xml:space="preserve">Logistics</w:t>
      </w:r>
      <w:r>
        <w:t xml:space="preserve">). </w:t>
      </w:r>
    </w:p>
    <w:p w:rsidR="00D90A18" w:rsidP="00750824" w:rsidRDefault="00D90A18" w14:paraId="25CEF840" w14:textId="77777777">
      <w:pPr>
        <w:jc w:val="both"/>
      </w:pPr>
    </w:p>
    <w:p w:rsidR="00983F19" w:rsidP="00750824" w:rsidRDefault="00000000" w14:paraId="10167AA2" w14:textId="5AD59B41">
      <w:pPr>
        <w:jc w:val="both"/>
      </w:pPr>
      <w:r>
        <w:t xml:space="preserve">Ciononostante, il contratto non contiene disposizioni sulla trasparenza dei parametri algoritmici, sebbene </w:t>
      </w:r>
      <w:r w:rsidR="001E67F7">
        <w:t xml:space="preserve">il bonus di rendimento </w:t>
      </w:r>
      <w:r>
        <w:t xml:space="preserve">(PDR) dipenda da criteri algoritmici </w:t>
      </w:r>
      <w:r w:rsidR="00D7386B">
        <w:t xml:space="preserve">– </w:t>
      </w:r>
      <w:r>
        <w:t xml:space="preserve">presenza superiore al 93% e produttività superiore a 1,85 ordini all’ora </w:t>
      </w:r>
      <w:r w:rsidR="00D7386B">
        <w:t xml:space="preserve">– </w:t>
      </w:r>
      <w:r>
        <w:t xml:space="preserve">senza alcuna disposizione su come tali criteri vengano calcolati e su chi possa contestarli. La lezione comune a entrambi i casi: un contratto collettivo che non disciplini </w:t>
      </w:r>
      <w:r w:rsidR="001E67F7">
        <w:t xml:space="preserve">l’AM </w:t>
      </w:r>
      <w:r>
        <w:t xml:space="preserve">non garantisce una tutela completa </w:t>
      </w:r>
      <w:r>
        <w:t xml:space="preserve">nell’economia</w:t>
      </w:r>
      <w:r>
        <w:t xml:space="preserve"> </w:t>
      </w:r>
      <w:r>
        <w:t xml:space="preserve">delle piattaforme</w:t>
      </w:r>
      <w:r>
        <w:t xml:space="preserve">.</w:t>
      </w:r>
      <w:r>
        <w:rPr>
          <w:rStyle w:val="Sprotnaopomba-sklic"/>
        </w:rPr>
        <w:footnoteReference w:id="8"/>
      </w:r>
      <w:r w:rsidR="00645F58">
        <w:t xml:space="preserve"> </w:t>
      </w:r>
      <w:r>
        <w:rPr>
          <w:rStyle w:val="Sprotnaopomba-sklic"/>
        </w:rPr>
        <w:footnoteReference w:id="9"/>
      </w:r>
    </w:p>
    <w:p w:rsidR="00D90A18" w:rsidP="00750824" w:rsidRDefault="00D90A18" w14:paraId="496B41FD" w14:textId="77777777">
      <w:pPr>
        <w:jc w:val="both"/>
      </w:pPr>
    </w:p>
    <w:p w:rsidR="00983F19" w:rsidP="00750824" w:rsidRDefault="00000000" w14:paraId="32CF5609" w14:textId="04E24715">
      <w:pPr>
        <w:jc w:val="both"/>
      </w:pPr>
      <w:r>
        <w:rPr>
          <w:b/>
          <w:bCs/>
        </w:rPr>
        <w:t xml:space="preserve">Gli accordi di riservatezza come strumento di pressione. </w:t>
      </w:r>
      <w:r>
        <w:t xml:space="preserve">Durante le trattative con </w:t>
      </w:r>
      <w:r>
        <w:t xml:space="preserve">le società </w:t>
      </w:r>
      <w:r>
        <w:t xml:space="preserve">di piattaforma </w:t>
      </w:r>
      <w:r>
        <w:t xml:space="preserve">per i contratti collettivi e nelle richieste di dati sulla gestione algoritmica</w:t>
      </w:r>
      <w:r w:rsidR="00645F58">
        <w:t xml:space="preserve">, </w:t>
      </w:r>
      <w:r>
        <w:t xml:space="preserve">le piattaforme esigono dai sindacati la firma di un accordo di riservatezza (</w:t>
      </w:r>
      <w:r>
        <w:t xml:space="preserve">«non-disclosure </w:t>
      </w:r>
      <w:r>
        <w:t xml:space="preserve">agreement </w:t>
      </w:r>
      <w:r w:rsidR="00645F58">
        <w:t xml:space="preserve">(</w:t>
      </w:r>
      <w:r>
        <w:t xml:space="preserve">NDA</w:t>
      </w:r>
      <w:r w:rsidR="00645F58">
        <w:t xml:space="preserve">)»</w:t>
      </w:r>
      <w:r>
        <w:t xml:space="preserve">). In questo modo, non solo limitano i sindacati nel dibattito pubblico, ma li intimidiscono dal presentare reclami e dal far valere i diritti che la direttiva garantisce espressamente. L’articolo 9 della direttiva impone alle piattaforme l’obbligo proattivo di informare i rappresentanti sindacali sui sistemi di AM/AI </w:t>
      </w:r>
      <w:r w:rsidR="00D7386B">
        <w:t xml:space="preserve">– </w:t>
      </w:r>
      <w:r>
        <w:t xml:space="preserve">tale obbligo non può essere subordinato alla firma di un accordo. L’articolo 22 della direttiva vieta qualsiasi comportamento lesivo nei confronti delle persone e dei loro rappresentanti che esercitano i diritti previsti dalla direttiva.</w:t>
      </w:r>
    </w:p>
    <w:p w:rsidR="00D90A18" w:rsidP="00750824" w:rsidRDefault="00D90A18" w14:paraId="572469EA" w14:textId="77777777">
      <w:pPr>
        <w:jc w:val="both"/>
      </w:pPr>
    </w:p>
    <w:p w:rsidR="00983F19" w:rsidP="00750824" w:rsidRDefault="00000000" w14:paraId="2B001D43" w14:textId="74333029">
      <w:pPr>
        <w:jc w:val="both"/>
      </w:pPr>
      <w:r>
        <w:rPr>
          <w:b/>
          <w:bCs/>
        </w:rPr>
        <w:t xml:space="preserve">I benefici dell’AM per i lavoratori, non solo per i datori di lavoro. </w:t>
      </w:r>
      <w:r>
        <w:t xml:space="preserve">La ZSSS, nelle sue linee guida, sottolinea che l’introduzione dell’AM e dei sistemi di IA deve apportare benefici anche ai lavoratori </w:t>
      </w:r>
      <w:r w:rsidR="00D7386B">
        <w:t xml:space="preserve">– </w:t>
      </w:r>
      <w:r>
        <w:t xml:space="preserve">attraverso una migliore organizzazione del lavoro, salari più elevati, la riduzione delle mansioni ripetitive e la possibilità di ridurre </w:t>
      </w:r>
      <w:r>
        <w:t xml:space="preserve">l’</w:t>
      </w:r>
      <w:r>
        <w:lastRenderedPageBreak/>
      </w:r>
      <w:r>
        <w:t xml:space="preserve"> e dell’orario di lavoro. Una regolamentazione dell’AM intesa esclusivamente come regolamentazione del controllo, senza l’esigenza di un’equa distribuzione dei benefici, non è sufficiente.</w:t>
      </w:r>
    </w:p>
    <w:p w:rsidR="00983F19" w:rsidP="00750824" w:rsidRDefault="00000000" w14:paraId="3E6F525B" w14:textId="77777777">
      <w:pPr>
        <w:pStyle w:val="Naslov2"/>
        <w:jc w:val="both"/>
      </w:pPr>
      <w:bookmarkStart w:name="_Toc233699507" w:id="73"/>
      <w:bookmarkStart w:name="priporočila-5" w:id="74"/>
      <w:bookmarkEnd w:id="72"/>
      <w:r>
        <w:t xml:space="preserve">8.3 Raccomandazioni</w:t>
      </w:r>
      <w:bookmarkEnd w:id="73"/>
    </w:p>
    <w:p w:rsidRPr="00D90A18" w:rsidR="00983F19" w:rsidP="00750824" w:rsidRDefault="00000000" w14:paraId="4FB73DAE" w14:textId="77777777">
      <w:pPr>
        <w:jc w:val="both"/>
        <w:rPr>
          <w:i/>
          <w:iCs/>
        </w:rPr>
      </w:pPr>
      <w:r>
        <w:rPr>
          <w:rStyle w:val="Poudarek"/>
        </w:rPr>
        <w:t xml:space="preserve">Le seguenti raccomandazioni sono rivolte ai ministeri del lavoro e alle parti sociali di tutti gli Stati membri dell’UE, nonché alla CES.</w:t>
      </w:r>
    </w:p>
    <w:p w:rsidRPr="00D90A18" w:rsidR="00983F19" w:rsidP="00750824" w:rsidRDefault="00000000" w14:paraId="44040075" w14:textId="77777777">
      <w:pPr>
        <w:pStyle w:val="Naslov3"/>
        <w:jc w:val="both"/>
      </w:pPr>
      <w:r>
        <w:t xml:space="preserve">Raccomandazione 8.1 [SUPERA IL MINIMO]: Divieto di abuso dei contratti di riservatezza nei confronti dei rappresentanti sindacali</w:t>
      </w:r>
    </w:p>
    <w:p w:rsidR="00983F19" w:rsidP="00750824" w:rsidRDefault="00000000" w14:paraId="68926663" w14:textId="7D7DDDE1">
      <w:pPr>
        <w:jc w:val="both"/>
      </w:pPr>
      <w:r>
        <w:t xml:space="preserve">La richiesta di firmare un accordo di riservatezza come condizione per l’accesso a informazioni a cui i rappresentanti sindacali hanno già diritto ai sensi della direttiva è </w:t>
      </w:r>
      <w:r w:rsidR="00885168">
        <w:t xml:space="preserve">vietata </w:t>
      </w:r>
      <w:r>
        <w:t xml:space="preserve">dall’articolo 22 della direttiva.</w:t>
      </w:r>
    </w:p>
    <w:p w:rsidRPr="00D90A18" w:rsidR="00D90A18" w:rsidP="00750824" w:rsidRDefault="00D90A18" w14:paraId="536ED4A8" w14:textId="77777777">
      <w:pPr>
        <w:jc w:val="both"/>
      </w:pPr>
    </w:p>
    <w:p w:rsidR="00983F19" w:rsidP="00750824" w:rsidRDefault="00000000" w14:paraId="5DE11210" w14:textId="1875A5AC">
      <w:pPr>
        <w:jc w:val="both"/>
      </w:pPr>
      <w:r>
        <w:t xml:space="preserve">I ministeri </w:t>
      </w:r>
      <w:r w:rsidR="00885168">
        <w:t xml:space="preserve">dovrebbero </w:t>
      </w:r>
      <w:r>
        <w:t xml:space="preserve">rendere operativa tale divieto nella legge di recepimento: un accordo di riservatezza non deve impedire al sindacato di presentare reclami o di fornire informazioni al tribunale. Inoltre, sono nulle tutte le clausole contrattuali che vietano ai lavoratori di divulgare le condizioni di lavoro </w:t>
      </w:r>
      <w:r w:rsidR="00D7386B">
        <w:t xml:space="preserve">– </w:t>
      </w:r>
      <w:r>
        <w:t xml:space="preserve">in conformità </w:t>
      </w:r>
      <w:r w:rsidR="00885168">
        <w:t xml:space="preserve">con </w:t>
      </w:r>
      <w:r>
        <w:t xml:space="preserve">il III pilastro del Protocollo e con gli articoli 14 e 22 della direttiva. La violazione da parte di una società di piattaforma è considerata una violazione della direttiva ed è soggetta a sanzioni ai sensi dell’articolo 24.</w:t>
      </w:r>
    </w:p>
    <w:p w:rsidRPr="00D90A18" w:rsidR="00885168" w:rsidP="00750824" w:rsidRDefault="00885168" w14:paraId="07CA53AF" w14:textId="77777777">
      <w:pPr>
        <w:jc w:val="both"/>
      </w:pPr>
    </w:p>
    <w:p w:rsidRPr="00D90A18" w:rsidR="00983F19" w:rsidP="00750824" w:rsidRDefault="00000000" w14:paraId="1E7ED245" w14:textId="77777777">
      <w:pPr>
        <w:pStyle w:val="Blokbesedila"/>
      </w:pPr>
      <w:r>
        <w:t xml:space="preserve">Contesto: Articolo 9: obbligo proattivo di informare i rappresentanti sindacali in merito all’AM/AI. Articolo 22: divieto di comportamenti lesivi nei confronti delle persone che esercitano i diritti previsti dalla direttiva.</w:t>
      </w:r>
    </w:p>
    <w:p w:rsidRPr="00D90A18" w:rsidR="00983F19" w:rsidP="00750824" w:rsidRDefault="00000000" w14:paraId="02556E79" w14:textId="77777777">
      <w:pPr>
        <w:jc w:val="both"/>
      </w:pPr>
      <w:r>
        <w:t xml:space="preserve"> </w:t>
      </w:r>
    </w:p>
    <w:p w:rsidRPr="00D90A18" w:rsidR="00983F19" w:rsidP="00750824" w:rsidRDefault="00000000" w14:paraId="227BBD6C" w14:textId="77777777">
      <w:pPr>
        <w:pStyle w:val="Naslov3"/>
        <w:jc w:val="both"/>
      </w:pPr>
      <w:r>
        <w:t xml:space="preserve">Raccomandazione 8.2 [AMBIZIOSA]: Regolamentazione uniforme delle catene di subappalto nei settori con un elevato grado di intermediazione</w:t>
      </w:r>
    </w:p>
    <w:p w:rsidR="00983F19" w:rsidP="00750824" w:rsidRDefault="00885168" w14:paraId="001EAB30" w14:textId="31B7457E">
      <w:pPr>
        <w:jc w:val="both"/>
      </w:pPr>
      <w:r>
        <w:t xml:space="preserve">La responsabilità </w:t>
      </w:r>
      <w:r w:rsidR="00A25A76">
        <w:t xml:space="preserve">solidale </w:t>
      </w:r>
      <w:r>
        <w:t xml:space="preserve">e la registrazione delle catene di subappalto non devono limitarsi al settore delle piattaforme.</w:t>
      </w:r>
    </w:p>
    <w:p w:rsidRPr="00D90A18" w:rsidR="00D90A18" w:rsidP="00750824" w:rsidRDefault="00D90A18" w14:paraId="3399F77A" w14:textId="77777777">
      <w:pPr>
        <w:jc w:val="both"/>
      </w:pPr>
    </w:p>
    <w:p w:rsidR="00983F19" w:rsidP="00750824" w:rsidRDefault="00000000" w14:paraId="34B7CF26" w14:textId="77777777">
      <w:pPr>
        <w:jc w:val="both"/>
      </w:pPr>
      <w:r>
        <w:t xml:space="preserve">I ministeri, in collaborazione con gli ispettorati, esaminino l’estensione delle catene di subappalto nei settori in cui è documentato un elevato livello di intermediazione e propongano misure legislative per definire chiaramente la responsabilità del datore di lavoro lungo l’intera catena. Chiediamo alla CES di sostenere la propria proposta di direttiva sul subappalto e sull’intermediazione del novembre 2025.</w:t>
      </w:r>
    </w:p>
    <w:p w:rsidRPr="00D90A18" w:rsidR="00885168" w:rsidP="00750824" w:rsidRDefault="00885168" w14:paraId="01947D24" w14:textId="77777777">
      <w:pPr>
        <w:jc w:val="both"/>
      </w:pPr>
    </w:p>
    <w:p w:rsidRPr="00D90A18" w:rsidR="00983F19" w:rsidP="00750824" w:rsidRDefault="00000000" w14:paraId="0A92C624" w14:textId="1F93BCCD">
      <w:pPr>
        <w:pStyle w:val="Blokbesedila"/>
      </w:pPr>
      <w:r>
        <w:t xml:space="preserve">Contesto: Germania 2021: richiesta di assunzioni dirette nell’industria della lavorazione della carne in risposta all’occultamento sistematico della responsabilità del datore di lavoro. CES novembre 2025: </w:t>
      </w:r>
      <w:r>
        <w:t xml:space="preserve">responsabilità </w:t>
      </w:r>
      <w:r w:rsidR="00A25A76">
        <w:t xml:space="preserve">solidale </w:t>
      </w:r>
      <w:r>
        <w:t xml:space="preserve">per salari, contributi e diritto di organizzazione.</w:t>
      </w:r>
    </w:p>
    <w:p w:rsidRPr="00D90A18" w:rsidR="00983F19" w:rsidP="00750824" w:rsidRDefault="00000000" w14:paraId="3BC804AE" w14:textId="77777777">
      <w:pPr>
        <w:jc w:val="both"/>
      </w:pPr>
      <w:r>
        <w:t xml:space="preserve"> </w:t>
      </w:r>
    </w:p>
    <w:p w:rsidRPr="00D90A18" w:rsidR="00983F19" w:rsidP="00750824" w:rsidRDefault="00000000" w14:paraId="03686A7F" w14:textId="77777777">
      <w:pPr>
        <w:pStyle w:val="Naslov3"/>
        <w:jc w:val="both"/>
      </w:pPr>
      <w:r>
        <w:t xml:space="preserve">Raccomandazione 8.3 [SUPERA IL MINIMO]: Il posto di lavoro digitale come standard giuridico per i diritti sindacali</w:t>
      </w:r>
    </w:p>
    <w:p w:rsidR="00983F19" w:rsidP="00750824" w:rsidRDefault="00000000" w14:paraId="57CA3119" w14:textId="77777777">
      <w:pPr>
        <w:jc w:val="both"/>
      </w:pPr>
      <w:r>
        <w:t xml:space="preserve">La legge di trasposizione definisce l’ambiente di lavoro digitale alla stregua di un posto di lavoro fisico ai fini dell’esercizio dei diritti sindacali.</w:t>
      </w:r>
    </w:p>
    <w:p w:rsidRPr="00D90A18" w:rsidR="00D90A18" w:rsidP="00750824" w:rsidRDefault="00D90A18" w14:paraId="02CA774F" w14:textId="77777777">
      <w:pPr>
        <w:jc w:val="both"/>
      </w:pPr>
    </w:p>
    <w:p w:rsidR="00983F19" w:rsidP="00750824" w:rsidRDefault="00000000" w14:paraId="2C4FC267" w14:textId="62D52123">
      <w:pPr>
        <w:jc w:val="both"/>
      </w:pPr>
      <w:r>
        <w:t xml:space="preserve">Il rappresentante sindacale a cui la piattaforma ha disattivato l’account per aver esercitato i diritti sindacali gode della stessa tutela di un lavoratore a cui il datore di lavoro ha risolto il contratto </w:t>
      </w:r>
      <w:r w:rsidR="00885168">
        <w:t xml:space="preserve">di </w:t>
      </w:r>
      <w:r w:rsidR="00885168">
        <w:t xml:space="preserve">lavoro</w:t>
      </w:r>
      <w:r w:rsidR="00885168">
        <w:lastRenderedPageBreak/>
      </w:r>
      <w:r w:rsidR="00885168">
        <w:t xml:space="preserve"> </w:t>
      </w:r>
      <w:r>
        <w:t xml:space="preserve">. Il divieto di discriminazione sulla base dell’appartenenza sindacale si applica a tutti coloro che svolgono un’attività lavorativa tramite una piattaforma digitale, indipendentemente dallo status formale.</w:t>
      </w:r>
    </w:p>
    <w:p w:rsidRPr="00D90A18" w:rsidR="00885168" w:rsidP="00750824" w:rsidRDefault="00885168" w14:paraId="3D85F254" w14:textId="77777777">
      <w:pPr>
        <w:jc w:val="both"/>
      </w:pPr>
    </w:p>
    <w:p w:rsidRPr="00D90A18" w:rsidR="00983F19" w:rsidP="00750824" w:rsidRDefault="00000000" w14:paraId="0AE1C5CF" w14:textId="77777777">
      <w:pPr>
        <w:pStyle w:val="Blokbesedila"/>
      </w:pPr>
      <w:r>
        <w:t xml:space="preserve">Contesto: bozza di contratto collettivo di Wolt (ZSSS e Sindikat Mladi plus, 2025), articolo 17: l’applicazione è considerata un posto di lavoro digitale. Linee guida ZSSS 2025.</w:t>
      </w:r>
    </w:p>
    <w:p w:rsidRPr="00D90A18" w:rsidR="00983F19" w:rsidP="00750824" w:rsidRDefault="00000000" w14:paraId="126E5F42" w14:textId="77777777">
      <w:pPr>
        <w:pStyle w:val="Naslov3"/>
        <w:jc w:val="both"/>
      </w:pPr>
      <w:r>
        <w:t xml:space="preserve">Raccomandazione 8.4 [SUPERA IL MINIMO]: Bacheca sindacale nell’app: un diritto, non un favore</w:t>
      </w:r>
    </w:p>
    <w:p w:rsidR="00983F19" w:rsidP="00750824" w:rsidRDefault="00000000" w14:paraId="2F491E46" w14:textId="61A4F5E9">
      <w:pPr>
        <w:jc w:val="both"/>
      </w:pPr>
      <w:r>
        <w:t xml:space="preserve">La piattaforma </w:t>
      </w:r>
      <w:r w:rsidR="00885168">
        <w:t xml:space="preserve">all’interno dell’app </w:t>
      </w:r>
      <w:r>
        <w:t xml:space="preserve">crea uno spazio in cui il sindacato può pubblicare liberamente messaggi destinati ai lavoratori</w:t>
      </w:r>
      <w:r w:rsidR="00D7386B">
        <w:t xml:space="preserve">, </w:t>
      </w:r>
      <w:r>
        <w:t xml:space="preserve">senza previa approvazione da parte della piattaforma.</w:t>
      </w:r>
    </w:p>
    <w:p w:rsidRPr="00D90A18" w:rsidR="00D90A18" w:rsidP="00750824" w:rsidRDefault="00D90A18" w14:paraId="231B3F38" w14:textId="77777777">
      <w:pPr>
        <w:jc w:val="both"/>
      </w:pPr>
    </w:p>
    <w:p w:rsidR="00983F19" w:rsidP="00750824" w:rsidRDefault="00000000" w14:paraId="67550E60" w14:textId="41B328D0">
      <w:pPr>
        <w:jc w:val="both"/>
      </w:pPr>
      <w:r>
        <w:t xml:space="preserve">Il sindacato ha il diritto di </w:t>
      </w:r>
      <w:r w:rsidR="00FA3434">
        <w:t xml:space="preserve">informare</w:t>
      </w:r>
      <w:r>
        <w:t xml:space="preserve"> direttamente </w:t>
      </w:r>
      <w:r>
        <w:t xml:space="preserve">tutti i lavoratori tramite l’applicazione </w:t>
      </w:r>
      <w:r>
        <w:t xml:space="preserve">almeno due volte al mese</w:t>
      </w:r>
      <w:r>
        <w:t xml:space="preserve">. La piattaforma non deve controllare il contenuto di tali messaggi né limitare l’accesso dei lavoratori agli stessi. L’articolo 20 della direttiva richiede che la piattaforma garantisca canali di comunicazione digitali che consentano ai lavoratori e ai loro rappresentanti di comunicare in modo privato e sicuro, mentre le piattaforme devono astenersi dall’accedere a tali comunicazioni o dal monitorarle.</w:t>
      </w:r>
      <w:r w:rsidRPr="00016B3D">
        <w:rPr>
          <w:rStyle w:val="Sprotnaopomba-sklic"/>
          <w:sz w:val="16"/>
          <w:szCs w:val="16"/>
          <w:vertAlign w:val="baseline"/>
        </w:rPr>
        <w:footnoteReference w:id="10"/>
      </w:r>
    </w:p>
    <w:p w:rsidRPr="00D90A18" w:rsidR="00885168" w:rsidP="00750824" w:rsidRDefault="00885168" w14:paraId="0186C3AD" w14:textId="77777777">
      <w:pPr>
        <w:jc w:val="both"/>
      </w:pPr>
    </w:p>
    <w:p w:rsidRPr="00D90A18" w:rsidR="00983F19" w:rsidP="00750824" w:rsidRDefault="00000000" w14:paraId="45155A35" w14:textId="77777777">
      <w:pPr>
        <w:pStyle w:val="Blokbesedila"/>
      </w:pPr>
      <w:r>
        <w:t xml:space="preserve">Contesto: bozza del contratto collettivo di Wolt, articolo 14: scheda nell’app dedicata alle comunicazioni sindacali, notifica push due volte al mese, divieto di sorveglianza occulta dei gruppi sindacali. Linee guida ZSSS 2025.</w:t>
      </w:r>
    </w:p>
    <w:p w:rsidR="00983F19" w:rsidP="00750824" w:rsidRDefault="00000000" w14:paraId="5F327B38" w14:textId="77777777">
      <w:pPr>
        <w:jc w:val="both"/>
      </w:pPr>
      <w:r>
        <w:t xml:space="preserve"> </w:t>
      </w:r>
    </w:p>
    <w:p w:rsidRPr="00D90A18" w:rsidR="00983F19" w:rsidP="00750824" w:rsidRDefault="00000000" w14:paraId="2EADF6A0" w14:textId="4B93A713">
      <w:pPr>
        <w:jc w:val="both"/>
        <w:rPr>
          <w:rStyle w:val="Poudarek"/>
        </w:rPr>
      </w:pPr>
      <w:r>
        <w:rPr>
          <w:rStyle w:val="Poudarek"/>
        </w:rPr>
        <w:t xml:space="preserve">La direttiva sul lavoro tramite piattaforme è, dal punto di vista giuridico, una normativa settoriale. Dal punto di vista politico, è un prototipo. Non si tratta </w:t>
      </w:r>
      <w:r w:rsidR="00FA3434">
        <w:rPr>
          <w:rStyle w:val="Poudarek"/>
        </w:rPr>
        <w:t xml:space="preserve">solo </w:t>
      </w:r>
      <w:r>
        <w:rPr>
          <w:rStyle w:val="Poudarek"/>
        </w:rPr>
        <w:t xml:space="preserve">di proteggere </w:t>
      </w:r>
      <w:r w:rsidR="00FA3434">
        <w:rPr>
          <w:rStyle w:val="Poudarek"/>
        </w:rPr>
        <w:t xml:space="preserve">i lavoratori </w:t>
      </w:r>
      <w:r>
        <w:rPr>
          <w:rStyle w:val="Poudarek"/>
        </w:rPr>
        <w:t xml:space="preserve">dalle </w:t>
      </w:r>
      <w:r w:rsidR="00FA3434">
        <w:rPr>
          <w:rStyle w:val="Poudarek"/>
        </w:rPr>
        <w:t xml:space="preserve">piattaforme</w:t>
      </w:r>
      <w:r>
        <w:rPr>
          <w:rStyle w:val="Poudarek"/>
        </w:rPr>
        <w:t xml:space="preserve">, ma di stabilire uno standard in base al quale </w:t>
      </w:r>
      <w:r w:rsidR="00FA3434">
        <w:rPr>
          <w:rStyle w:val="Poudarek"/>
        </w:rPr>
        <w:t xml:space="preserve">gli AM</w:t>
      </w:r>
      <w:r>
        <w:rPr>
          <w:rStyle w:val="Poudarek"/>
        </w:rPr>
        <w:t xml:space="preserve">, </w:t>
      </w:r>
      <w:r>
        <w:rPr>
          <w:rStyle w:val="Poudarek"/>
        </w:rPr>
        <w:t xml:space="preserve">le catene </w:t>
      </w:r>
      <w:r>
        <w:rPr>
          <w:rStyle w:val="Poudarek"/>
        </w:rPr>
        <w:t xml:space="preserve">di subappalto </w:t>
      </w:r>
      <w:r>
        <w:rPr>
          <w:rStyle w:val="Poudarek"/>
        </w:rPr>
        <w:t xml:space="preserve">e il falso lavoro autonomo non possano essere strumenti legittimi per eludere gli obblighi di diritto del lavoro in nessun </w:t>
      </w:r>
      <w:r w:rsidR="00FA3434">
        <w:rPr>
          <w:rStyle w:val="Poudarek"/>
        </w:rPr>
        <w:t xml:space="preserve">settore</w:t>
      </w:r>
      <w:r>
        <w:rPr>
          <w:rStyle w:val="Poudarek"/>
        </w:rPr>
        <w:t xml:space="preserve">. L’articolo 26, paragrafo 2, della direttiva costituisce la base giuridica di questo passo. Sarà la volontà delle parti sociali e dei governi a determinarne o meno la realizzazione.</w:t>
      </w:r>
    </w:p>
    <w:p w:rsidR="00983F19" w:rsidP="00750824" w:rsidRDefault="00000000" w14:paraId="62DB2573" w14:textId="77777777">
      <w:pPr>
        <w:jc w:val="both"/>
      </w:pPr>
      <w:r>
        <w:t xml:space="preserve"> </w:t>
      </w:r>
    </w:p>
    <w:p w:rsidR="00983F19" w:rsidP="00750824" w:rsidRDefault="00000000" w14:paraId="0C389801" w14:textId="77777777">
      <w:pPr>
        <w:jc w:val="both"/>
      </w:pPr>
      <w:r>
        <w:rPr>
          <w:rStyle w:val="Sprotnaopomba-sklic"/>
        </w:rPr>
        <w:footnoteReference w:id="11"/>
      </w:r>
      <w:r>
        <w:t xml:space="preserve"> Direttiva UE 2024/2831, articolo 20, testo originale in sloveno (abbreviato): </w:t>
      </w:r>
      <w:r>
        <w:rPr>
          <w:i/>
          <w:iCs/>
        </w:rPr>
        <w:t xml:space="preserve">«Gli Stati membri adottano le misure necessarie per garantire che le piattaforme digitali di lavoro offrano alle persone che svolgono lavoro tramite piattaforma la possibilità di entrare in contatto e comunicare tra loro in modo privato e sicuro attraverso l’infrastruttura digitale o mezzi altrettanto efficaci, nonché di poter contattare i rappresentanti. Gli Stati membri impongono alle piattaforme digitali di lavoro di astenersi dall’accedere a tali contatti e comunicazioni o dal monitorarli</w:t>
      </w:r>
      <w:r>
        <w:t xml:space="preserve">.»</w:t>
      </w:r>
    </w:p>
    <w:p w:rsidR="00750824" w:rsidRDefault="00750824" w14:paraId="369C81FF" w14:textId="77777777">
      <w:pPr>
        <w:rPr>
          <w:b/>
          <w:bCs/>
          <w:color w:val="1F3864"/>
          <w:sz w:val="36"/>
          <w:szCs w:val="36"/>
        </w:rPr>
      </w:pPr>
      <w:bookmarkStart w:name="X76a8c6d7513e997c1970b7e156028d704c0f862" w:id="75"/>
      <w:bookmarkEnd w:id="67"/>
      <w:bookmarkEnd w:id="74"/>
      <w:r>
        <w:br w:type="page"/>
      </w:r>
    </w:p>
    <w:p w:rsidR="00983F19" w:rsidP="00750824" w:rsidRDefault="00000000" w14:paraId="722C0F10" w14:textId="56452B57">
      <w:pPr>
        <w:pStyle w:val="Naslov1"/>
        <w:jc w:val="both"/>
      </w:pPr>
      <w:bookmarkStart w:name="_Toc233699508" w:id="76"/>
      <w:r>
        <w:lastRenderedPageBreak/>
      </w:r>
      <w:r>
        <w:t xml:space="preserve">Capitolo 9: Sfide di attuazione e strategie di elusione</w:t>
      </w:r>
      <w:bookmarkEnd w:id="76"/>
    </w:p>
    <w:p w:rsidR="00983F19" w:rsidP="00750824" w:rsidRDefault="00000000" w14:paraId="1F4ADB91" w14:textId="1621F7E7">
      <w:pPr>
        <w:jc w:val="both"/>
      </w:pPr>
      <w:r>
        <w:t xml:space="preserve">La direttiva è stata adottata. Il termine per il recepimento è dicembre 2026. Tuttavia, l’adozione della direttiva e la sua effettiva attuazione sono due cose distinte. Le esperienze dei paesi partner dimostrano che le sfide dell’attuazione sono prevedibili</w:t>
      </w:r>
      <w:r w:rsidR="00D7386B">
        <w:t xml:space="preserve">: </w:t>
      </w:r>
      <w:r>
        <w:t xml:space="preserve">le società </w:t>
      </w:r>
      <w:r>
        <w:t xml:space="preserve">che gestiscono le piattaforme </w:t>
      </w:r>
      <w:r>
        <w:t xml:space="preserve">le stanno studiando intensamente, mentre i sindacati e i ministeri devono prepararsi ad affrontarle prima che </w:t>
      </w:r>
      <w:r>
        <w:t xml:space="preserve">si presentino. </w:t>
      </w:r>
      <w:r>
        <w:t xml:space="preserve">Questo capitolo sistematizza le sfide documentate e propone una misura preventiva per ciascuna di esse.</w:t>
      </w:r>
    </w:p>
    <w:p w:rsidR="00D90A18" w:rsidP="00750824" w:rsidRDefault="00D90A18" w14:paraId="15D5FBCE" w14:textId="77777777">
      <w:pPr>
        <w:jc w:val="both"/>
      </w:pPr>
    </w:p>
    <w:p w:rsidR="00983F19" w:rsidP="00750824" w:rsidRDefault="00000000" w14:paraId="4D29D52B" w14:textId="3A60F30B">
      <w:pPr>
        <w:jc w:val="both"/>
      </w:pPr>
      <w:r>
        <w:t xml:space="preserve">Un filo conduttore comune: </w:t>
      </w:r>
      <w:r>
        <w:rPr>
          <w:b/>
          <w:bCs/>
        </w:rPr>
        <w:t xml:space="preserve">le sfide sono prevedibili. </w:t>
      </w:r>
      <w:r>
        <w:t xml:space="preserve">Strategie di elusione sono state </w:t>
      </w:r>
      <w:r w:rsidR="008C7863">
        <w:t xml:space="preserve">osservate </w:t>
      </w:r>
      <w:r>
        <w:t xml:space="preserve">in Spagna dopo l’entrata in vigore </w:t>
      </w:r>
      <w:r w:rsidR="008C7863">
        <w:t xml:space="preserve">della legge </w:t>
      </w:r>
      <w:r>
        <w:t xml:space="preserve">sui corrieri, in Germania, in Polonia e in Italia. I ministeri devono affrontarle in modo preventivo, non reattivo.</w:t>
      </w:r>
    </w:p>
    <w:p w:rsidR="00983F19" w:rsidP="00750824" w:rsidRDefault="00000000" w14:paraId="58E3A976" w14:textId="77777777">
      <w:pPr>
        <w:pStyle w:val="Naslov2"/>
        <w:jc w:val="both"/>
      </w:pPr>
      <w:bookmarkStart w:name="_Toc233699509" w:id="77"/>
      <w:bookmarkStart w:name="strukturni-izzivi-implementacije" w:id="78"/>
      <w:r>
        <w:t xml:space="preserve">9.1 Sfide strutturali dell’attuazione</w:t>
      </w:r>
      <w:bookmarkEnd w:id="77"/>
    </w:p>
    <w:p w:rsidR="00983F19" w:rsidP="00750824" w:rsidRDefault="00000000" w14:paraId="30E901B7" w14:textId="77777777">
      <w:pPr>
        <w:pStyle w:val="RedBlock"/>
      </w:pPr>
      <w:r>
        <w:rPr>
          <w:b/>
          <w:bCs/>
        </w:rPr>
        <w:t xml:space="preserve">Sfida 9.1: Tempistica politica: elezioni, governi di minoranza e rinvii</w:t>
      </w:r>
    </w:p>
    <w:p w:rsidR="00983F19" w:rsidP="00750824" w:rsidRDefault="00000000" w14:paraId="75F387E5" w14:textId="45EFB64B">
      <w:pPr>
        <w:pStyle w:val="RedBlock"/>
      </w:pPr>
      <w:r>
        <w:t xml:space="preserve">Il recepimento della direttiva nella legislazione nazionale deve essere completato entro il 2 dicembre 2026. Nella Repubblica di Slovenia, le elezioni di marzo 2026 creeranno un vuoto politico proprio nel momento in cui </w:t>
      </w:r>
      <w:r w:rsidR="008C7863">
        <w:t xml:space="preserve">il recepimento della direttiva </w:t>
      </w:r>
      <w:r>
        <w:t xml:space="preserve">dovrebbe essere </w:t>
      </w:r>
      <w:r>
        <w:t xml:space="preserve">in pieno svolgimento. L’esperienza dimostra che la Slovenia, di norma, aspetta fino all’ultimo momento per occuparsi delle direttive dell’UE. In Italia, fino alla metà del 2025 il governo è rimasto del tutto </w:t>
      </w:r>
      <w:r w:rsidR="008C7863">
        <w:t xml:space="preserve">in silenzio </w:t>
      </w:r>
      <w:r>
        <w:t xml:space="preserve">riguardo all’attuazione; l’opposizione è favorevole, ma non dispone di una maggioranza parlamentare. In Germania, i sindacati sono rimasti ai margini del dibattito, poiché non era chiaro quale settore o quale sindacato fosse competente per i lavoratori delle piattaforme.</w:t>
      </w:r>
    </w:p>
    <w:p w:rsidR="00983F19" w:rsidP="00750824" w:rsidRDefault="00000000" w14:paraId="1AB141CC" w14:textId="77777777">
      <w:pPr>
        <w:pStyle w:val="RedBlock"/>
      </w:pPr>
      <w:r>
        <w:rPr>
          <w:b/>
          <w:bCs/>
        </w:rPr>
        <w:t xml:space="preserve">Rischio: </w:t>
      </w:r>
      <w:r>
        <w:t xml:space="preserve">la direttiva verrà recepita in modo minimale, senza ambizioni, sotto la pressione delle piattaforme.</w:t>
      </w:r>
    </w:p>
    <w:p w:rsidR="00983F19" w:rsidP="00750824" w:rsidRDefault="00000000" w14:paraId="1D35EE47" w14:textId="77777777">
      <w:pPr>
        <w:jc w:val="both"/>
      </w:pPr>
      <w:r>
        <w:t xml:space="preserve"> </w:t>
      </w:r>
    </w:p>
    <w:p w:rsidR="00983F19" w:rsidP="00750824" w:rsidRDefault="00000000" w14:paraId="3902D1FD" w14:textId="0C2DC1A9">
      <w:pPr>
        <w:pStyle w:val="RedBlock"/>
      </w:pPr>
      <w:r>
        <w:rPr>
          <w:b/>
          <w:bCs/>
        </w:rPr>
        <w:t xml:space="preserve">Sfida 9.2: </w:t>
      </w:r>
      <w:r w:rsidR="008C7863">
        <w:rPr>
          <w:b/>
          <w:bCs/>
        </w:rPr>
        <w:t xml:space="preserve">Durata dei procedimenti giudiziari </w:t>
      </w:r>
      <w:r>
        <w:rPr>
          <w:b/>
          <w:bCs/>
        </w:rPr>
        <w:t xml:space="preserve">e vuoto giuridico durante l’impugnazione </w:t>
      </w:r>
      <w:r w:rsidR="008C7863">
        <w:rPr>
          <w:b/>
          <w:bCs/>
        </w:rPr>
        <w:t xml:space="preserve">della presunzione </w:t>
      </w:r>
      <w:r w:rsidR="00615F18">
        <w:rPr>
          <w:b/>
          <w:bCs/>
        </w:rPr>
        <w:t xml:space="preserve">di rapporto di lavoro</w:t>
      </w:r>
    </w:p>
    <w:p w:rsidR="00983F19" w:rsidP="00750824" w:rsidRDefault="00000000" w14:paraId="3C3EB997" w14:textId="647BD448">
      <w:pPr>
        <w:pStyle w:val="RedBlock"/>
      </w:pPr>
      <w:r>
        <w:t xml:space="preserve">Una volta recepita la direttiva, seguirà un periodo di contestazione della presunzione </w:t>
      </w:r>
      <w:r w:rsidR="00615F18">
        <w:t xml:space="preserve">di rapporto di lavoro </w:t>
      </w:r>
      <w:r>
        <w:t xml:space="preserve">dinanzi ai tribunali. I tribunali dei paesi partner impiegano da uno a cinque anni per questo tipo di procedimenti. In questo periodo i lavoratori non godono di alcuna tutela</w:t>
      </w:r>
      <w:r w:rsidR="00D7386B">
        <w:t xml:space="preserve">: </w:t>
      </w:r>
      <w:r>
        <w:t xml:space="preserve">le piattaforme continueranno a gestire i rapporti contrattuali esistenti in attesa delle singole sentenze.</w:t>
      </w:r>
    </w:p>
    <w:p w:rsidR="00983F19" w:rsidP="00750824" w:rsidRDefault="00000000" w14:paraId="4D62B829" w14:textId="3EFAB04B">
      <w:pPr>
        <w:pStyle w:val="RedBlock"/>
      </w:pPr>
      <w:r>
        <w:rPr>
          <w:b/>
          <w:bCs/>
        </w:rPr>
        <w:t xml:space="preserve">Rischio: </w:t>
      </w:r>
      <w:r>
        <w:t xml:space="preserve">il vuoto giuridico tra l’adozione della direttiva e l’effettiva tutela dura anni. Proprio questo è l’argomento a sostegno della raccomandazione 6.5 del presente documento</w:t>
      </w:r>
      <w:r w:rsidR="00D7386B">
        <w:t xml:space="preserve">: </w:t>
      </w:r>
      <w:r>
        <w:t xml:space="preserve">una tutela collettiva temporanea durante la fase di contestazione della presunzione giuridica </w:t>
      </w:r>
      <w:r w:rsidR="00615F18">
        <w:t xml:space="preserve">di rapporto di lavoro</w:t>
      </w:r>
      <w:r>
        <w:t xml:space="preserve">.</w:t>
      </w:r>
    </w:p>
    <w:p w:rsidR="00983F19" w:rsidP="00750824" w:rsidRDefault="00000000" w14:paraId="5F3FE2B8" w14:textId="77777777">
      <w:pPr>
        <w:jc w:val="both"/>
      </w:pPr>
      <w:r>
        <w:t xml:space="preserve"> </w:t>
      </w:r>
    </w:p>
    <w:p w:rsidR="00983F19" w:rsidP="00750824" w:rsidRDefault="00000000" w14:paraId="30E9A747" w14:textId="09611D7A">
      <w:pPr>
        <w:pStyle w:val="RedBlock"/>
      </w:pPr>
      <w:r>
        <w:rPr>
          <w:b/>
          <w:bCs/>
        </w:rPr>
        <w:t xml:space="preserve">Sfida 9.3: Finanziamenti e </w:t>
      </w:r>
      <w:r w:rsidR="008C7863">
        <w:rPr>
          <w:b/>
          <w:bCs/>
        </w:rPr>
        <w:t xml:space="preserve">formazione</w:t>
      </w:r>
      <w:r>
        <w:rPr>
          <w:b/>
          <w:bCs/>
        </w:rPr>
        <w:t xml:space="preserve"> insufficienti </w:t>
      </w:r>
      <w:r>
        <w:rPr>
          <w:b/>
          <w:bCs/>
        </w:rPr>
        <w:t xml:space="preserve">degli ispettorati</w:t>
      </w:r>
    </w:p>
    <w:p w:rsidR="00983F19" w:rsidP="00750824" w:rsidRDefault="00000000" w14:paraId="0EC320FE" w14:textId="64BFB4BA">
      <w:pPr>
        <w:pStyle w:val="RedBlock"/>
      </w:pPr>
      <w:r>
        <w:t xml:space="preserve">Gli ispettorati del lavoro in tutti e cinque i paesi partner sono stati identificati alla conferenza SDDP (Lubiana, maggio 2025) come un punto debole fondamentale: troppo pochi ispettori, scarsa conoscenza della gestione algoritmica, strumenti insufficienti per l’analisi dei dati delle piattaforme. L’ispettorato austriaco ha dimostrato di comprendere la direttiva, ma sottolinea a sua volta la necessità di un rafforzamento finanziario. </w:t>
      </w:r>
      <w:r>
        <w:t xml:space="preserve">L’Ispettorato del lavoro della Repubblica di Slovenia (IRSD) dovrebbe ottenere l’autorità di accertare il rapporto di lavoro </w:t>
      </w:r>
      <w:r w:rsidR="00615F18">
        <w:t xml:space="preserve">o l’occupazione </w:t>
      </w:r>
      <w:r>
        <w:t xml:space="preserve">mediante una decisione </w:t>
      </w:r>
      <w:r w:rsidR="00D7386B">
        <w:t xml:space="preserve">– </w:t>
      </w:r>
      <w:r>
        <w:t xml:space="preserve">tale competenza gli manca oggi formalmente.</w:t>
      </w:r>
    </w:p>
    <w:p w:rsidR="00983F19" w:rsidP="00750824" w:rsidRDefault="00000000" w14:paraId="6ED56DB6" w14:textId="77777777">
      <w:pPr>
        <w:pStyle w:val="RedBlock"/>
      </w:pPr>
      <w:r>
        <w:rPr>
          <w:b/>
          <w:bCs/>
        </w:rPr>
        <w:t xml:space="preserve">Rischio: </w:t>
      </w:r>
      <w:r>
        <w:t xml:space="preserve">una direttiva sulla carta, senza la possibilità di applicarla nella pratica tramite ispezioni.</w:t>
      </w:r>
    </w:p>
    <w:p w:rsidR="00983F19" w:rsidP="00750824" w:rsidRDefault="00000000" w14:paraId="0CDEDD3A" w14:textId="77777777">
      <w:pPr>
        <w:pStyle w:val="Naslov2"/>
        <w:jc w:val="both"/>
      </w:pPr>
      <w:bookmarkStart w:name="_Toc233699510" w:id="79"/>
      <w:bookmarkStart w:name="strategije-izogibanja-platform" w:id="80"/>
      <w:bookmarkEnd w:id="78"/>
      <w:r>
        <w:t xml:space="preserve">9.2 Strategie di elusione delle piattaforme</w:t>
      </w:r>
      <w:bookmarkEnd w:id="79"/>
    </w:p>
    <w:p w:rsidR="00983F19" w:rsidP="00750824" w:rsidRDefault="00000000" w14:paraId="5CD9A228" w14:textId="77777777">
      <w:pPr>
        <w:pStyle w:val="RedBlock"/>
      </w:pPr>
      <w:r>
        <w:rPr>
          <w:b/>
          <w:bCs/>
        </w:rPr>
        <w:lastRenderedPageBreak/>
      </w:r>
      <w:r>
        <w:rPr>
          <w:b/>
          <w:bCs/>
        </w:rPr>
        <w:t xml:space="preserve">Sfida 9.4: Il sistema di flotta come meccanismo primario di elusione</w:t>
      </w:r>
    </w:p>
    <w:p w:rsidR="00983F19" w:rsidP="00750824" w:rsidRDefault="006E6A4A" w14:paraId="242EB931" w14:textId="245E7E57">
      <w:pPr>
        <w:pStyle w:val="RedBlock"/>
      </w:pPr>
      <w:r>
        <w:t xml:space="preserve">Le esperienze dei partner del progetto SDDP hanno chiaramente dimostrato che uno dei modi più comuni con cui le piattaforme reagiscono alle normative è l’introduzione del sistema di flotta. In Polonia </w:t>
      </w:r>
      <w:r w:rsidR="00D7386B">
        <w:t xml:space="preserve">– </w:t>
      </w:r>
      <w:r>
        <w:t xml:space="preserve">il più grande mercato dell’UE, dove il settore delle consegne è organizzato quasi interamente attraverso strutture di intermediazione </w:t>
      </w:r>
      <w:r w:rsidR="00D7386B">
        <w:t xml:space="preserve">– </w:t>
      </w:r>
      <w:r>
        <w:t xml:space="preserve">il sistema di flotta è nato proprio in risposta alla normativa del 2016: quando Uber ha dovuto garantire formalmente la conformità ai requisiti, lo ha fatto tramite intermediari che si sono assunti il rischio legale. Oggi tutti </w:t>
      </w:r>
      <w:r>
        <w:t xml:space="preserve">i </w:t>
      </w:r>
      <w:r>
        <w:t xml:space="preserve">principali </w:t>
      </w:r>
      <w:r>
        <w:t xml:space="preserve">operatori </w:t>
      </w:r>
      <w:r>
        <w:t xml:space="preserve">delle piattaforme </w:t>
      </w:r>
      <w:r>
        <w:t xml:space="preserve">in Polonia operano secondo questo modello.</w:t>
      </w:r>
      <w:r>
        <w:rPr>
          <w:rStyle w:val="Sprotnaopomba-sklic"/>
        </w:rPr>
        <w:footnoteReference w:id="12"/>
      </w:r>
    </w:p>
    <w:p w:rsidR="00983F19" w:rsidP="00750824" w:rsidRDefault="00000000" w14:paraId="2F834C6B" w14:textId="37916122">
      <w:pPr>
        <w:pStyle w:val="RedBlock"/>
      </w:pPr>
      <w:r>
        <w:t xml:space="preserve">Il caso spagnolo, dopo l’adozione </w:t>
      </w:r>
      <w:r w:rsidR="006E6A4A">
        <w:t xml:space="preserve">della Legge </w:t>
      </w:r>
      <w:r>
        <w:t xml:space="preserve">sui corrieri, mostra la stessa dinamica: </w:t>
      </w:r>
      <w:r>
        <w:t xml:space="preserve">le società </w:t>
      </w:r>
      <w:r>
        <w:t xml:space="preserve">di piattaforma </w:t>
      </w:r>
      <w:r>
        <w:t xml:space="preserve">hanno formalmente soddisfatto il requisito dell’assunzione, ma hanno mantenuto le catene di subappalto che hanno consentito di continuare a negoziare con la regolamentazione. Uber Eats mantiene il controllo economico sui corrieri tramite partner intermediari, senza assumersi direttamente la responsabilità del datore di lavoro.</w:t>
      </w:r>
      <w:r>
        <w:rPr>
          <w:rStyle w:val="Sprotnaopomba-sklic"/>
        </w:rPr>
        <w:footnoteReference w:id="13"/>
      </w:r>
    </w:p>
    <w:p w:rsidR="00983F19" w:rsidP="00750824" w:rsidRDefault="00000000" w14:paraId="5B176083" w14:textId="5AE16788">
      <w:pPr>
        <w:pStyle w:val="RedBlock"/>
      </w:pPr>
      <w:r w:rsidR="006E6A4A">
        <w:rPr>
          <w:b/>
          <w:bCs/>
        </w:rPr>
        <w:t xml:space="preserve">Risposta </w:t>
      </w:r>
      <w:r>
        <w:rPr>
          <w:b/>
          <w:bCs/>
        </w:rPr>
        <w:t xml:space="preserve">prevista </w:t>
      </w:r>
      <w:r>
        <w:rPr>
          <w:b/>
          <w:bCs/>
        </w:rPr>
        <w:t xml:space="preserve">dopo l’attuazione della direttiva: </w:t>
      </w:r>
      <w:r>
        <w:t xml:space="preserve">le piattaforme trasferiranno il requisito della presunzione giuridica ai partner della flotta </w:t>
      </w:r>
      <w:r w:rsidR="00D7386B">
        <w:t xml:space="preserve">– </w:t>
      </w:r>
      <w:r>
        <w:t xml:space="preserve">gli intermediari saranno formalmente i datori di lavoro, mentre le piattaforme manterranno il controllo economico tramite algoritmi. La direttiva sarà formalmente rispettata, ma non il suo scopo.</w:t>
      </w:r>
    </w:p>
    <w:p w:rsidR="00983F19" w:rsidP="00750824" w:rsidRDefault="00000000" w14:paraId="2ADE71E9" w14:textId="77777777">
      <w:pPr>
        <w:jc w:val="both"/>
      </w:pPr>
      <w:r>
        <w:t xml:space="preserve"> </w:t>
      </w:r>
    </w:p>
    <w:p w:rsidR="00983F19" w:rsidP="00750824" w:rsidRDefault="00000000" w14:paraId="32C4B5D6" w14:textId="77777777">
      <w:pPr>
        <w:pStyle w:val="RedBlock"/>
      </w:pPr>
      <w:r>
        <w:rPr>
          <w:b/>
          <w:bCs/>
        </w:rPr>
        <w:t xml:space="preserve">Sfida 9.5: Modello di business camaleontico: conformità formale senza cambiamenti sostanziali</w:t>
      </w:r>
    </w:p>
    <w:p w:rsidR="00983F19" w:rsidP="00750824" w:rsidRDefault="00000000" w14:paraId="3F80A371" w14:textId="715DC4C4">
      <w:pPr>
        <w:pStyle w:val="RedBlock"/>
      </w:pPr>
      <w:r>
        <w:t xml:space="preserve">La letteratura accademica descrive le piattaforme come entità camaleontiche </w:t>
      </w:r>
      <w:r w:rsidR="00D7386B">
        <w:t xml:space="preserve">– </w:t>
      </w:r>
      <w:r>
        <w:t xml:space="preserve">organizzazioni che si adattano al contesto normativo in modo da soddisfare formalmente i requisiti, ma al contempo riproducono le condizioni che la normativa intende eliminare. L’esperienza spagnola lo conferma chiaramente</w:t>
      </w:r>
      <w:r w:rsidR="006E6A4A">
        <w:t xml:space="preserve">: </w:t>
      </w:r>
      <w:r>
        <w:t xml:space="preserve">Uber </w:t>
      </w:r>
      <w:r>
        <w:t xml:space="preserve">Eats </w:t>
      </w:r>
      <w:r>
        <w:t xml:space="preserve">ha mantenuto la struttura di intermediazione, </w:t>
      </w:r>
      <w:r>
        <w:t xml:space="preserve">mentre</w:t>
      </w:r>
      <w:r w:rsidR="006E6A4A">
        <w:t xml:space="preserve"> ai fattorini </w:t>
      </w:r>
      <w:r>
        <w:t xml:space="preserve">sono stati di fatto negati i diritti che la legge garantisce loro formalmente.</w:t>
      </w:r>
      <w:r>
        <w:rPr>
          <w:rStyle w:val="Sprotnaopomba-sklic"/>
        </w:rPr>
        <w:footnoteReference w:id="14"/>
      </w:r>
    </w:p>
    <w:p w:rsidR="00983F19" w:rsidP="00750824" w:rsidRDefault="00000000" w14:paraId="450AF194" w14:textId="732C8627">
      <w:pPr>
        <w:pStyle w:val="RedBlock"/>
      </w:pPr>
      <w:r>
        <w:rPr>
          <w:b/>
          <w:bCs/>
        </w:rPr>
        <w:t xml:space="preserve">Reazione prevista alla direttiva: </w:t>
      </w:r>
      <w:r>
        <w:t xml:space="preserve">le piattaforme adegueranno il testo dei contratti e </w:t>
      </w:r>
      <w:r>
        <w:t xml:space="preserve">l’infrastruttura</w:t>
      </w:r>
      <w:r w:rsidR="006E6A4A">
        <w:t xml:space="preserve"> digitale </w:t>
      </w:r>
      <w:r>
        <w:t xml:space="preserve">in modo da non mostrare più formalmente «istruzioni e controllo», pur mantenendo il proprio potere economico attraverso i sistemi di valutazione e di assegnazione degli ordini. Il controllo algoritmico sarà nascosto, non eliminato.</w:t>
      </w:r>
    </w:p>
    <w:p w:rsidR="00983F19" w:rsidP="00750824" w:rsidRDefault="00000000" w14:paraId="4FE29833" w14:textId="77777777">
      <w:pPr>
        <w:jc w:val="both"/>
      </w:pPr>
      <w:r>
        <w:t xml:space="preserve"> </w:t>
      </w:r>
    </w:p>
    <w:p w:rsidR="00983F19" w:rsidP="00750824" w:rsidRDefault="00000000" w14:paraId="42F5C9C6" w14:textId="3F1B2DB2">
      <w:pPr>
        <w:pStyle w:val="RedBlock"/>
      </w:pPr>
      <w:r>
        <w:rPr>
          <w:b/>
          <w:bCs/>
        </w:rPr>
        <w:t xml:space="preserve">Sfida 9.6: Società di comodo: fuga dalla responsabilità penale a seguito di </w:t>
      </w:r>
      <w:r>
        <w:rPr>
          <w:b/>
          <w:bCs/>
        </w:rPr>
        <w:t xml:space="preserve">un provvedimento</w:t>
      </w:r>
      <w:r w:rsidR="006E6A4A">
        <w:rPr>
          <w:b/>
          <w:bCs/>
        </w:rPr>
        <w:t xml:space="preserve"> ispettivo</w:t>
      </w:r>
    </w:p>
    <w:p w:rsidR="00983F19" w:rsidP="00750824" w:rsidRDefault="006E6A4A" w14:paraId="6A4A8453" w14:textId="5DFFA6E3">
      <w:pPr>
        <w:pStyle w:val="RedBlock"/>
      </w:pPr>
      <w:r>
        <w:t xml:space="preserve">In Croazia e in Serbia è stata documentata una pratica secondo cui le società intermediarie </w:t>
      </w:r>
      <w:r w:rsidR="00D7386B">
        <w:t xml:space="preserve">– </w:t>
      </w:r>
      <w:r>
        <w:t xml:space="preserve">per lo più registrate come lavoratori autonomi o semplici </w:t>
      </w:r>
      <w:r>
        <w:t xml:space="preserve">società a responsabilità </w:t>
      </w:r>
      <w:r>
        <w:t xml:space="preserve">limitata </w:t>
      </w:r>
      <w:r w:rsidR="00D7386B">
        <w:t xml:space="preserve">– </w:t>
      </w:r>
      <w:r>
        <w:t xml:space="preserve">a seguito di un provvedimento ispettivo o di un’azione legale chiudono semplicemente l’azienda e ne aprono una nuova, lasciando i lavoratori senza stipendi, contributi e mezzi di ricorso. In Croazia e in Serbia, i lavoratori hanno persino tenuto delle cosiddette «liste nere» su Facebook per questi casi, dove raccoglievano informazioni nominative sui subappaltatori irreperibili.</w:t>
      </w:r>
      <w:r>
        <w:rPr>
          <w:rStyle w:val="Sprotnaopomba-sklic"/>
        </w:rPr>
        <w:footnoteReference w:id="15"/>
      </w:r>
    </w:p>
    <w:p w:rsidR="00983F19" w:rsidP="00750824" w:rsidRDefault="00000000" w14:paraId="47C3445C" w14:textId="2C5DA71D">
      <w:pPr>
        <w:pStyle w:val="RedBlock"/>
      </w:pPr>
      <w:r>
        <w:rPr>
          <w:b/>
          <w:bCs/>
        </w:rPr>
        <w:t xml:space="preserve">Reazione prevista alla direttiva: </w:t>
      </w:r>
      <w:r>
        <w:t xml:space="preserve">la responsabilità </w:t>
      </w:r>
      <w:r w:rsidR="00A25A76">
        <w:t xml:space="preserve">solidale </w:t>
      </w:r>
      <w:r>
        <w:t xml:space="preserve">delle piattaforme sarà un deterrente fondamentale </w:t>
      </w:r>
      <w:r w:rsidR="00D7386B">
        <w:t xml:space="preserve">– </w:t>
      </w:r>
      <w:r>
        <w:t xml:space="preserve">ma solo se nella legge di recepimento sarà definita come obbligatoria, non solo come opzione.</w:t>
      </w:r>
    </w:p>
    <w:p w:rsidR="00983F19" w:rsidP="00750824" w:rsidRDefault="00000000" w14:paraId="29225FF4" w14:textId="77777777">
      <w:pPr>
        <w:jc w:val="both"/>
      </w:pPr>
      <w:r>
        <w:t xml:space="preserve"> </w:t>
      </w:r>
    </w:p>
    <w:p w:rsidR="00983F19" w:rsidP="00750824" w:rsidRDefault="00000000" w14:paraId="26C7E803" w14:textId="77777777">
      <w:pPr>
        <w:pStyle w:val="RedBlock"/>
      </w:pPr>
      <w:r>
        <w:rPr>
          <w:b/>
          <w:bCs/>
        </w:rPr>
        <w:t xml:space="preserve">Sfida 9.7: Terzo status: legittimazione della posizione intermedia</w:t>
      </w:r>
    </w:p>
    <w:p w:rsidR="00983F19" w:rsidP="00750824" w:rsidRDefault="00000000" w14:paraId="5E1C82CB" w14:textId="5D883196">
      <w:pPr>
        <w:pStyle w:val="RedBlock"/>
      </w:pPr>
      <w:r>
        <w:lastRenderedPageBreak/>
      </w:r>
      <w:r>
        <w:t xml:space="preserve">In Italia, Polonia e Austria esistono o sono proposti status intermedi tra il lavoratore dipendente e il lavoratore autonomo (in Italia i lavoratori parasubordinati, in Polonia </w:t>
      </w:r>
      <w:r>
        <w:t xml:space="preserve">l’«umowa </w:t>
      </w:r>
      <w:r w:rsidR="006E6A4A">
        <w:t xml:space="preserve">zlecenie»</w:t>
      </w:r>
      <w:r>
        <w:t xml:space="preserve">). La conferenza SDDP (Lubiana, maggio 2025) ha identificato la pressione esercitata </w:t>
      </w:r>
      <w:r w:rsidR="006E6A4A">
        <w:t xml:space="preserve">dalle piattaforme </w:t>
      </w:r>
      <w:r>
        <w:t xml:space="preserve">per l’introduzione di un terzo status come una possibile risposta alla direttiva. La proposta di attuazione della NIdiL-CGIL di Firenze sottolinea esplicitamente che gli status intermedi non risolvono </w:t>
      </w:r>
      <w:r>
        <w:t xml:space="preserve">la precarietà</w:t>
      </w:r>
      <w:r w:rsidR="00D7386B">
        <w:t xml:space="preserve">, ma </w:t>
      </w:r>
      <w:r>
        <w:t xml:space="preserve">la consolidano. Garantiscono alcuni diritti, ma non tutti, creando così </w:t>
      </w:r>
      <w:r>
        <w:t xml:space="preserve">una precarietà</w:t>
      </w:r>
      <w:r>
        <w:t xml:space="preserve"> regolamentata </w:t>
      </w:r>
      <w:r>
        <w:t xml:space="preserve">anziché </w:t>
      </w:r>
      <w:r w:rsidR="00615F18">
        <w:t xml:space="preserve">un’occupazione </w:t>
      </w:r>
      <w:r w:rsidR="006E6A4A">
        <w:t xml:space="preserve">sicura</w:t>
      </w:r>
      <w:r>
        <w:t xml:space="preserve">.</w:t>
      </w:r>
      <w:r>
        <w:rPr>
          <w:rStyle w:val="Sprotnaopomba-sklic"/>
        </w:rPr>
        <w:footnoteReference w:id="16"/>
      </w:r>
    </w:p>
    <w:p w:rsidR="00D90A18" w:rsidP="00750824" w:rsidRDefault="00000000" w14:paraId="06D29F6F" w14:textId="04DD21FF">
      <w:pPr>
        <w:pStyle w:val="RedBlock"/>
      </w:pPr>
      <w:r>
        <w:rPr>
          <w:b/>
          <w:bCs/>
        </w:rPr>
        <w:t xml:space="preserve">Il rischio della direttiva: </w:t>
      </w:r>
      <w:r>
        <w:t xml:space="preserve">il terzo status rappresenterà per le piattaforme una soluzione che soddisfa formalmente il requisito della direttiva di «miglioramento delle condizioni di lavoro», ma che di fatto </w:t>
      </w:r>
      <w:r w:rsidR="006E6A4A">
        <w:t xml:space="preserve">mantiene </w:t>
      </w:r>
      <w:r>
        <w:t xml:space="preserve">la</w:t>
      </w:r>
      <w:r>
        <w:t xml:space="preserve"> precarietà </w:t>
      </w:r>
      <w:r w:rsidR="006E6A4A">
        <w:t xml:space="preserve">dei lavoratori</w:t>
      </w:r>
      <w:r>
        <w:t xml:space="preserve">.</w:t>
      </w:r>
    </w:p>
    <w:p w:rsidRPr="00D90A18" w:rsidR="00D90A18" w:rsidP="00750824" w:rsidRDefault="00000000" w14:paraId="593B1833" w14:textId="77777777">
      <w:pPr>
        <w:jc w:val="both"/>
      </w:pPr>
      <w:r>
        <w:t xml:space="preserve"> </w:t>
      </w:r>
    </w:p>
    <w:p w:rsidR="00983F19" w:rsidP="00750824" w:rsidRDefault="00000000" w14:paraId="4B1C432E" w14:textId="77777777">
      <w:pPr>
        <w:pStyle w:val="RedBlock"/>
      </w:pPr>
      <w:r>
        <w:rPr>
          <w:b/>
          <w:bCs/>
        </w:rPr>
        <w:t xml:space="preserve">Sfida 9.8: Le piattaforme attendono consapevolmente l’attuazione</w:t>
      </w:r>
    </w:p>
    <w:p w:rsidR="00983F19" w:rsidP="00750824" w:rsidRDefault="00000000" w14:paraId="164A0FB5" w14:textId="6D5BC8FB">
      <w:pPr>
        <w:pStyle w:val="RedBlock"/>
      </w:pPr>
      <w:r>
        <w:t xml:space="preserve">Il contributo al progetto SDDP proveniente dall’Italia documenta una constatazione confermata dai sindacati in tutti i paesi partner: le società delle piattaforme non modificano consapevolmente il proprio modello prima della scadenza per il recepimento della direttiva, per non creare un precedente che vada oltre i requisiti minimi. La logica è chiara: qualsiasi contratto collettivo stipulato volontariamente o </w:t>
      </w:r>
      <w:r>
        <w:t xml:space="preserve">modifica </w:t>
      </w:r>
      <w:r w:rsidR="006E6A4A">
        <w:t xml:space="preserve">dello status </w:t>
      </w:r>
      <w:r>
        <w:t xml:space="preserve">prima del dicembre 2026 diventerebbe un punto di riferimento per le trattative successive alla trasposizione.</w:t>
      </w:r>
    </w:p>
    <w:p w:rsidR="00983F19" w:rsidP="00750824" w:rsidRDefault="00000000" w14:paraId="32495DFC" w14:textId="3CED9928">
      <w:pPr>
        <w:pStyle w:val="RedBlock"/>
      </w:pPr>
      <w:r>
        <w:rPr>
          <w:b/>
          <w:bCs/>
        </w:rPr>
        <w:t xml:space="preserve">Conseguenza: </w:t>
      </w:r>
      <w:r>
        <w:t xml:space="preserve">le trattative per </w:t>
      </w:r>
      <w:r>
        <w:t xml:space="preserve">i</w:t>
      </w:r>
      <w:r>
        <w:t xml:space="preserve"> contratti collettivi prima della scadenza sono al tempo stesso possibili </w:t>
      </w:r>
      <w:r w:rsidR="00D7386B">
        <w:t xml:space="preserve">– </w:t>
      </w:r>
      <w:r>
        <w:t xml:space="preserve">le piattaforme sono disposte a concluderli a determinate condizioni </w:t>
      </w:r>
      <w:r w:rsidR="00D7386B">
        <w:t xml:space="preserve">– </w:t>
      </w:r>
      <w:r>
        <w:t xml:space="preserve">e strategicamente ostacolate dalle piattaforme stesse, che ne richiedono il congelamento dei contenuti fino al completamento dell’attuazione.</w:t>
      </w:r>
    </w:p>
    <w:p w:rsidR="00983F19" w:rsidP="00750824" w:rsidRDefault="00000000" w14:paraId="43A74E1C" w14:textId="77777777">
      <w:pPr>
        <w:jc w:val="both"/>
      </w:pPr>
      <w:r>
        <w:t xml:space="preserve"> </w:t>
      </w:r>
    </w:p>
    <w:p w:rsidR="00983F19" w:rsidP="00750824" w:rsidRDefault="00000000" w14:paraId="046C5F8B" w14:textId="77777777">
      <w:pPr>
        <w:pStyle w:val="RedBlock"/>
      </w:pPr>
      <w:r>
        <w:rPr>
          <w:b/>
          <w:bCs/>
        </w:rPr>
        <w:t xml:space="preserve">Sfida 9.9: Lavoratori migranti: vulnerabilità specifica</w:t>
      </w:r>
    </w:p>
    <w:p w:rsidR="00983F19" w:rsidP="00750824" w:rsidRDefault="00000000" w14:paraId="4C9A0307" w14:textId="0FC600DE">
      <w:pPr>
        <w:pStyle w:val="RedBlock"/>
      </w:pPr>
      <w:r>
        <w:t xml:space="preserve">In tutti e cinque i paesi partner, il settore delle consegne è caratterizzato da una presenza di lavoratori migranti superiore alla media. La loro vulnerabilità è triplice: la barriera linguistica impedisce la comprensione dei propri diritti; lo status giuridico precario </w:t>
      </w:r>
      <w:r>
        <w:t xml:space="preserve">scoraggia la segnalazione delle violazioni; la dipendenza economica dal reddito derivante dal lavoro su piattaforma ostacola l’azione collettiva. Il progetto Fairwork rileva che i lavoratori migranti sono spesso quelli che </w:t>
      </w:r>
      <w:r>
        <w:t xml:space="preserve">subiscono </w:t>
      </w:r>
      <w:r w:rsidR="006E6A4A">
        <w:t xml:space="preserve">maggiormente </w:t>
      </w:r>
      <w:r>
        <w:t xml:space="preserve">le conseguenze delle strutture di intermediazione che non versano gli stipendi o non versano i contributi sociali.</w:t>
      </w:r>
      <w:r>
        <w:rPr>
          <w:rStyle w:val="Sprotnaopomba-sklic"/>
        </w:rPr>
        <w:footnoteReference w:id="17"/>
      </w:r>
    </w:p>
    <w:p w:rsidR="00983F19" w:rsidP="00750824" w:rsidRDefault="00000000" w14:paraId="4B7311D6" w14:textId="77777777">
      <w:pPr>
        <w:pStyle w:val="RedBlock"/>
      </w:pPr>
      <w:r>
        <w:rPr>
          <w:b/>
          <w:bCs/>
        </w:rPr>
        <w:t xml:space="preserve">Rischi per la direttiva: </w:t>
      </w:r>
      <w:r>
        <w:t xml:space="preserve">senza misure specifiche per i lavoratori migranti, la direttiva sarà realmente accessibile solo a quei lavoratori che hanno il coraggio e la capacità di far valere i propri diritti.</w:t>
      </w:r>
    </w:p>
    <w:p w:rsidR="00983F19" w:rsidP="00750824" w:rsidRDefault="00000000" w14:paraId="188026F8" w14:textId="77777777">
      <w:pPr>
        <w:jc w:val="both"/>
      </w:pPr>
      <w:r>
        <w:t xml:space="preserve"> </w:t>
      </w:r>
    </w:p>
    <w:p w:rsidR="00983F19" w:rsidP="00750824" w:rsidRDefault="00000000" w14:paraId="0763C4F9" w14:textId="77777777">
      <w:pPr>
        <w:pStyle w:val="RedBlock"/>
      </w:pPr>
      <w:r>
        <w:rPr>
          <w:b/>
          <w:bCs/>
        </w:rPr>
        <w:t xml:space="preserve">Sfida 9.10: Evoluzione algoritmica: sistemi che sfuggono alla regolamentazione</w:t>
      </w:r>
    </w:p>
    <w:p w:rsidR="00983F19" w:rsidP="00750824" w:rsidRDefault="00000000" w14:paraId="198845DF" w14:textId="1AD7ACA1">
      <w:pPr>
        <w:pStyle w:val="RedBlock"/>
      </w:pPr>
      <w:r>
        <w:t xml:space="preserve">La direttiva si basa sul concetto di «istruzione e controllo» tramite sistemi automatizzati. Le piattaforme adatteranno la progettazione degli algoritmi in modo che la portata e l’intensità del controllo risultino meno evidenti. Al posto </w:t>
      </w:r>
      <w:r w:rsidR="006E6A4A">
        <w:t xml:space="preserve">delle sanzioni dirette</w:t>
      </w:r>
      <w:r>
        <w:t xml:space="preserve">, introdurranno delle «raccomandazioni»; al posto delle soglie di disattivazione, introdurranno dei «bonus di disponibilità». Il controllo formale sarà meno evidente</w:t>
      </w:r>
      <w:r w:rsidR="00D7386B">
        <w:t xml:space="preserve">, </w:t>
      </w:r>
      <w:r>
        <w:t xml:space="preserve">ma il controllo economico effettivo rimarrà. Nel suo rapporto, il gruppo di esperti della Commissione europea sottolinea che l’economia delle piattaforme è in continua evoluzione e che il concetto di «direttive e controllo» deve essere inteso in modo dinamico, includendo forme indirette di pressione attraverso misure negative o l’assegnazione discriminatoria di compiti.</w:t>
      </w:r>
      <w:r>
        <w:rPr>
          <w:rStyle w:val="Sprotnaopomba-sklic"/>
        </w:rPr>
        <w:footnoteReference w:id="18"/>
      </w:r>
    </w:p>
    <w:p w:rsidR="00983F19" w:rsidP="00750824" w:rsidRDefault="00000000" w14:paraId="1BED4572" w14:textId="77777777">
      <w:pPr>
        <w:pStyle w:val="RedBlock"/>
      </w:pPr>
      <w:r>
        <w:rPr>
          <w:b/>
          <w:bCs/>
        </w:rPr>
        <w:lastRenderedPageBreak/>
      </w:r>
      <w:r>
        <w:rPr>
          <w:b/>
          <w:bCs/>
        </w:rPr>
        <w:t xml:space="preserve">Rischio: </w:t>
      </w:r>
      <w:r>
        <w:t xml:space="preserve">i criteri giuridici relativi alle «istruzioni e al controllo» diventano obsoleti rispetto all’evoluzione algoritmica delle piattaforme.</w:t>
      </w:r>
    </w:p>
    <w:p w:rsidR="00983F19" w:rsidP="00750824" w:rsidRDefault="00000000" w14:paraId="788DDA30" w14:textId="77777777">
      <w:pPr>
        <w:jc w:val="both"/>
      </w:pPr>
      <w:r>
        <w:t xml:space="preserve"> </w:t>
      </w:r>
    </w:p>
    <w:p w:rsidR="00983F19" w:rsidP="00750824" w:rsidRDefault="00000000" w14:paraId="74F850FB" w14:textId="77777777">
      <w:pPr>
        <w:pStyle w:val="RedBlock"/>
      </w:pPr>
      <w:r>
        <w:rPr>
          <w:b/>
          <w:bCs/>
        </w:rPr>
        <w:t xml:space="preserve">Sfida 9.11: Piattaforme transfrontaliere e sede al di fuori dell’UE</w:t>
      </w:r>
    </w:p>
    <w:p w:rsidR="00983F19" w:rsidP="00750824" w:rsidRDefault="00000000" w14:paraId="75479C99" w14:textId="5357D298">
      <w:pPr>
        <w:pStyle w:val="RedBlock"/>
      </w:pPr>
      <w:r>
        <w:t xml:space="preserve">La direttiva si applica a tutte le piattaforme digitali di lavoro che organizzano il lavoro dei lavoratori con sede nell’UE</w:t>
      </w:r>
      <w:r w:rsidR="00D7386B">
        <w:t xml:space="preserve">, </w:t>
      </w:r>
      <w:r>
        <w:t xml:space="preserve">indipendentemente dal luogo in cui la piattaforma ha sede. L’articolo 24, paragrafo 4, della direttiva prevede la cooperazione transfrontaliera tra le autorità competenti. Tuttavia, l’attuazione richiede un coordinamento attivo, garantito dall’Agenzia europea per il lavoro (ELA). In pratica, far valere i diritti dei lavoratori nei confronti di piattaforme con sede al di fuori dell’UE o in paesi con standard minimi di attuazione richiederà meccanismi che vanno oltre le capacità dei singoli ispettorati nazionali.</w:t>
      </w:r>
      <w:r>
        <w:rPr>
          <w:rStyle w:val="Sprotnaopomba-sklic"/>
        </w:rPr>
        <w:footnoteReference w:id="19"/>
      </w:r>
    </w:p>
    <w:p w:rsidR="00983F19" w:rsidP="00750824" w:rsidRDefault="00000000" w14:paraId="574F9DAE" w14:textId="3C2D4A67">
      <w:pPr>
        <w:pStyle w:val="RedBlock"/>
      </w:pPr>
      <w:r>
        <w:rPr>
          <w:b/>
          <w:bCs/>
        </w:rPr>
        <w:t xml:space="preserve">Rischio: </w:t>
      </w:r>
      <w:r>
        <w:t xml:space="preserve">le piattaforme utilizzeranno la sede al di fuori dell’UE o in uno Stato membro più favorevole come pretesto per eludere </w:t>
      </w:r>
      <w:r w:rsidR="00E56EFA">
        <w:t xml:space="preserve">le proprie responsabilità.</w:t>
      </w:r>
    </w:p>
    <w:p w:rsidR="00983F19" w:rsidP="00750824" w:rsidRDefault="00000000" w14:paraId="2460FF0B" w14:textId="77777777">
      <w:pPr>
        <w:pStyle w:val="Naslov2"/>
        <w:jc w:val="both"/>
      </w:pPr>
      <w:bookmarkStart w:name="_Toc233699511" w:id="81"/>
      <w:bookmarkStart w:name="priporočila-6" w:id="82"/>
      <w:bookmarkEnd w:id="80"/>
      <w:r>
        <w:t xml:space="preserve">9.3 Raccomandazioni</w:t>
      </w:r>
      <w:bookmarkEnd w:id="81"/>
    </w:p>
    <w:p w:rsidR="00983F19" w:rsidP="00750824" w:rsidRDefault="00000000" w14:paraId="382512E0" w14:textId="77777777">
      <w:pPr>
        <w:jc w:val="both"/>
      </w:pPr>
      <w:r>
        <w:t xml:space="preserve">Le seguenti raccomandazioni costituiscono una risposta diretta alle sfide individuate. Sono rivolte ai ministeri del lavoro e alla CES.</w:t>
      </w:r>
    </w:p>
    <w:p w:rsidR="00983F19" w:rsidP="00750824" w:rsidRDefault="00000000" w14:paraId="0151F8F7" w14:textId="77777777">
      <w:pPr>
        <w:jc w:val="both"/>
      </w:pPr>
      <w:r>
        <w:t xml:space="preserve"> </w:t>
      </w:r>
    </w:p>
    <w:p w:rsidR="00983F19" w:rsidP="00750824" w:rsidRDefault="00000000" w14:paraId="14ED26AD" w14:textId="6AE9AC4D">
      <w:pPr>
        <w:pStyle w:val="RedBlock"/>
      </w:pPr>
      <w:r>
        <w:rPr>
          <w:b/>
          <w:bCs/>
        </w:rPr>
        <w:t xml:space="preserve">Raccomandazione 9.1 [SUPERA IL MINIMO]: Prevenzione dello status di terzo: test binario </w:t>
      </w:r>
      <w:r w:rsidR="00615F18">
        <w:rPr>
          <w:b/>
          <w:bCs/>
        </w:rPr>
        <w:t xml:space="preserve">di occupazione</w:t>
      </w:r>
    </w:p>
    <w:p w:rsidR="00983F19" w:rsidP="00750824" w:rsidRDefault="00000000" w14:paraId="68F179EF" w14:textId="77777777">
      <w:pPr>
        <w:pStyle w:val="RedBlock"/>
      </w:pPr>
      <w:r>
        <w:rPr>
          <w:b/>
          <w:bCs/>
        </w:rPr>
        <w:t xml:space="preserve">La legge di recepimento non deve introdurre status intermedi tra il lavoratore dipendente e il lavoratore autonomo.</w:t>
      </w:r>
    </w:p>
    <w:p w:rsidR="00983F19" w:rsidP="00750824" w:rsidRDefault="00000000" w14:paraId="12DFC3C8" w14:textId="7525039A">
      <w:pPr>
        <w:pStyle w:val="RedBlock"/>
      </w:pPr>
      <w:r>
        <w:t xml:space="preserve">La direttiva si basa su un test binario: o </w:t>
      </w:r>
      <w:r w:rsidR="00615F18">
        <w:t xml:space="preserve">lavoro dipendente </w:t>
      </w:r>
      <w:r>
        <w:t xml:space="preserve">o lavoro autonomo. Qualsiasi status intermedio </w:t>
      </w:r>
      <w:r w:rsidR="00D7386B">
        <w:t xml:space="preserve">– </w:t>
      </w:r>
      <w:r>
        <w:t xml:space="preserve">parasubordinazione</w:t>
      </w:r>
      <w:r>
        <w:t xml:space="preserve">, lavoro autonomo dipendente, lavoratori economicamente dipendenti con diritti parziali </w:t>
      </w:r>
      <w:r w:rsidR="00D7386B">
        <w:t xml:space="preserve">– </w:t>
      </w:r>
      <w:r>
        <w:t xml:space="preserve">che venisse applicato al posto della presunzione giuridica completa </w:t>
      </w:r>
      <w:r w:rsidR="00615F18">
        <w:t xml:space="preserve">di rapporto di lavoro</w:t>
      </w:r>
      <w:r>
        <w:t xml:space="preserve">, non soddisfa lo scopo della direttiva. </w:t>
      </w:r>
      <w:r>
        <w:rPr>
          <w:b/>
          <w:bCs/>
        </w:rPr>
        <w:t xml:space="preserve">I ministeri devono garantire che la legge di recepimento non offra un terzo status come «soluzione». </w:t>
      </w:r>
      <w:r>
        <w:t xml:space="preserve">I lavoratori in qualsiasi status intermedio devono avere lo stesso accesso al diritto di </w:t>
      </w:r>
      <w:r>
        <w:t xml:space="preserve">organizzazione e di contrattazione collettiva dei </w:t>
      </w:r>
      <w:r w:rsidR="00615F18">
        <w:t xml:space="preserve">lavoratori dipendenti</w:t>
      </w:r>
      <w:r>
        <w:t xml:space="preserve">.</w:t>
      </w:r>
    </w:p>
    <w:p w:rsidR="00983F19" w:rsidP="00750824" w:rsidRDefault="00000000" w14:paraId="2D669019" w14:textId="3D52C24E">
      <w:pPr>
        <w:pStyle w:val="RedBlock"/>
      </w:pPr>
      <w:r>
        <w:rPr>
          <w:b/>
          <w:bCs/>
        </w:rPr>
        <w:t xml:space="preserve">Fonte/misura: </w:t>
      </w:r>
      <w:r>
        <w:t xml:space="preserve">Contributo NIdiL-CGIL Firenze (Proposta di raccomandazioni, 2025): il rischio di un terzo status come </w:t>
      </w:r>
      <w:r>
        <w:t xml:space="preserve">legittimazione </w:t>
      </w:r>
      <w:r>
        <w:t xml:space="preserve">della precarietà </w:t>
      </w:r>
      <w:r w:rsidR="00D7386B">
        <w:t xml:space="preserve">– </w:t>
      </w:r>
      <w:r>
        <w:t xml:space="preserve">Italia, Croazia. </w:t>
      </w:r>
    </w:p>
    <w:p w:rsidR="00983F19" w:rsidP="00750824" w:rsidRDefault="00000000" w14:paraId="52B2CAA6" w14:textId="77777777">
      <w:pPr>
        <w:jc w:val="both"/>
      </w:pPr>
      <w:r>
        <w:t xml:space="preserve"> </w:t>
      </w:r>
    </w:p>
    <w:p w:rsidR="00983F19" w:rsidP="00750824" w:rsidRDefault="00000000" w14:paraId="726848E4" w14:textId="1FE45EEF">
      <w:pPr>
        <w:pStyle w:val="RedBlock"/>
      </w:pPr>
      <w:r>
        <w:rPr>
          <w:b/>
          <w:bCs/>
        </w:rPr>
        <w:t xml:space="preserve">Raccomandazione 9.2 [AMBIZIOSA]: Interpretazione dinamica delle direttive e del controllo </w:t>
      </w:r>
      <w:r w:rsidR="00D7386B">
        <w:rPr>
          <w:b/>
          <w:bCs/>
        </w:rPr>
        <w:t xml:space="preserve">– </w:t>
      </w:r>
      <w:r>
        <w:rPr>
          <w:b/>
          <w:bCs/>
        </w:rPr>
        <w:t xml:space="preserve">resilienza all’evoluzione algoritmica</w:t>
      </w:r>
    </w:p>
    <w:p w:rsidR="00983F19" w:rsidP="00750824" w:rsidRDefault="00000000" w14:paraId="25C137D5" w14:textId="77777777">
      <w:pPr>
        <w:pStyle w:val="RedBlock"/>
      </w:pPr>
      <w:r>
        <w:rPr>
          <w:b/>
          <w:bCs/>
        </w:rPr>
        <w:t xml:space="preserve">La legge di recepimento non deve contenere un elenco statico di criteri per le istruzioni e il controllo, che diventerebbe obsoleto con l’evoluzione degli algoritmi.</w:t>
      </w:r>
    </w:p>
    <w:p w:rsidR="00983F19" w:rsidP="00750824" w:rsidRDefault="00000000" w14:paraId="0087BA87" w14:textId="3C43930E">
      <w:pPr>
        <w:pStyle w:val="RedBlock"/>
      </w:pPr>
      <w:r>
        <w:t xml:space="preserve">La direttiva si basa sui fatti, non su criteri formali </w:t>
      </w:r>
      <w:r w:rsidR="00D7386B">
        <w:t xml:space="preserve">– </w:t>
      </w:r>
      <w:r>
        <w:t xml:space="preserve">ciò che</w:t>
      </w:r>
      <w:r w:rsidR="00E56EFA">
        <w:t xml:space="preserve"> conta </w:t>
      </w:r>
      <w:r>
        <w:t xml:space="preserve">è la presenza di indicatori fattuali di istruzione e controllo, non la presenza di elementi formali ben definiti. La legge di recepimento deve preservare questa dinamicità: </w:t>
      </w:r>
      <w:r w:rsidR="00E56EFA">
        <w:t xml:space="preserve">l’elenco </w:t>
      </w:r>
      <w:r>
        <w:t xml:space="preserve">dei criteri indicativi deve essere </w:t>
      </w:r>
      <w:r>
        <w:rPr>
          <w:b/>
          <w:bCs/>
        </w:rPr>
        <w:t xml:space="preserve">esemplificativo, non </w:t>
      </w:r>
      <w:r w:rsidR="00E56EFA">
        <w:rPr>
          <w:b/>
          <w:bCs/>
        </w:rPr>
        <w:t xml:space="preserve">esaustivo</w:t>
      </w:r>
      <w:r>
        <w:t xml:space="preserve">. Gli organismi di controllo e i tribunali devono avere la competenza di tenere conto delle nuove forme di controllo algoritmico che non erano state previste al momento dell’adozione della legge. Proprio a tal fine, gli organismi di controllo devono avere accesso ai dati algoritmici delle piattaforme.</w:t>
      </w:r>
    </w:p>
    <w:p w:rsidR="00983F19" w:rsidP="00750824" w:rsidRDefault="00000000" w14:paraId="720B7FD7" w14:textId="2C2DA4D1">
      <w:pPr>
        <w:pStyle w:val="RedBlock"/>
      </w:pPr>
      <w:r>
        <w:rPr>
          <w:b/>
          <w:bCs/>
        </w:rPr>
        <w:t xml:space="preserve">Fonte/misura: </w:t>
      </w:r>
      <w:r>
        <w:t xml:space="preserve">gruppo di esperti della CE: la direttiva non richiede criteri</w:t>
      </w:r>
      <w:r w:rsidR="00E56EFA">
        <w:t xml:space="preserve">, </w:t>
      </w:r>
      <w:r>
        <w:t xml:space="preserve">è sufficiente </w:t>
      </w:r>
      <w:r>
        <w:t xml:space="preserve">lo standard </w:t>
      </w:r>
      <w:r>
        <w:t xml:space="preserve">prima </w:t>
      </w:r>
      <w:r>
        <w:t xml:space="preserve">facie</w:t>
      </w:r>
      <w:r>
        <w:t xml:space="preserve">, indicatori fattuali di istruzioni e controllo. Articolo 5, paragrafo 1, della direttiva</w:t>
      </w:r>
      <w:r w:rsidR="00E56EFA">
        <w:t xml:space="preserve">: </w:t>
      </w:r>
      <w:r>
        <w:t xml:space="preserve">«</w:t>
      </w:r>
      <w:r>
        <w:t xml:space="preserve">Labour</w:t>
      </w:r>
      <w:r>
        <w:lastRenderedPageBreak/>
      </w:r>
      <w:r>
        <w:t xml:space="preserve"> intermediation</w:t>
      </w:r>
      <w:r w:rsidR="00E56EFA">
        <w:t xml:space="preserve">»; </w:t>
      </w:r>
      <w:r>
        <w:t xml:space="preserve">le piattaforme sono entità camaleontiche che si adattano al contesto normativo.</w:t>
      </w:r>
    </w:p>
    <w:p w:rsidR="00983F19" w:rsidP="00750824" w:rsidRDefault="00000000" w14:paraId="3E346127" w14:textId="77777777">
      <w:pPr>
        <w:jc w:val="both"/>
      </w:pPr>
      <w:r>
        <w:t xml:space="preserve"> </w:t>
      </w:r>
    </w:p>
    <w:p w:rsidR="00983F19" w:rsidP="00750824" w:rsidRDefault="00000000" w14:paraId="0A00D1FE" w14:textId="77777777">
      <w:pPr>
        <w:jc w:val="both"/>
      </w:pPr>
      <w:r>
        <w:t xml:space="preserve"> </w:t>
      </w:r>
    </w:p>
    <w:p w:rsidR="00983F19" w:rsidP="00750824" w:rsidRDefault="00000000" w14:paraId="377E7C66" w14:textId="47DDC2DB">
      <w:pPr>
        <w:jc w:val="both"/>
      </w:pPr>
      <w:r>
        <w:rPr>
          <w:i/>
          <w:iCs/>
        </w:rPr>
        <w:t xml:space="preserve">Le difficoltà di attuazione non sono una sorpresa</w:t>
      </w:r>
      <w:r w:rsidR="00D7386B">
        <w:rPr>
          <w:i/>
          <w:iCs/>
        </w:rPr>
        <w:t xml:space="preserve">: </w:t>
      </w:r>
      <w:r>
        <w:rPr>
          <w:i/>
          <w:iCs/>
        </w:rPr>
        <w:t xml:space="preserve">sono il risultato prevedibile di modelli di business creati con l’obiettivo consapevole di eludere </w:t>
      </w:r>
      <w:r w:rsidR="00E56EFA">
        <w:rPr>
          <w:i/>
          <w:iCs/>
        </w:rPr>
        <w:t xml:space="preserve">le responsabilità delle piattaforme </w:t>
      </w:r>
      <w:r>
        <w:rPr>
          <w:i/>
          <w:iCs/>
        </w:rPr>
        <w:t xml:space="preserve">in materia di diritto del lavoro</w:t>
      </w:r>
      <w:r>
        <w:rPr>
          <w:i/>
          <w:iCs/>
        </w:rPr>
        <w:t xml:space="preserve">. I ministeri hanno davanti a sé un’opportunità legislativa che si presenta una volta ogni generazione: la direttiva fornisce loro il mandato, le risorse e la scadenza. La questione non è se </w:t>
      </w:r>
      <w:r>
        <w:rPr>
          <w:i/>
          <w:iCs/>
        </w:rPr>
        <w:t xml:space="preserve">le piattaforme cercheranno</w:t>
      </w:r>
      <w:r w:rsidR="00E56EFA">
        <w:rPr>
          <w:i/>
          <w:iCs/>
        </w:rPr>
        <w:t xml:space="preserve"> di </w:t>
      </w:r>
      <w:r>
        <w:rPr>
          <w:i/>
          <w:iCs/>
        </w:rPr>
        <w:t xml:space="preserve">eludere la direttiva. La questione è se la legge di recepimento e </w:t>
      </w:r>
      <w:r w:rsidR="00E56EFA">
        <w:rPr>
          <w:i/>
          <w:iCs/>
        </w:rPr>
        <w:t xml:space="preserve">il controllo sull’attuazione della stessa </w:t>
      </w:r>
      <w:r>
        <w:rPr>
          <w:i/>
          <w:iCs/>
        </w:rPr>
        <w:t xml:space="preserve">saranno </w:t>
      </w:r>
      <w:r>
        <w:rPr>
          <w:i/>
          <w:iCs/>
        </w:rPr>
        <w:t xml:space="preserve">sufficientemente solidi da impedirlo.</w:t>
      </w:r>
    </w:p>
    <w:p w:rsidR="00750824" w:rsidRDefault="00750824" w14:paraId="3A6CA70A" w14:textId="77777777">
      <w:pPr>
        <w:rPr>
          <w:b/>
          <w:bCs/>
          <w:color w:val="1F3864"/>
          <w:sz w:val="36"/>
          <w:szCs w:val="36"/>
        </w:rPr>
      </w:pPr>
      <w:bookmarkStart w:name="poglavje-11-zaključek" w:id="83"/>
      <w:bookmarkEnd w:id="75"/>
      <w:bookmarkEnd w:id="82"/>
      <w:r>
        <w:br w:type="page"/>
      </w:r>
    </w:p>
    <w:p w:rsidR="00983F19" w:rsidP="00750824" w:rsidRDefault="00000000" w14:paraId="0A7728D4" w14:textId="2D33E1DD">
      <w:pPr>
        <w:pStyle w:val="Naslov1"/>
        <w:jc w:val="both"/>
      </w:pPr>
      <w:bookmarkStart w:name="_Toc233699512" w:id="84"/>
      <w:r>
        <w:lastRenderedPageBreak/>
      </w:r>
      <w:r>
        <w:t xml:space="preserve">Capitolo 10: Conclusione</w:t>
      </w:r>
      <w:bookmarkEnd w:id="84"/>
    </w:p>
    <w:p w:rsidR="00983F19" w:rsidP="00750824" w:rsidRDefault="00000000" w14:paraId="18660357" w14:textId="7822C9AE">
      <w:pPr>
        <w:jc w:val="both"/>
      </w:pPr>
      <w:r>
        <w:t xml:space="preserve">La direttiva (UE) 2024/2831 sul miglioramento delle condizioni di lavoro nel lavoro su piattaforma non è solo l’ennesimo atto legislativo da recepire nel diritto nazionale. È la prima risposta sistematica dell’Unione europea a un modello di business che, in quindici anni</w:t>
      </w:r>
      <w:r w:rsidR="00D7386B">
        <w:t xml:space="preserve">,</w:t>
      </w:r>
      <w:r>
        <w:t xml:space="preserve"> ha creato una nuova forma di lavoro</w:t>
      </w:r>
      <w:r w:rsidR="00D7386B">
        <w:t xml:space="preserve">: </w:t>
      </w:r>
      <w:r>
        <w:t xml:space="preserve">un lavoro privo di tutele fondamentali, organizzato tramite piattaforme digitali per milioni di persone, con una gestione algoritmica anziché umana e con un controllo privo di responsabilità. La questione affrontata in questo documento non è se la direttiva verrà recepita </w:t>
      </w:r>
      <w:r w:rsidR="00D7386B">
        <w:t xml:space="preserve">– </w:t>
      </w:r>
      <w:r>
        <w:t xml:space="preserve">si tratta di un obbligo giuridico da adempiere entro il 2 dicembre 2026. La questione è se verrà recepita in modo tale da poter effettivamente modificare e migliorare le condizioni di lavoro </w:t>
      </w:r>
      <w:r w:rsidR="00BD4E18">
        <w:t xml:space="preserve">di un numero sempre maggiore di lavoratori nell’UE</w:t>
      </w:r>
      <w:r>
        <w:t xml:space="preserve">, oppure se diventerà l’ennesimo quadro formale che le piattaforme aggireranno più rapidamente di quanto gli Stati riescano a metterlo in atto.</w:t>
      </w:r>
    </w:p>
    <w:p w:rsidR="00D90A18" w:rsidP="00750824" w:rsidRDefault="00D90A18" w14:paraId="1C9AEE89" w14:textId="77777777">
      <w:pPr>
        <w:jc w:val="both"/>
      </w:pPr>
    </w:p>
    <w:p w:rsidRPr="009742D7" w:rsidR="009742D7" w:rsidP="00750824" w:rsidRDefault="00000000" w14:paraId="7EBDADA5" w14:textId="60D8CD34">
      <w:pPr>
        <w:jc w:val="both"/>
      </w:pPr>
      <w:r>
        <w:t xml:space="preserve">L’analisi </w:t>
      </w:r>
      <w:r w:rsidR="00BD4E18">
        <w:t xml:space="preserve">della situazione nei </w:t>
      </w:r>
      <w:r>
        <w:t xml:space="preserve">cinque </w:t>
      </w:r>
      <w:r w:rsidR="00BD4E18">
        <w:t xml:space="preserve">paesi</w:t>
      </w:r>
      <w:r>
        <w:t xml:space="preserve"> partner </w:t>
      </w:r>
      <w:r w:rsidR="00BD4E18">
        <w:t xml:space="preserve">del progetto</w:t>
      </w:r>
      <w:r>
        <w:t xml:space="preserve">, dei tre contratti collettivi e delle pratiche di elusione transfrontaliera della regolamentazione </w:t>
      </w:r>
      <w:r w:rsidR="00BD4E18">
        <w:t xml:space="preserve">sostengono </w:t>
      </w:r>
      <w:r>
        <w:t xml:space="preserve">la riflessione centrale del presente documento: le esperienze della Spagna dopo l’adozione </w:t>
      </w:r>
      <w:r w:rsidR="00BD4E18">
        <w:t xml:space="preserve">della Legge </w:t>
      </w:r>
      <w:r>
        <w:t xml:space="preserve">sui corrieri</w:t>
      </w:r>
      <w:r w:rsidR="00BD4E18">
        <w:t xml:space="preserve">, </w:t>
      </w:r>
      <w:r>
        <w:t xml:space="preserve">del Belgio dopo l’introduzione della presunzione giuridica nel 2023 e dell’Austria, dove Lieferando ha annunciato nel marzo 2025 il licenziamento di quasi mille corrieri dipendenti e il passaggio a contratti di liberi professionisti (</w:t>
      </w:r>
      <w:r w:rsidR="00BD4E18">
        <w:t xml:space="preserve">«</w:t>
      </w:r>
      <w:r>
        <w:rPr>
          <w:i/>
          <w:iCs/>
        </w:rPr>
        <w:t xml:space="preserve">Freier </w:t>
      </w:r>
      <w:r>
        <w:rPr>
          <w:i/>
          <w:iCs/>
        </w:rPr>
        <w:t xml:space="preserve">Dienstnehmer</w:t>
      </w:r>
      <w:r w:rsidR="00BD4E18">
        <w:t xml:space="preserve">»</w:t>
      </w:r>
      <w:r>
        <w:t xml:space="preserve">)</w:t>
      </w:r>
      <w:r w:rsidR="00BD4E18">
        <w:t xml:space="preserve">, </w:t>
      </w:r>
    </w:p>
    <w:p w:rsidR="00D90A18" w:rsidP="00750824" w:rsidRDefault="00000000" w14:paraId="4DBB95C4" w14:textId="47421CF2">
      <w:pPr>
        <w:jc w:val="both"/>
      </w:pPr>
      <w:r>
        <w:t xml:space="preserve">dimostrano che le piattaforme rispondono a ogni nuova regolamentazione con una riorganizzazione che ne vanifica lo scopo.</w:t>
      </w:r>
    </w:p>
    <w:p w:rsidR="00D90A18" w:rsidP="00750824" w:rsidRDefault="00D90A18" w14:paraId="306D5FBD" w14:textId="77777777">
      <w:pPr>
        <w:jc w:val="both"/>
      </w:pPr>
    </w:p>
    <w:p w:rsidR="00983F19" w:rsidP="00750824" w:rsidRDefault="00000000" w14:paraId="6EFE9FD6" w14:textId="7BB7435B">
      <w:pPr>
        <w:jc w:val="both"/>
      </w:pPr>
      <w:r>
        <w:t xml:space="preserve">Esiste il fondato rischio che, dopo il recepimento della direttiva, si ripeta lo stesso schema: le piattaforme contesteranno la presunzione giuridica </w:t>
      </w:r>
      <w:r w:rsidR="00615F18">
        <w:t xml:space="preserve">di rapporto di lavoro</w:t>
      </w:r>
      <w:r>
        <w:t xml:space="preserve">, </w:t>
      </w:r>
      <w:r w:rsidR="00BD4E18">
        <w:t xml:space="preserve">i procedimenti giudiziari dureranno </w:t>
      </w:r>
      <w:r>
        <w:t xml:space="preserve">anni e, nel frattempo, i lavoratori rimarranno privi di tutela. La direttiva riconosce questo problema, ma non lo risolve di per sé. La soluzione proposta dal presente documento è il dialogo sociale come ponte: non un sostituto del diritto, ma un meccanismo che tuteli i lavoratori </w:t>
      </w:r>
      <w:r w:rsidR="00304218">
        <w:t xml:space="preserve">mentre i mulini della giustizia macinano </w:t>
      </w:r>
      <w:r>
        <w:t xml:space="preserve">lentamente. Il protocollo SDDP, allegato al presente documento, offre un quadro concreto per tale dialogo.</w:t>
      </w:r>
    </w:p>
    <w:p w:rsidR="00D90A18" w:rsidP="00750824" w:rsidRDefault="00D90A18" w14:paraId="3946CE34" w14:textId="77777777">
      <w:pPr>
        <w:jc w:val="both"/>
      </w:pPr>
    </w:p>
    <w:p w:rsidRPr="00D90A18" w:rsidR="00983F19" w:rsidP="00750824" w:rsidRDefault="00000000" w14:paraId="6C61654C" w14:textId="77777777">
      <w:pPr>
        <w:jc w:val="both"/>
        <w:rPr>
          <w:b/>
          <w:bCs/>
        </w:rPr>
      </w:pPr>
      <w:r>
        <w:rPr>
          <w:b/>
          <w:bCs/>
        </w:rPr>
        <w:t xml:space="preserve">Dall’intero documento emergono cinque raccomandazioni da considerare prioritarie:</w:t>
      </w:r>
    </w:p>
    <w:p w:rsidR="00D90A18" w:rsidP="00750824" w:rsidRDefault="00D90A18" w14:paraId="6F780E97" w14:textId="77777777">
      <w:pPr>
        <w:jc w:val="both"/>
      </w:pPr>
    </w:p>
    <w:p w:rsidR="00983F19" w:rsidP="00750824" w:rsidRDefault="00304218" w14:paraId="6BD4ABF7" w14:textId="57B2A235">
      <w:pPr>
        <w:jc w:val="both"/>
      </w:pPr>
      <w:r>
        <w:t xml:space="preserve">In primo luogo: gli Stati membri, nel recepire l’articolo 5, non dovrebbero aggiungere criteri propri per l’attivazione della presunzione legale </w:t>
      </w:r>
      <w:r w:rsidR="00615F18">
        <w:t xml:space="preserve">di rapporto di lavoro</w:t>
      </w:r>
      <w:r>
        <w:t xml:space="preserve">. La direttiva stabilisce uno standard di presunzione iniziale: sono sufficienti i fatti che indicano l’esistenza di istruzioni e controllo. La legge belga del 2023, che stabiliva due serie di criteri (due su cinque o tre su otto), si è rivelata inefficace nella pratica</w:t>
      </w:r>
      <w:r w:rsidR="00D7386B">
        <w:t xml:space="preserve">: </w:t>
      </w:r>
      <w:r>
        <w:t xml:space="preserve">le piattaforme sempre più grandi hanno dichiarato di non soddisfare tali criteri, mentre la legge non ha previsto meccanismi di attuazione con cui l’ispettorato del lavoro potesse far valere direttamente la presunzione. Un sindacalista dell’ACV-CSC ha rivolto al Ministero del Lavoro la domanda su cosa intendessero fare; la risposta è stata se il sindacato stesso volesse adire le vie legali. Una legge priva di procedure di attuazione è rimasta lettera morta. Ogni criterio aggiuntivo è un’ulteriore scusa per la piattaforma e un ulteriore mese senza tutela per il lavoratore </w:t>
      </w:r>
      <w:r w:rsidR="00D7386B">
        <w:t xml:space="preserve">– </w:t>
      </w:r>
      <w:r>
        <w:t xml:space="preserve">mentre un meccanismo di attuazione in più è una condizione senza la quale anche la legge più ambiziosa non cambia nulla.</w:t>
      </w:r>
    </w:p>
    <w:p w:rsidR="00D90A18" w:rsidP="00750824" w:rsidRDefault="00D90A18" w14:paraId="58D61F56" w14:textId="77777777">
      <w:pPr>
        <w:jc w:val="both"/>
      </w:pPr>
    </w:p>
    <w:p w:rsidR="00983F19" w:rsidP="00750824" w:rsidRDefault="00304218" w14:paraId="297D02C8" w14:textId="7DD53D38">
      <w:pPr>
        <w:jc w:val="both"/>
      </w:pPr>
      <w:r>
        <w:t xml:space="preserve">In secondo luogo: le procedure per l’accertamento del corretto status lavorativo devono essere efficaci e prevalentemente amministrative, non giudiziarie. Le battaglie giudiziarie durano anni </w:t>
      </w:r>
      <w:r w:rsidR="00D7386B">
        <w:t xml:space="preserve">– </w:t>
      </w:r>
      <w:r>
        <w:t xml:space="preserve">l’esperienza spagnola lo </w:t>
      </w:r>
      <w:r>
        <w:t xml:space="preserve">dimostra</w:t>
      </w:r>
      <w:r>
        <w:lastRenderedPageBreak/>
      </w:r>
      <w:r>
        <w:t xml:space="preserve"> con quasi quattro anni di procedimenti dopo l’adozione della Legge sui corrieri. Gli ispettorati del lavoro potenziati devono avere la competenza e l’obbligo di accertare lo status lavorativo con una decisione, senza attendere il ricorso in sede giudiziaria e senza il consenso del lavoratore. La direttiva prevede tale obbligo all’articolo 5, paragrafo 5, ma la sua efficace attuazione richiede che tale competenza sia espressamente inserita nelle misure nazionali di recepimento.</w:t>
      </w:r>
    </w:p>
    <w:p w:rsidR="00D90A18" w:rsidP="00750824" w:rsidRDefault="00D90A18" w14:paraId="3BE072A5" w14:textId="77777777">
      <w:pPr>
        <w:jc w:val="both"/>
      </w:pPr>
    </w:p>
    <w:p w:rsidR="00983F19" w:rsidP="00750824" w:rsidRDefault="00304218" w14:paraId="2C9B026D" w14:textId="47E904F8">
      <w:pPr>
        <w:jc w:val="both"/>
      </w:pPr>
      <w:r>
        <w:t xml:space="preserve">Terzo: la tutela collettiva provvisoria durante la contestazione della presunzione di diritto </w:t>
      </w:r>
      <w:r w:rsidR="00D7386B">
        <w:t xml:space="preserve">– </w:t>
      </w:r>
      <w:r>
        <w:t xml:space="preserve">raccomandazione 6.5 del presente documento </w:t>
      </w:r>
      <w:r w:rsidR="00D7386B">
        <w:t xml:space="preserve">– </w:t>
      </w:r>
      <w:r>
        <w:t xml:space="preserve">è un’innovazione fondamentale che va oltre i requisiti della direttiva. Quando l’ispettorato del lavoro accerta che la piattaforma è un datore di lavoro, entro quindici giorni al massimo </w:t>
      </w:r>
      <w:r w:rsidR="00D7386B">
        <w:t xml:space="preserve">– </w:t>
      </w:r>
      <w:r>
        <w:t xml:space="preserve">o entro un termine più breve consentito dall’ordinamento giuridico nazionale </w:t>
      </w:r>
      <w:r w:rsidR="00D7386B">
        <w:t xml:space="preserve">– </w:t>
      </w:r>
      <w:r>
        <w:t xml:space="preserve">deve </w:t>
      </w:r>
      <w:r>
        <w:t xml:space="preserve">essere avviato un dialogo tripartito obbligatorio che garantisca un accordo collettivo provvisorio sulla retribuzione minima, all’orario di lavoro e ai contributi previdenziali. Le retribuzioni per il lavoro svolto e i contributi versati rimangono ai lavoratori indipendentemente dall’esito del procedimento giudiziario; la piattaforma ha diritto a </w:t>
      </w:r>
      <w:r>
        <w:t xml:space="preserve">una rivalsa</w:t>
      </w:r>
      <w:r>
        <w:t xml:space="preserve"> limitata </w:t>
      </w:r>
      <w:r>
        <w:t xml:space="preserve">solo per la differenza rispetto alla retribuzione dei lavoratori autonomi </w:t>
      </w:r>
      <w:r w:rsidR="00D7386B">
        <w:t xml:space="preserve">– </w:t>
      </w:r>
      <w:r>
        <w:t xml:space="preserve">non per i compensi relativi al lavoro svolto. L’onere dell’incertezza giuridica ricade sulla piattaforma che ha creato il rapporto controverso, non sui lavoratori. Lo Stato si assume il rischio di una determinazione errata: se la decisione dell’ispettorato si rivela errata, l’onere del rimborso dei pagamenti ricade sullo Stato </w:t>
      </w:r>
      <w:r w:rsidR="00D7386B">
        <w:t xml:space="preserve">– </w:t>
      </w:r>
      <w:r>
        <w:t xml:space="preserve">garantendo così l’affidabilità della decisione e creando un incentivo per un lavoro di qualità da parte dell’ispettorato. Nessuno Stato membro dovrebbe recepire la direttiva senza un meccanismo che colmi il vuoto giuridico tra la decisione dell’ispettorato e la sentenza definitiva.</w:t>
      </w:r>
    </w:p>
    <w:p w:rsidR="00D90A18" w:rsidP="00750824" w:rsidRDefault="00D90A18" w14:paraId="51B8EB4F" w14:textId="77777777">
      <w:pPr>
        <w:jc w:val="both"/>
      </w:pPr>
    </w:p>
    <w:p w:rsidR="00983F19" w:rsidP="00750824" w:rsidRDefault="00492887" w14:paraId="3E281C20" w14:textId="70AA0B6E">
      <w:pPr>
        <w:jc w:val="both"/>
      </w:pPr>
      <w:r>
        <w:t xml:space="preserve">Quarto: </w:t>
      </w:r>
      <w:r>
        <w:t xml:space="preserve">responsabilità </w:t>
      </w:r>
      <w:r w:rsidR="00A25A76">
        <w:t xml:space="preserve">solidale</w:t>
      </w:r>
      <w:r>
        <w:t xml:space="preserve"> obbligatoria </w:t>
      </w:r>
      <w:r>
        <w:t xml:space="preserve">lungo l’intera catena di intermediari. Il sistema a catena </w:t>
      </w:r>
      <w:r w:rsidR="00D7386B">
        <w:t xml:space="preserve">– ovvero </w:t>
      </w:r>
      <w:r>
        <w:t xml:space="preserve">l’utilizzo di catene di intermediari per trasferire il rischio giuridico a società di comodo </w:t>
      </w:r>
      <w:r w:rsidR="00D7386B">
        <w:t xml:space="preserve">– </w:t>
      </w:r>
      <w:r>
        <w:t xml:space="preserve">è una componente strutturale del modello di business delle piattaforme, non un’eccezione: è presente in quasi la metà delle piattaforme analizzate (cfr. capitolo 2). La direttiva, all’articolo 3, ammette ma non impone la responsabilità solidale. Questa ambiguità rappresenta un’opportunità per i ministeri: </w:t>
      </w:r>
      <w:r>
        <w:t xml:space="preserve">la responsabilità </w:t>
      </w:r>
      <w:r w:rsidR="00A25A76">
        <w:t xml:space="preserve">solidale</w:t>
      </w:r>
      <w:r>
        <w:t xml:space="preserve"> obbligatoria</w:t>
      </w:r>
      <w:r>
        <w:t xml:space="preserve">, in base alla quale la piattaforma si fa automaticamente carico dei debiti del subappaltatore nei confronti dei lavoratori, è l’unica misura efficace contro un modello concepito proprio per eludere le responsabilità. L’ETUC chiede l’adozione di una direttiva sul subappalto e sull’intermediazione del lavoro che sancisca tale responsabilità a livello europeo.</w:t>
      </w:r>
    </w:p>
    <w:p w:rsidR="00D90A18" w:rsidP="00750824" w:rsidRDefault="00D90A18" w14:paraId="23CBDD14" w14:textId="77777777">
      <w:pPr>
        <w:jc w:val="both"/>
      </w:pPr>
    </w:p>
    <w:p w:rsidR="00983F19" w:rsidP="00750824" w:rsidRDefault="00492887" w14:paraId="5EED1FDB" w14:textId="63369F4B">
      <w:pPr>
        <w:jc w:val="both"/>
      </w:pPr>
      <w:r>
        <w:t xml:space="preserve">Quinto: il dialogo sociale, con un ruolo proattivo dello Stato e delle istituzioni, come condizione per un’attuazione efficace. La direttiva stabilisce un ampio ventaglio di diritti </w:t>
      </w:r>
      <w:r w:rsidR="00D7386B">
        <w:t xml:space="preserve">– </w:t>
      </w:r>
      <w:r>
        <w:t xml:space="preserve">dalla trasparenza degli algoritmi al divieto di ritorsioni </w:t>
      </w:r>
      <w:r w:rsidR="00D7386B">
        <w:t xml:space="preserve">– </w:t>
      </w:r>
      <w:r>
        <w:t xml:space="preserve">ma i diritti privi di meccanismi per la loro applicazione sono privi di significato. Lo Stato non deve limitarsi a essere un osservatore passivo delle trattative, ma deve agire come mediatore attivo e garante: con un’ispettorato del lavoro potenziato e qualificato in materia di sistemi algoritmici, con sanzioni chiare in caso di violazioni della trasparenza (compresa la nullità automatica di una decisione algoritmica non motivata), con la possibilità di azioni collettive e di gruppo, che in diversi Stati membri </w:t>
      </w:r>
      <w:r w:rsidR="00D7386B">
        <w:t xml:space="preserve">– </w:t>
      </w:r>
      <w:r>
        <w:t xml:space="preserve">tra cui Germania e Slovenia </w:t>
      </w:r>
      <w:r w:rsidR="00D7386B">
        <w:t xml:space="preserve">– </w:t>
      </w:r>
      <w:r>
        <w:t xml:space="preserve">la legislazione attualmente non consente, e con incentivi per le piattaforme che aderiscono volontariamente alle trattative.</w:t>
      </w:r>
    </w:p>
    <w:p w:rsidR="00D90A18" w:rsidP="00750824" w:rsidRDefault="00D90A18" w14:paraId="49EBFB5C" w14:textId="77777777">
      <w:pPr>
        <w:jc w:val="both"/>
      </w:pPr>
    </w:p>
    <w:p w:rsidRPr="00D90A18" w:rsidR="00983F19" w:rsidP="00750824" w:rsidRDefault="00000000" w14:paraId="7D16DA5A" w14:textId="7A673C1C">
      <w:pPr>
        <w:jc w:val="both"/>
        <w:rPr>
          <w:rStyle w:val="Poudarek"/>
        </w:rPr>
      </w:pPr>
      <w:r>
        <w:rPr>
          <w:rStyle w:val="Poudarek"/>
        </w:rPr>
        <w:t xml:space="preserve">Queste raccomandazioni sono esaustive </w:t>
      </w:r>
      <w:r w:rsidR="00D7386B">
        <w:rPr>
          <w:rStyle w:val="Poudarek"/>
        </w:rPr>
        <w:t xml:space="preserve">– </w:t>
      </w:r>
      <w:r>
        <w:rPr>
          <w:rStyle w:val="Poudarek"/>
        </w:rPr>
        <w:t xml:space="preserve">il documento ne contiene più di quaranta. Ma sono al contempo quelle senza le quali il recepimento della direttiva non cambierà nulla per il lavoratore che alle dieci di sera, sotto la pioggia, consegna cibo in bicicletta e non sa se l’algoritmo gli offrirà ancora lavoro oggi </w:t>
      </w:r>
      <w:r w:rsidR="004F26A1">
        <w:rPr>
          <w:rStyle w:val="Poudarek"/>
        </w:rPr>
        <w:t xml:space="preserve">e </w:t>
      </w:r>
      <w:r>
        <w:rPr>
          <w:rStyle w:val="Poudarek"/>
        </w:rPr>
        <w:t xml:space="preserve">gli consentirà l’accesso all’app domani.</w:t>
      </w:r>
    </w:p>
    <w:p w:rsidR="00D90A18" w:rsidP="00750824" w:rsidRDefault="00D90A18" w14:paraId="70C3980B" w14:textId="77777777">
      <w:pPr>
        <w:jc w:val="both"/>
      </w:pPr>
    </w:p>
    <w:p w:rsidR="00983F19" w:rsidP="00750824" w:rsidRDefault="00000000" w14:paraId="1AACC6D3" w14:textId="532213F9">
      <w:pPr>
        <w:jc w:val="both"/>
      </w:pPr>
      <w:r>
        <w:rPr>
          <w:rStyle w:val="Krepko"/>
        </w:rPr>
        <w:t xml:space="preserve">La direttiva non risolve tutto. </w:t>
      </w:r>
      <w:r>
        <w:t xml:space="preserve">Non affronta la particolare vulnerabilità dei lavoratori migranti, che in tutti e cinque i paesi partner rappresentano una quota significativa della forza lavoro delle piattaforme e </w:t>
      </w:r>
      <w:r w:rsidR="004F26A1">
        <w:t xml:space="preserve">che, </w:t>
      </w:r>
      <w:r>
        <w:t xml:space="preserve">a causa delle barriere linguistiche, dello status di soggiorno precario e della dipendenza dalla piattaforma, non osano far valere i propri diritti</w:t>
      </w:r>
      <w:r>
        <w:lastRenderedPageBreak/>
      </w:r>
      <w:r>
        <w:t xml:space="preserve"> . Non risolve il rischio che alcuni Stati membri istituiscano </w:t>
      </w:r>
      <w:r w:rsidR="00016B3D">
        <w:t xml:space="preserve">uno «status intermedio» </w:t>
      </w:r>
      <w:r w:rsidR="00D7386B">
        <w:t xml:space="preserve">– </w:t>
      </w:r>
      <w:r>
        <w:t xml:space="preserve">sul modello del </w:t>
      </w:r>
      <w:r w:rsidRPr="00016B3D">
        <w:t xml:space="preserve">«collaboratore </w:t>
      </w:r>
      <w:r w:rsidRPr="00016B3D" w:rsidR="004F26A1">
        <w:t xml:space="preserve">etero-organizzato»</w:t>
      </w:r>
      <w:r w:rsidRPr="004F26A1">
        <w:t xml:space="preserve"> (</w:t>
      </w:r>
      <w:r w:rsidRPr="00016B3D" w:rsidR="004F26A1">
        <w:t xml:space="preserve">«</w:t>
      </w:r>
      <w:r w:rsidRPr="00016B3D">
        <w:t xml:space="preserve">collaboratore</w:t>
      </w:r>
      <w:r w:rsidRPr="004F26A1" w:rsidR="004F26A1">
        <w:t xml:space="preserve"> </w:t>
      </w:r>
      <w:r w:rsidRPr="00016B3D" w:rsidR="004F26A1">
        <w:t xml:space="preserve">etero-organizzato»</w:t>
      </w:r>
      <w:r w:rsidRPr="004F26A1">
        <w:t xml:space="preserve">) </w:t>
      </w:r>
      <w:r>
        <w:t xml:space="preserve">o del libero professionista austriaco (</w:t>
      </w:r>
      <w:r w:rsidRPr="00016B3D">
        <w:t xml:space="preserve">«Freier </w:t>
      </w:r>
      <w:r w:rsidRPr="00016B3D" w:rsidR="004F26A1">
        <w:t xml:space="preserve">Dienstnehmer»</w:t>
      </w:r>
      <w:r w:rsidRPr="004F26A1">
        <w:t xml:space="preserve">) </w:t>
      </w:r>
      <w:r w:rsidR="00D7386B">
        <w:t xml:space="preserve">– </w:t>
      </w:r>
      <w:r>
        <w:t xml:space="preserve">che non sarà né un rapporto di lavoro dipendente né di lavoro autonomo, ma </w:t>
      </w:r>
      <w:r w:rsidR="004F26A1">
        <w:t xml:space="preserve">la legalizzazione </w:t>
      </w:r>
      <w:r>
        <w:t xml:space="preserve">dello sfruttamento esistente sotto una nuova denominazione. Si tratta di compiti che richiedono un ulteriore dialogo sociale europeo, ispettorati rafforzati e una volontà politica che non si esaurisca dopo la prima ondata di pressioni da parte delle piattaforme.</w:t>
      </w:r>
    </w:p>
    <w:p w:rsidR="00D90A18" w:rsidP="00750824" w:rsidRDefault="00D90A18" w14:paraId="7154449F" w14:textId="77777777">
      <w:pPr>
        <w:jc w:val="both"/>
      </w:pPr>
    </w:p>
    <w:p w:rsidRPr="009742D7" w:rsidR="009742D7" w:rsidP="00750824" w:rsidRDefault="009742D7" w14:paraId="48D97BE6" w14:textId="77777777">
      <w:pPr>
        <w:jc w:val="both"/>
      </w:pPr>
      <w:r>
        <w:t xml:space="preserve">La direttiva offre un’opportunità straordinaria che non dobbiamo lasciarci sfuggire. Il lavoro sulle piattaforme, così come lo conosciamo oggi, è nella sua essenza un lavoro precario gestito da algoritmi: un lavoro senza una retribuzione minima garantita, senza sicurezza sociale, senza il diritto di ottenere spiegazioni sulle decisioni prese – e con un algoritmo al posto di una persona che decide chi lavora oggi, quanto guadagnerà e se domani avrà ancora un lavoro. Se non regolamentiamo questi meccanismi adesso, li ritroveremo presto ovunque: nella logistica, nella vendita al dettaglio, nella ristorazione, nella sanità e nei call center. Le piattaforme non hanno inventato la precarietà – hanno semplicemente sfruttato tutte le lacune esistenti nella legislazione sul lavoro e le hanno ulteriormente rafforzate con il controllo algoritmico e l’operatività transfrontaliera. Per questo la direttiva ci permette di colmare queste lacune non solo per il lavoro su piattaforma, ma per tutte le forme di lavoro in cui si manifestano gli stessi meccanismi di sfruttamento.</w:t>
      </w:r>
    </w:p>
    <w:p w:rsidRPr="00D90A18" w:rsidR="00983F19" w:rsidP="00750824" w:rsidRDefault="00000000" w14:paraId="5A73155F" w14:textId="42529446">
      <w:pPr>
        <w:jc w:val="both"/>
        <w:rPr>
          <w:rStyle w:val="Krepko"/>
        </w:rPr>
      </w:pPr>
      <w:r>
        <w:rPr>
          <w:rStyle w:val="Krepko"/>
        </w:rPr>
        <w:t xml:space="preserve">Perdere questa occasione non significa solo che </w:t>
      </w:r>
      <w:r>
        <w:rPr>
          <w:rStyle w:val="Krepko"/>
        </w:rPr>
        <w:t xml:space="preserve">i lavoratori </w:t>
      </w:r>
      <w:r>
        <w:rPr>
          <w:rStyle w:val="Krepko"/>
        </w:rPr>
        <w:t xml:space="preserve">delle piattaforme</w:t>
      </w:r>
      <w:r>
        <w:rPr>
          <w:rStyle w:val="Krepko"/>
        </w:rPr>
        <w:t xml:space="preserve"> rimangano </w:t>
      </w:r>
      <w:r>
        <w:rPr>
          <w:rStyle w:val="Krepko"/>
        </w:rPr>
        <w:t xml:space="preserve">senza protezione</w:t>
      </w:r>
      <w:r w:rsidR="00BB1A2F">
        <w:rPr>
          <w:rStyle w:val="Krepko"/>
        </w:rPr>
        <w:t xml:space="preserve">, </w:t>
      </w:r>
      <w:r>
        <w:rPr>
          <w:rStyle w:val="Krepko"/>
        </w:rPr>
        <w:t xml:space="preserve">ma che il loro modello diventi la nuova norma </w:t>
      </w:r>
      <w:r w:rsidR="00BB1A2F">
        <w:rPr>
          <w:rStyle w:val="Krepko"/>
        </w:rPr>
        <w:t xml:space="preserve">lavorativa per tutti</w:t>
      </w:r>
      <w:r>
        <w:rPr>
          <w:rStyle w:val="Krepko"/>
        </w:rPr>
        <w:t xml:space="preserve">.</w:t>
      </w:r>
    </w:p>
    <w:p w:rsidR="00D90A18" w:rsidP="00750824" w:rsidRDefault="00D90A18" w14:paraId="0C07D028" w14:textId="77777777">
      <w:pPr>
        <w:jc w:val="both"/>
      </w:pPr>
    </w:p>
    <w:p w:rsidR="00983F19" w:rsidP="00750824" w:rsidRDefault="00000000" w14:paraId="22C93E90" w14:textId="0D97D13C">
      <w:pPr>
        <w:jc w:val="both"/>
      </w:pPr>
      <w:r>
        <w:rPr>
          <w:rStyle w:val="Krepko"/>
        </w:rPr>
        <w:t xml:space="preserve">La scadenza è chiara: 2 dicembre 2026.</w:t>
      </w:r>
      <w:r>
        <w:t xml:space="preserve"> Dopo aver analizzato cinque paesi, tre contratti collettivi e strategie di elusione documentate, questo documento si conclude con una constatazione che è al tempo stesso un monito: le sfide dell’attuazione non sono imprevedibili </w:t>
      </w:r>
      <w:r w:rsidR="00D7386B">
        <w:t xml:space="preserve">– </w:t>
      </w:r>
      <w:r>
        <w:t xml:space="preserve">sono uno schema ricorrente che le piattaforme hanno già sperimentato in Spagna, Germania e altrove. I ministeri che agiscono in modo preventivo trasporranno la direttiva in modo efficace. I ministeri che aspettano la prima controversia ripeteranno l’esperienza belga: legge sulla carta, precarietà nella pratica.</w:t>
      </w:r>
    </w:p>
    <w:p w:rsidR="00D90A18" w:rsidP="00750824" w:rsidRDefault="00D90A18" w14:paraId="1D71DE5A" w14:textId="77777777">
      <w:pPr>
        <w:jc w:val="both"/>
      </w:pPr>
    </w:p>
    <w:p w:rsidR="00983F19" w:rsidP="00750824" w:rsidRDefault="00000000" w14:paraId="346BD37A" w14:textId="48F70648">
      <w:pPr>
        <w:jc w:val="both"/>
      </w:pPr>
      <w:r>
        <w:t xml:space="preserve">Il progetto SDDP </w:t>
      </w:r>
      <w:r w:rsidR="00D7386B">
        <w:t xml:space="preserve">– </w:t>
      </w:r>
      <w:r>
        <w:t xml:space="preserve">cinque paesi, la CES e le confederazioni sindacali partner, due anni di lavoro sul campo </w:t>
      </w:r>
      <w:r w:rsidR="00D7386B">
        <w:t xml:space="preserve">– </w:t>
      </w:r>
      <w:r>
        <w:t xml:space="preserve">ha offerto con questo documento raccomandazioni concrete e verificabili. Il consorzio rimane a disposizione di ogni Stato membro e di ogni parte sociale che desideri attuare la direttiva in modo da tutelare effettivamente coloro a cui </w:t>
      </w:r>
      <w:r>
        <w:t xml:space="preserve">essa si rivolge.</w:t>
      </w:r>
      <w:bookmarkEnd w:id="83"/>
    </w:p>
    <w:sectPr w:rsidR="00983F19">
      <w:footerReference w:type="default" r:id="rId8"/>
      <w:pgSz w:w="11906" w:h="16838"/>
      <w:pgMar w:top="144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779E" w:rsidRDefault="00AA779E" w14:paraId="14AEC7F3" w14:textId="77777777">
      <w:r>
        <w:separator/>
      </w:r>
    </w:p>
  </w:endnote>
  <w:endnote w:type="continuationSeparator" w:id="0">
    <w:p w:rsidR="00AA779E" w:rsidRDefault="00AA779E" w14:paraId="045AD2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30D3" w:rsidRDefault="007D30D3" w14:paraId="27F72AFB" w14:textId="517F802B">
    <w:pPr>
      <w:pStyle w:val="Noga"/>
    </w:pPr>
    <w:r>
      <w:rPr>
        <w:noProof/>
      </w:rPr>
      <w:drawing>
        <wp:inline distT="0" distB="0" distL="0" distR="0" wp14:anchorId="69CF034E" wp14:editId="0EAC88DC">
          <wp:extent cx="2513607" cy="525780"/>
          <wp:effectExtent l="0" t="0" r="0" b="7620"/>
          <wp:docPr id="14102094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209493" name="Slika 1410209493"/>
                  <pic:cNvPicPr/>
                </pic:nvPicPr>
                <pic:blipFill>
                  <a:blip r:embed="rId1">
                    <a:extLst>
                      <a:ext uri="{28A0092B-C50C-407E-A947-70E740481C1C}">
                        <a14:useLocalDpi xmlns:a14="http://schemas.microsoft.com/office/drawing/2010/main" val="0"/>
                      </a:ext>
                    </a:extLst>
                  </a:blip>
                  <a:stretch>
                    <a:fillRect/>
                  </a:stretch>
                </pic:blipFill>
                <pic:spPr>
                  <a:xfrm>
                    <a:off x="0" y="0"/>
                    <a:ext cx="2524927" cy="528148"/>
                  </a:xfrm>
                  <a:prstGeom prst="rect">
                    <a:avLst/>
                  </a:prstGeom>
                </pic:spPr>
              </pic:pic>
            </a:graphicData>
          </a:graphic>
        </wp:inline>
      </w:drawing>
    </w:r>
    <w:r>
      <w:tab/>
    </w:r>
    <w:r>
      <w:tab/>
    </w:r>
    <w:r>
      <w:rPr>
        <w:noProof/>
      </w:rPr>
      <w:drawing>
        <wp:inline distT="0" distB="0" distL="0" distR="0" wp14:anchorId="66E248D6" wp14:editId="24D34EB0">
          <wp:extent cx="1318260" cy="643872"/>
          <wp:effectExtent l="0" t="0" r="0" b="4445"/>
          <wp:docPr id="10789567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5670" name="Slika 107895670"/>
                  <pic:cNvPicPr/>
                </pic:nvPicPr>
                <pic:blipFill>
                  <a:blip r:embed="rId2">
                    <a:extLst>
                      <a:ext uri="{28A0092B-C50C-407E-A947-70E740481C1C}">
                        <a14:useLocalDpi xmlns:a14="http://schemas.microsoft.com/office/drawing/2010/main" val="0"/>
                      </a:ext>
                    </a:extLst>
                  </a:blip>
                  <a:stretch>
                    <a:fillRect/>
                  </a:stretch>
                </pic:blipFill>
                <pic:spPr>
                  <a:xfrm>
                    <a:off x="0" y="0"/>
                    <a:ext cx="1333079" cy="6511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779E" w:rsidRDefault="00AA779E" w14:paraId="3F50196E" w14:textId="77777777">
      <w:r>
        <w:separator/>
      </w:r>
    </w:p>
  </w:footnote>
  <w:footnote w:type="continuationSeparator" w:id="0">
    <w:p w:rsidR="00AA779E" w:rsidRDefault="00AA779E" w14:paraId="4F9902D5" w14:textId="77777777">
      <w:r>
        <w:continuationSeparator/>
      </w:r>
    </w:p>
  </w:footnote>
  <w:footnote w:id="1">
    <w:p w:rsidR="00983F19" w:rsidRDefault="00000000" w14:paraId="593AD28F" w14:textId="77777777">
      <w:pPr>
        <w:pStyle w:val="Sprotnaopomba-besedilo"/>
      </w:pPr>
      <w:r>
        <w:rPr>
          <w:rStyle w:val="Sprotnaopomba-sklic"/>
        </w:rPr>
        <w:footnoteRef/>
      </w:r>
      <w:r>
        <w:t xml:space="preserve"> Regolamento (UE) 2016/679 (GDPR), in particolare l’articolo 5 (principi di trattamento) e l’articolo 25 (protezione dei dati integrata e predefinita). L’anonimizzazione e l’aggregazione dei dati sono un requisito fondamentale per la conformità del registro al GDPR.</w:t>
      </w:r>
    </w:p>
  </w:footnote>
  <w:footnote w:id="2">
    <w:p w:rsidR="00983F19" w:rsidRDefault="00000000" w14:paraId="40ACB082" w14:textId="77777777">
      <w:pPr>
        <w:pStyle w:val="Sprotnaopomba-besedilo"/>
      </w:pPr>
      <w:r>
        <w:rPr>
          <w:rStyle w:val="Sprotnaopomba-sklic"/>
        </w:rPr>
        <w:footnoteRef/>
      </w:r>
      <w:r>
        <w:t xml:space="preserve"> Regolamento (UE) 2022/2065 sui servizi digitali (DSA), art. 13: i fornitori di servizi di intermediazione che non hanno sede nell’UE devono designare un rappresentante legale nell’Unione.</w:t>
      </w:r>
    </w:p>
  </w:footnote>
  <w:footnote w:id="3">
    <w:p w:rsidR="00983F19" w:rsidRDefault="00000000" w14:paraId="3BFC4F08" w14:textId="77777777">
      <w:pPr>
        <w:pStyle w:val="Sprotnaopomba-besedilo"/>
      </w:pPr>
      <w:r>
        <w:rPr>
          <w:rStyle w:val="Sprotnaopomba-sklic"/>
        </w:rPr>
        <w:footnoteRef/>
      </w:r>
      <w:r>
        <w:t xml:space="preserve"> Regolamento (CE) n. 593/2008 sulla legge applicabile alle obbligazioni contrattuali (Roma I), articolo 8: una clausola contrattuale relativa alla scelta di una legge straniera non può privare il lavoratore della tutela garantitagli dalle disposizioni imperative della legge dello Stato in cui o da cui il lavoratore svolge abitualmente la propria attività lavorativa.</w:t>
      </w:r>
    </w:p>
  </w:footnote>
  <w:footnote w:id="4">
    <w:p w:rsidR="00983F19" w:rsidRDefault="00000000" w14:paraId="5970BDA5" w14:textId="77777777">
      <w:pPr>
        <w:pStyle w:val="Sprotnaopomba-besedilo"/>
      </w:pPr>
      <w:r>
        <w:rPr>
          <w:rStyle w:val="Sprotnaopomba-sklic"/>
        </w:rPr>
        <w:footnoteRef/>
      </w:r>
      <w:r>
        <w:t xml:space="preserve"> Regolamento (UE) 2016/679 del Parlamento europeo e del Consiglio, del 27 aprile 2016, relativo alla protezione delle persone fisiche con riguardo al trattamento dei dati personali e alla libera circolazione di tali dati (GDPR). La direttiva UE 2024/2831 in materia di lavoro tramite piattaforme introduce disposizioni specifiche più rigorose.</w:t>
      </w:r>
    </w:p>
  </w:footnote>
  <w:footnote w:id="5">
    <w:p w:rsidR="00983F19" w:rsidRDefault="00000000" w14:paraId="552857AE" w14:textId="77777777">
      <w:pPr>
        <w:pStyle w:val="Sprotnaopomba-besedilo"/>
      </w:pPr>
      <w:r>
        <w:rPr>
          <w:rStyle w:val="Sprotnaopomba-sklic"/>
        </w:rPr>
        <w:footnoteRef/>
      </w:r>
      <w:r>
        <w:t xml:space="preserve"> GDPR, articolo 35, paragrafo 1: la valutazione d’impatto è obbligatoria quando il trattamento è suscettibile di comportare un rischio elevato. La direttiva considera tale rischio come implicito per ogni trattamento effettuato tramite AMDMS nel lavoro su piattaforma.</w:t>
      </w:r>
    </w:p>
  </w:footnote>
  <w:footnote w:id="6">
    <w:p w:rsidR="00983F19" w:rsidRDefault="00000000" w14:paraId="07B887E7" w14:textId="77777777">
      <w:pPr>
        <w:pStyle w:val="Sprotnaopomba-besedilo"/>
      </w:pPr>
      <w:r>
        <w:rPr>
          <w:rStyle w:val="Sprotnaopomba-sklic"/>
        </w:rPr>
        <w:footnoteRef/>
      </w:r>
      <w:r>
        <w:t xml:space="preserve"> Direttiva UE 2024/2831, articolo 26, paragrafo 2: la direttiva non pregiudica il diritto degli Stati membri di introdurre leggi più favorevoli o di promuovere contratti collettivi più favorevoli.</w:t>
      </w:r>
    </w:p>
  </w:footnote>
  <w:footnote w:id="7">
    <w:p w:rsidR="00983F19" w:rsidRDefault="00000000" w14:paraId="4D426CA7" w14:textId="77777777">
      <w:pPr>
        <w:pStyle w:val="Sprotnaopomba-besedilo"/>
      </w:pPr>
      <w:r>
        <w:rPr>
          <w:rStyle w:val="Sprotnaopomba-sklic"/>
        </w:rPr>
        <w:footnoteRef/>
      </w:r>
      <w:r>
        <w:t xml:space="preserve"> Ametowobla, D. e Kirchner, S. (2025). Varieties of platform capitalism? Socio-Economic Review, 23(2). Sistema flotta documentato in 41 piattaforme su 91.</w:t>
      </w:r>
    </w:p>
  </w:footnote>
  <w:footnote w:id="8">
    <w:p w:rsidR="00983F19" w:rsidRDefault="00000000" w14:paraId="084F244E" w14:textId="77777777">
      <w:pPr>
        <w:pStyle w:val="Sprotnaopomba-besedilo"/>
      </w:pPr>
      <w:r>
        <w:rPr>
          <w:rStyle w:val="Sprotnaopomba-sklic"/>
        </w:rPr>
        <w:footnoteRef/>
      </w:r>
      <w:r>
        <w:t xml:space="preserve"> Rinnovo dell’accordo integrativo aziendale, Takeaway.com Express Italy S.r.l. / FILT-CGIL, FIT-CISL, UILTRASPORTI. Firmato l’11–12 febbraio 2026.</w:t>
      </w:r>
    </w:p>
  </w:footnote>
  <w:footnote w:id="9">
    <w:p w:rsidR="00983F19" w:rsidRDefault="00000000" w14:paraId="5F306B72" w14:textId="77777777">
      <w:pPr>
        <w:pStyle w:val="Sprotnaopomba-besedilo"/>
      </w:pPr>
      <w:r>
        <w:rPr>
          <w:rStyle w:val="Sprotnaopomba-sklic"/>
        </w:rPr>
        <w:footnoteRef/>
      </w:r>
      <w:r>
        <w:t xml:space="preserve"> Contratto collettivo per i corrieri in bicicletta, Gewerkschaft vida. Validità: 1° gennaio 2023–30 settembre 2025. Disdetta: giugno 2025.</w:t>
      </w:r>
    </w:p>
  </w:footnote>
  <w:footnote w:id="10">
    <w:p w:rsidR="00983F19" w:rsidRDefault="00000000" w14:paraId="5F96ED92" w14:textId="77777777">
      <w:pPr>
        <w:pStyle w:val="Sprotnaopomba-besedilo"/>
      </w:pPr>
      <w:r>
        <w:rPr>
          <w:rStyle w:val="Sprotnaopomba-sklic"/>
        </w:rPr>
        <w:footnoteRef/>
      </w:r>
      <w:r>
        <w:t xml:space="preserve"> Direttiva UE 2024/2831, articolo 20: canali di comunicazione digitali per i lavoratori e i loro rappresentanti.</w:t>
      </w:r>
    </w:p>
  </w:footnote>
  <w:footnote w:id="11">
    <w:p w:rsidRPr="00016B3D" w:rsidR="00FC19E2" w:rsidRDefault="00000000" w14:paraId="3C24EF3A" w14:textId="77777777">
      <w:pPr>
        <w:rPr>
          <w:sz w:val="20"/>
          <w:szCs w:val="20"/>
        </w:rPr>
      </w:pPr>
      <w:r w:rsidRPr="00016B3D">
        <w:rPr>
          <w:sz w:val="16"/>
          <w:szCs w:val="16"/>
        </w:rPr>
        <w:footnoteRef/>
      </w:r>
      <w:r w:rsidRPr="00016B3D">
        <w:rPr>
          <w:sz w:val="20"/>
          <w:szCs w:val="20"/>
        </w:rPr>
        <w:t xml:space="preserve"> Direttiva (UE) 2024/2831, articolo 20: gli Stati membri garantiscono che le piattaforme di lavoro digitali consentano alle persone che svolgono lavoro tramite piattaforma di comunicare tra loro tramite infrastrutture digitali o mezzi altrettanto efficaci e di contattare i rappresentanti. Le piattaforme si astengono dall’accedere a tali comunicazioni o dal monitorarle.</w:t>
      </w:r>
    </w:p>
  </w:footnote>
  <w:footnote w:id="12">
    <w:p w:rsidR="00983F19" w:rsidRDefault="00000000" w14:paraId="6FFA6134" w14:textId="70429696">
      <w:pPr>
        <w:pStyle w:val="Sprotnaopomba-besedilo"/>
      </w:pPr>
      <w:r>
        <w:rPr>
          <w:rStyle w:val="Sprotnaopomba-sklic"/>
        </w:rPr>
        <w:footnoteRef/>
      </w:r>
      <w:r>
        <w:t xml:space="preserve"> Intermediazione del lavoro nella direttiva sul lavoro su piattaforma. Mika, B. e Polkowska, D. (2022). Il lavoro su richiesta nel capitalismo patchwork.</w:t>
      </w:r>
    </w:p>
  </w:footnote>
  <w:footnote w:id="13">
    <w:p w:rsidR="00983F19" w:rsidRDefault="00000000" w14:paraId="736FFFA0" w14:textId="77777777">
      <w:pPr>
        <w:pStyle w:val="Sprotnaopomba-besedilo"/>
      </w:pPr>
      <w:r>
        <w:rPr>
          <w:rStyle w:val="Sprotnaopomba-sklic"/>
        </w:rPr>
        <w:footnoteRef/>
      </w:r>
      <w:r>
        <w:t xml:space="preserve"> Vieira, T. e Mendonça, P. (2025). I tempi stanno cambiando? Socio-Economic Review, 23(2).</w:t>
      </w:r>
    </w:p>
  </w:footnote>
  <w:footnote w:id="14">
    <w:p w:rsidR="00983F19" w:rsidRDefault="00000000" w14:paraId="2AAE8128" w14:textId="77777777">
      <w:pPr>
        <w:pStyle w:val="Sprotnaopomba-besedilo"/>
      </w:pPr>
      <w:r>
        <w:rPr>
          <w:rStyle w:val="Sprotnaopomba-sklic"/>
        </w:rPr>
        <w:footnoteRef/>
      </w:r>
      <w:r>
        <w:t xml:space="preserve"> Direttiva sull’intermediazione del lavoro e sul lavoro su piattaforma, pag. 1: le piattaforme concettualizzate come entità camaleontiche.</w:t>
      </w:r>
    </w:p>
  </w:footnote>
  <w:footnote w:id="15">
    <w:p w:rsidR="00983F19" w:rsidRDefault="00000000" w14:paraId="039DA1E5" w14:textId="77777777">
      <w:pPr>
        <w:pStyle w:val="Sprotnaopomba-besedilo"/>
      </w:pPr>
      <w:r>
        <w:rPr>
          <w:rStyle w:val="Sprotnaopomba-sklic"/>
        </w:rPr>
        <w:footnoteRef/>
      </w:r>
      <w:r>
        <w:t xml:space="preserve"> Starčević, J. (2023). Il lavoro su piattaforma in Croazia e Serbia. Pag. 71: società di comodo e liste nere di Facebook.</w:t>
      </w:r>
    </w:p>
  </w:footnote>
  <w:footnote w:id="16">
    <w:p w:rsidR="00983F19" w:rsidRDefault="00000000" w14:paraId="515870CF" w14:textId="77777777">
      <w:pPr>
        <w:pStyle w:val="Sprotnaopomba-besedilo"/>
      </w:pPr>
      <w:r>
        <w:rPr>
          <w:rStyle w:val="Sprotnaopomba-sklic"/>
        </w:rPr>
        <w:footnoteRef/>
      </w:r>
      <w:r>
        <w:t xml:space="preserve"> NIdiL-CGIL Firenze: Proposta di raccomandazioni per l’attuazione della direttiva sul lavoro su piattaforma (2025). Punto 8.4: il rischio di uno status di terzo.</w:t>
      </w:r>
    </w:p>
  </w:footnote>
  <w:footnote w:id="17">
    <w:p w:rsidR="00983F19" w:rsidRDefault="00000000" w14:paraId="48EC8BE4" w14:textId="77777777">
      <w:pPr>
        <w:pStyle w:val="Sprotnaopomba-besedilo"/>
      </w:pPr>
      <w:r>
        <w:rPr>
          <w:rStyle w:val="Sprotnaopomba-sklic"/>
        </w:rPr>
        <w:footnoteRef/>
      </w:r>
      <w:r>
        <w:t xml:space="preserve"> Fairwork (2025). Fairwork Germany Ratings 2025. Pp. 30–31: subappaltatori che trattengono gli stipendi dei lavoratori migranti.</w:t>
      </w:r>
    </w:p>
  </w:footnote>
  <w:footnote w:id="18">
    <w:p w:rsidR="00983F19" w:rsidRDefault="00000000" w14:paraId="35BF89BD" w14:textId="77777777">
      <w:pPr>
        <w:pStyle w:val="Sprotnaopomba-besedilo"/>
      </w:pPr>
      <w:r>
        <w:rPr>
          <w:rStyle w:val="Sprotnaopomba-sklic"/>
        </w:rPr>
        <w:footnoteRef/>
      </w:r>
      <w:r>
        <w:t xml:space="preserve"> Gruppo di esperti della CE: Relazione del gruppo di esperti sul recepimento della direttiva (UE) 2024/2831, gennaio 2026. Considerando 30.</w:t>
      </w:r>
    </w:p>
  </w:footnote>
  <w:footnote w:id="19">
    <w:p w:rsidR="00983F19" w:rsidRDefault="00000000" w14:paraId="1013DE52" w14:textId="77777777">
      <w:pPr>
        <w:pStyle w:val="Sprotnaopomba-besedilo"/>
      </w:pPr>
      <w:r>
        <w:rPr>
          <w:rStyle w:val="Sprotnaopomba-sklic"/>
        </w:rPr>
        <w:footnoteRef/>
      </w:r>
      <w:r>
        <w:t xml:space="preserve"> Direttiva UE 2024/2831, articolo 24, paragrafo 4: cooperazione transfrontaliera tra le autorità competenti.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354F0C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0390FD9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128A7BF6"/>
    <w:multiLevelType w:val="hybridMultilevel"/>
    <w:tmpl w:val="2160C404"/>
    <w:lvl w:ilvl="0" w:tplc="076896B4">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F7A6A2E"/>
    <w:multiLevelType w:val="hybridMultilevel"/>
    <w:tmpl w:val="8F1220A6"/>
    <w:lvl w:ilvl="0" w:tplc="096CC94E">
      <w:start w:val="1"/>
      <w:numFmt w:val="bullet"/>
      <w:lvlText w:val="●"/>
      <w:lvlJc w:val="left"/>
      <w:pPr>
        <w:ind w:left="720" w:hanging="360"/>
      </w:pPr>
    </w:lvl>
    <w:lvl w:ilvl="1" w:tplc="3760EED0">
      <w:start w:val="1"/>
      <w:numFmt w:val="bullet"/>
      <w:lvlText w:val="○"/>
      <w:lvlJc w:val="left"/>
      <w:pPr>
        <w:ind w:left="1440" w:hanging="360"/>
      </w:pPr>
    </w:lvl>
    <w:lvl w:ilvl="2" w:tplc="2F80938E">
      <w:start w:val="1"/>
      <w:numFmt w:val="bullet"/>
      <w:lvlText w:val="■"/>
      <w:lvlJc w:val="left"/>
      <w:pPr>
        <w:ind w:left="2160" w:hanging="360"/>
      </w:pPr>
    </w:lvl>
    <w:lvl w:ilvl="3" w:tplc="142C3356">
      <w:start w:val="1"/>
      <w:numFmt w:val="bullet"/>
      <w:lvlText w:val="●"/>
      <w:lvlJc w:val="left"/>
      <w:pPr>
        <w:ind w:left="2880" w:hanging="360"/>
      </w:pPr>
    </w:lvl>
    <w:lvl w:ilvl="4" w:tplc="BE486E12">
      <w:start w:val="1"/>
      <w:numFmt w:val="bullet"/>
      <w:lvlText w:val="○"/>
      <w:lvlJc w:val="left"/>
      <w:pPr>
        <w:ind w:left="3600" w:hanging="360"/>
      </w:pPr>
    </w:lvl>
    <w:lvl w:ilvl="5" w:tplc="35FA1DAC">
      <w:start w:val="1"/>
      <w:numFmt w:val="bullet"/>
      <w:lvlText w:val="■"/>
      <w:lvlJc w:val="left"/>
      <w:pPr>
        <w:ind w:left="4320" w:hanging="360"/>
      </w:pPr>
    </w:lvl>
    <w:lvl w:ilvl="6" w:tplc="99B05B28">
      <w:start w:val="1"/>
      <w:numFmt w:val="bullet"/>
      <w:lvlText w:val="●"/>
      <w:lvlJc w:val="left"/>
      <w:pPr>
        <w:ind w:left="5040" w:hanging="360"/>
      </w:pPr>
    </w:lvl>
    <w:lvl w:ilvl="7" w:tplc="8A2AF95A">
      <w:start w:val="1"/>
      <w:numFmt w:val="bullet"/>
      <w:lvlText w:val="●"/>
      <w:lvlJc w:val="left"/>
      <w:pPr>
        <w:ind w:left="5760" w:hanging="360"/>
      </w:pPr>
    </w:lvl>
    <w:lvl w:ilvl="8" w:tplc="9C38A386">
      <w:start w:val="1"/>
      <w:numFmt w:val="bullet"/>
      <w:lvlText w:val="●"/>
      <w:lvlJc w:val="left"/>
      <w:pPr>
        <w:ind w:left="6480" w:hanging="360"/>
      </w:pPr>
    </w:lvl>
  </w:abstractNum>
  <w:abstractNum w:abstractNumId="4" w15:restartNumberingAfterBreak="0">
    <w:nsid w:val="693609F4"/>
    <w:multiLevelType w:val="hybridMultilevel"/>
    <w:tmpl w:val="FFBA1DBA"/>
    <w:lvl w:ilvl="0" w:tplc="18C8FE5E">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34398708">
    <w:abstractNumId w:val="3"/>
    <w:lvlOverride w:ilvl="0">
      <w:startOverride w:val="1"/>
    </w:lvlOverride>
  </w:num>
  <w:num w:numId="2" w16cid:durableId="952592849">
    <w:abstractNumId w:val="0"/>
  </w:num>
  <w:num w:numId="3" w16cid:durableId="1977680526">
    <w:abstractNumId w:val="1"/>
  </w:num>
  <w:num w:numId="4" w16cid:durableId="1868640215">
    <w:abstractNumId w:val="1"/>
  </w:num>
  <w:num w:numId="5" w16cid:durableId="2032684937">
    <w:abstractNumId w:val="4"/>
  </w:num>
  <w:num w:numId="6" w16cid:durableId="1026100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F19"/>
    <w:rsid w:val="000052A5"/>
    <w:rsid w:val="00016B3D"/>
    <w:rsid w:val="000617C4"/>
    <w:rsid w:val="00061B6E"/>
    <w:rsid w:val="00084394"/>
    <w:rsid w:val="00096C72"/>
    <w:rsid w:val="000B201C"/>
    <w:rsid w:val="000D74B6"/>
    <w:rsid w:val="000F63BC"/>
    <w:rsid w:val="0013617B"/>
    <w:rsid w:val="001627FA"/>
    <w:rsid w:val="00191599"/>
    <w:rsid w:val="001B1A93"/>
    <w:rsid w:val="001E67F7"/>
    <w:rsid w:val="0021360E"/>
    <w:rsid w:val="00247A59"/>
    <w:rsid w:val="00297684"/>
    <w:rsid w:val="002A147E"/>
    <w:rsid w:val="0030041A"/>
    <w:rsid w:val="00304218"/>
    <w:rsid w:val="00304B8F"/>
    <w:rsid w:val="003134E5"/>
    <w:rsid w:val="00320506"/>
    <w:rsid w:val="00352350"/>
    <w:rsid w:val="0036704F"/>
    <w:rsid w:val="00370D81"/>
    <w:rsid w:val="003A5607"/>
    <w:rsid w:val="003D2CF3"/>
    <w:rsid w:val="003F2469"/>
    <w:rsid w:val="00471B0E"/>
    <w:rsid w:val="00492887"/>
    <w:rsid w:val="00494E86"/>
    <w:rsid w:val="004A4679"/>
    <w:rsid w:val="004F26A1"/>
    <w:rsid w:val="005418CA"/>
    <w:rsid w:val="00557445"/>
    <w:rsid w:val="00583744"/>
    <w:rsid w:val="005B4341"/>
    <w:rsid w:val="005C5C0F"/>
    <w:rsid w:val="005D1CAF"/>
    <w:rsid w:val="00615AD5"/>
    <w:rsid w:val="00615F18"/>
    <w:rsid w:val="00645F58"/>
    <w:rsid w:val="00677FF5"/>
    <w:rsid w:val="006928D1"/>
    <w:rsid w:val="0069475D"/>
    <w:rsid w:val="006B029C"/>
    <w:rsid w:val="006E6A4A"/>
    <w:rsid w:val="006F2B87"/>
    <w:rsid w:val="00750824"/>
    <w:rsid w:val="00775A45"/>
    <w:rsid w:val="0078378B"/>
    <w:rsid w:val="00792F1C"/>
    <w:rsid w:val="007D30D3"/>
    <w:rsid w:val="00827187"/>
    <w:rsid w:val="00844626"/>
    <w:rsid w:val="0086131C"/>
    <w:rsid w:val="00873676"/>
    <w:rsid w:val="00885168"/>
    <w:rsid w:val="008920C5"/>
    <w:rsid w:val="008A2B03"/>
    <w:rsid w:val="008A4BD4"/>
    <w:rsid w:val="008A7718"/>
    <w:rsid w:val="008C7863"/>
    <w:rsid w:val="008F0A64"/>
    <w:rsid w:val="008F1CB6"/>
    <w:rsid w:val="008F70CF"/>
    <w:rsid w:val="00902859"/>
    <w:rsid w:val="00944A43"/>
    <w:rsid w:val="00954281"/>
    <w:rsid w:val="009742D7"/>
    <w:rsid w:val="00983F19"/>
    <w:rsid w:val="009870EF"/>
    <w:rsid w:val="00987363"/>
    <w:rsid w:val="009B7FA3"/>
    <w:rsid w:val="009C0D64"/>
    <w:rsid w:val="009E2CF3"/>
    <w:rsid w:val="009F3F9C"/>
    <w:rsid w:val="00A14D12"/>
    <w:rsid w:val="00A16E80"/>
    <w:rsid w:val="00A25A76"/>
    <w:rsid w:val="00A275F6"/>
    <w:rsid w:val="00A55B3A"/>
    <w:rsid w:val="00A56C5B"/>
    <w:rsid w:val="00A60485"/>
    <w:rsid w:val="00A60CFC"/>
    <w:rsid w:val="00AA779E"/>
    <w:rsid w:val="00AC6992"/>
    <w:rsid w:val="00B11C0F"/>
    <w:rsid w:val="00B33E59"/>
    <w:rsid w:val="00B357A5"/>
    <w:rsid w:val="00B833F8"/>
    <w:rsid w:val="00BB1A2F"/>
    <w:rsid w:val="00BB574B"/>
    <w:rsid w:val="00BD3FB5"/>
    <w:rsid w:val="00BD4E18"/>
    <w:rsid w:val="00C60A82"/>
    <w:rsid w:val="00C91807"/>
    <w:rsid w:val="00CB6C6D"/>
    <w:rsid w:val="00CB75BF"/>
    <w:rsid w:val="00CE0CAD"/>
    <w:rsid w:val="00CF3B80"/>
    <w:rsid w:val="00D10C79"/>
    <w:rsid w:val="00D17094"/>
    <w:rsid w:val="00D21719"/>
    <w:rsid w:val="00D7386B"/>
    <w:rsid w:val="00D90A18"/>
    <w:rsid w:val="00DB0B6E"/>
    <w:rsid w:val="00DB7748"/>
    <w:rsid w:val="00DC4393"/>
    <w:rsid w:val="00DC6DE9"/>
    <w:rsid w:val="00DF6109"/>
    <w:rsid w:val="00E11794"/>
    <w:rsid w:val="00E11FBD"/>
    <w:rsid w:val="00E56EFA"/>
    <w:rsid w:val="00E57F82"/>
    <w:rsid w:val="00E872A3"/>
    <w:rsid w:val="00E923E8"/>
    <w:rsid w:val="00EA618C"/>
    <w:rsid w:val="00EB5A7D"/>
    <w:rsid w:val="00F067CA"/>
    <w:rsid w:val="00F16419"/>
    <w:rsid w:val="00F2296E"/>
    <w:rsid w:val="00F2754C"/>
    <w:rsid w:val="00FA3434"/>
    <w:rsid w:val="00FC19E2"/>
    <w:rsid w:val="00FD0595"/>
    <w:rsid w:val="00FF3A12"/>
    <w:rsid w:val="00FF4B8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F99BD"/>
  <w15:docId w15:val="{202E13D6-9D18-4B92-AC1C-FCB4ACE1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link w:val="Naslov1Znak"/>
    <w:uiPriority w:val="9"/>
    <w:qFormat/>
    <w:pPr>
      <w:spacing w:before="400" w:after="240"/>
      <w:outlineLvl w:val="0"/>
    </w:pPr>
    <w:rPr>
      <w:b/>
      <w:bCs/>
      <w:color w:val="1F3864"/>
      <w:sz w:val="36"/>
      <w:szCs w:val="36"/>
    </w:rPr>
  </w:style>
  <w:style w:type="paragraph" w:styleId="Naslov2">
    <w:name w:val="heading 2"/>
    <w:uiPriority w:val="9"/>
    <w:unhideWhenUsed/>
    <w:qFormat/>
    <w:pPr>
      <w:spacing w:before="300" w:after="160"/>
      <w:outlineLvl w:val="1"/>
    </w:pPr>
    <w:rPr>
      <w:b/>
      <w:bCs/>
      <w:color w:val="2E75B6"/>
      <w:sz w:val="28"/>
      <w:szCs w:val="28"/>
    </w:rPr>
  </w:style>
  <w:style w:type="paragraph" w:styleId="Naslov3">
    <w:name w:val="heading 3"/>
    <w:uiPriority w:val="9"/>
    <w:unhideWhenUsed/>
    <w:qFormat/>
    <w:pPr>
      <w:spacing w:before="200" w:after="120"/>
      <w:outlineLvl w:val="2"/>
    </w:pPr>
    <w:rPr>
      <w:b/>
      <w:bCs/>
      <w:color w:val="1F5C99"/>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link w:val="NaslovZnak"/>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Blokbesedila">
    <w:name w:val="Block Text"/>
    <w:qFormat/>
    <w:pPr>
      <w:pBdr>
        <w:left w:val="thick" w:sz="18" w:space="10" w:color="1F5C99"/>
      </w:pBdr>
      <w:spacing w:before="60" w:after="60"/>
      <w:ind w:left="360" w:right="360"/>
      <w:jc w:val="both"/>
    </w:pPr>
    <w:rPr>
      <w:color w:val="666666"/>
      <w:sz w:val="22"/>
      <w:szCs w:val="22"/>
    </w:rPr>
  </w:style>
  <w:style w:type="paragraph" w:customStyle="1" w:styleId="RedBlock">
    <w:name w:val="Red Block"/>
    <w:qFormat/>
    <w:pPr>
      <w:pBdr>
        <w:left w:val="thick" w:sz="18" w:space="10" w:color="C00000"/>
      </w:pBdr>
      <w:spacing w:before="60" w:after="60"/>
      <w:ind w:left="360" w:right="360"/>
      <w:jc w:val="both"/>
    </w:pPr>
    <w:rPr>
      <w:color w:val="C00000"/>
      <w:sz w:val="22"/>
      <w:szCs w:val="22"/>
    </w:rPr>
  </w:style>
  <w:style w:type="paragraph" w:styleId="Kazalovsebine1">
    <w:name w:val="toc 1"/>
    <w:basedOn w:val="Navaden"/>
    <w:next w:val="Navaden"/>
    <w:autoRedefine/>
    <w:uiPriority w:val="39"/>
    <w:unhideWhenUsed/>
    <w:rsid w:val="00D90A18"/>
    <w:pPr>
      <w:spacing w:after="100"/>
    </w:pPr>
  </w:style>
  <w:style w:type="paragraph" w:styleId="Kazalovsebine2">
    <w:name w:val="toc 2"/>
    <w:basedOn w:val="Navaden"/>
    <w:next w:val="Navaden"/>
    <w:autoRedefine/>
    <w:uiPriority w:val="39"/>
    <w:unhideWhenUsed/>
    <w:rsid w:val="00D90A18"/>
    <w:pPr>
      <w:spacing w:after="100"/>
      <w:ind w:left="240"/>
    </w:pPr>
  </w:style>
  <w:style w:type="character" w:customStyle="1" w:styleId="NaslovZnak">
    <w:name w:val="Naslov Znak"/>
    <w:basedOn w:val="Privzetapisavaodstavka"/>
    <w:link w:val="Naslov"/>
    <w:rsid w:val="00D90A18"/>
    <w:rPr>
      <w:sz w:val="56"/>
      <w:szCs w:val="56"/>
    </w:rPr>
  </w:style>
  <w:style w:type="paragraph" w:customStyle="1" w:styleId="Author">
    <w:name w:val="Author"/>
    <w:next w:val="Telobesedila"/>
    <w:qFormat/>
    <w:rsid w:val="00D90A18"/>
    <w:pPr>
      <w:keepNext/>
      <w:keepLines/>
      <w:spacing w:after="200"/>
      <w:jc w:val="center"/>
    </w:pPr>
    <w:rPr>
      <w:rFonts w:asciiTheme="minorHAnsi" w:eastAsiaTheme="minorHAnsi" w:hAnsiTheme="minorHAnsi" w:cstheme="minorBidi"/>
      <w:lang w:val="sl" w:eastAsia="en-US"/>
    </w:rPr>
  </w:style>
  <w:style w:type="paragraph" w:styleId="Datum">
    <w:name w:val="Date"/>
    <w:next w:val="Telobesedila"/>
    <w:link w:val="DatumZnak"/>
    <w:qFormat/>
    <w:rsid w:val="00D90A18"/>
    <w:pPr>
      <w:keepNext/>
      <w:keepLines/>
      <w:spacing w:after="200"/>
      <w:jc w:val="center"/>
    </w:pPr>
    <w:rPr>
      <w:rFonts w:asciiTheme="minorHAnsi" w:eastAsiaTheme="minorHAnsi" w:hAnsiTheme="minorHAnsi" w:cstheme="minorBidi"/>
      <w:lang w:val="sl" w:eastAsia="en-US"/>
    </w:rPr>
  </w:style>
  <w:style w:type="character" w:customStyle="1" w:styleId="DatumZnak">
    <w:name w:val="Datum Znak"/>
    <w:basedOn w:val="Privzetapisavaodstavka"/>
    <w:link w:val="Datum"/>
    <w:rsid w:val="00D90A18"/>
    <w:rPr>
      <w:rFonts w:asciiTheme="minorHAnsi" w:eastAsiaTheme="minorHAnsi" w:hAnsiTheme="minorHAnsi" w:cstheme="minorBidi"/>
      <w:lang w:val="sl" w:eastAsia="en-US"/>
    </w:rPr>
  </w:style>
  <w:style w:type="paragraph" w:styleId="Telobesedila">
    <w:name w:val="Body Text"/>
    <w:basedOn w:val="Navaden"/>
    <w:link w:val="TelobesedilaZnak"/>
    <w:uiPriority w:val="99"/>
    <w:unhideWhenUsed/>
    <w:rsid w:val="00D90A18"/>
    <w:pPr>
      <w:spacing w:after="120"/>
    </w:pPr>
  </w:style>
  <w:style w:type="character" w:customStyle="1" w:styleId="TelobesedilaZnak">
    <w:name w:val="Telo besedila Znak"/>
    <w:basedOn w:val="Privzetapisavaodstavka"/>
    <w:link w:val="Telobesedila"/>
    <w:uiPriority w:val="99"/>
    <w:rsid w:val="00D90A18"/>
  </w:style>
  <w:style w:type="character" w:styleId="Intenzivensklic">
    <w:name w:val="Intense Reference"/>
    <w:basedOn w:val="Privzetapisavaodstavka"/>
    <w:uiPriority w:val="32"/>
    <w:qFormat/>
    <w:rsid w:val="00D90A18"/>
    <w:rPr>
      <w:b/>
      <w:bCs/>
      <w:smallCaps/>
      <w:color w:val="4F81BD" w:themeColor="accent1"/>
      <w:spacing w:val="5"/>
    </w:rPr>
  </w:style>
  <w:style w:type="character" w:customStyle="1" w:styleId="Naslov1Znak">
    <w:name w:val="Naslov 1 Znak"/>
    <w:basedOn w:val="Privzetapisavaodstavka"/>
    <w:link w:val="Naslov1"/>
    <w:uiPriority w:val="9"/>
    <w:rsid w:val="00D90A18"/>
    <w:rPr>
      <w:b/>
      <w:bCs/>
      <w:color w:val="1F3864"/>
      <w:sz w:val="36"/>
      <w:szCs w:val="36"/>
    </w:rPr>
  </w:style>
  <w:style w:type="character" w:styleId="Neenpoudarek">
    <w:name w:val="Subtle Emphasis"/>
    <w:basedOn w:val="Privzetapisavaodstavka"/>
    <w:uiPriority w:val="19"/>
    <w:qFormat/>
    <w:rsid w:val="00D90A18"/>
    <w:rPr>
      <w:i/>
      <w:iCs/>
      <w:color w:val="404040" w:themeColor="text1" w:themeTint="BF"/>
    </w:rPr>
  </w:style>
  <w:style w:type="character" w:styleId="Poudarek">
    <w:name w:val="Emphasis"/>
    <w:basedOn w:val="Privzetapisavaodstavka"/>
    <w:uiPriority w:val="20"/>
    <w:qFormat/>
    <w:rsid w:val="00D90A18"/>
    <w:rPr>
      <w:i/>
      <w:iCs/>
    </w:rPr>
  </w:style>
  <w:style w:type="character" w:styleId="Krepko">
    <w:name w:val="Strong"/>
    <w:basedOn w:val="Privzetapisavaodstavka"/>
    <w:uiPriority w:val="22"/>
    <w:qFormat/>
    <w:rsid w:val="00D90A18"/>
    <w:rPr>
      <w:b/>
      <w:bCs/>
    </w:rPr>
  </w:style>
  <w:style w:type="paragraph" w:styleId="Revizija">
    <w:name w:val="Revision"/>
    <w:hidden/>
    <w:uiPriority w:val="99"/>
    <w:semiHidden/>
    <w:rsid w:val="0013617B"/>
  </w:style>
  <w:style w:type="character" w:styleId="Pripombasklic">
    <w:name w:val="annotation reference"/>
    <w:basedOn w:val="Privzetapisavaodstavka"/>
    <w:uiPriority w:val="99"/>
    <w:semiHidden/>
    <w:unhideWhenUsed/>
    <w:rsid w:val="00EA618C"/>
    <w:rPr>
      <w:sz w:val="16"/>
      <w:szCs w:val="16"/>
    </w:rPr>
  </w:style>
  <w:style w:type="paragraph" w:styleId="Pripombabesedilo">
    <w:name w:val="annotation text"/>
    <w:basedOn w:val="Navaden"/>
    <w:link w:val="PripombabesediloZnak"/>
    <w:uiPriority w:val="99"/>
    <w:semiHidden/>
    <w:unhideWhenUsed/>
    <w:rsid w:val="00EA618C"/>
    <w:rPr>
      <w:sz w:val="20"/>
      <w:szCs w:val="20"/>
    </w:rPr>
  </w:style>
  <w:style w:type="character" w:customStyle="1" w:styleId="PripombabesediloZnak">
    <w:name w:val="Pripomba – besedilo Znak"/>
    <w:basedOn w:val="Privzetapisavaodstavka"/>
    <w:link w:val="Pripombabesedilo"/>
    <w:uiPriority w:val="99"/>
    <w:semiHidden/>
    <w:rsid w:val="00EA618C"/>
    <w:rPr>
      <w:sz w:val="20"/>
      <w:szCs w:val="20"/>
    </w:rPr>
  </w:style>
  <w:style w:type="paragraph" w:styleId="Zadevapripombe">
    <w:name w:val="annotation subject"/>
    <w:basedOn w:val="Pripombabesedilo"/>
    <w:next w:val="Pripombabesedilo"/>
    <w:link w:val="ZadevapripombeZnak"/>
    <w:uiPriority w:val="99"/>
    <w:semiHidden/>
    <w:unhideWhenUsed/>
    <w:rsid w:val="00EA618C"/>
    <w:rPr>
      <w:b/>
      <w:bCs/>
    </w:rPr>
  </w:style>
  <w:style w:type="character" w:customStyle="1" w:styleId="ZadevapripombeZnak">
    <w:name w:val="Zadeva pripombe Znak"/>
    <w:basedOn w:val="PripombabesediloZnak"/>
    <w:link w:val="Zadevapripombe"/>
    <w:uiPriority w:val="99"/>
    <w:semiHidden/>
    <w:rsid w:val="00EA618C"/>
    <w:rPr>
      <w:b/>
      <w:bCs/>
      <w:sz w:val="20"/>
      <w:szCs w:val="20"/>
    </w:rPr>
  </w:style>
  <w:style w:type="paragraph" w:styleId="Glava">
    <w:name w:val="header"/>
    <w:basedOn w:val="Navaden"/>
    <w:link w:val="GlavaZnak"/>
    <w:uiPriority w:val="99"/>
    <w:unhideWhenUsed/>
    <w:rsid w:val="007D30D3"/>
    <w:pPr>
      <w:tabs>
        <w:tab w:val="center" w:pos="4536"/>
        <w:tab w:val="right" w:pos="9072"/>
      </w:tabs>
    </w:pPr>
  </w:style>
  <w:style w:type="character" w:customStyle="1" w:styleId="GlavaZnak">
    <w:name w:val="Glava Znak"/>
    <w:basedOn w:val="Privzetapisavaodstavka"/>
    <w:link w:val="Glava"/>
    <w:uiPriority w:val="99"/>
    <w:rsid w:val="007D30D3"/>
  </w:style>
  <w:style w:type="paragraph" w:styleId="Noga">
    <w:name w:val="footer"/>
    <w:basedOn w:val="Navaden"/>
    <w:link w:val="NogaZnak"/>
    <w:uiPriority w:val="99"/>
    <w:unhideWhenUsed/>
    <w:rsid w:val="007D30D3"/>
    <w:pPr>
      <w:tabs>
        <w:tab w:val="center" w:pos="4536"/>
        <w:tab w:val="right" w:pos="9072"/>
      </w:tabs>
    </w:pPr>
  </w:style>
  <w:style w:type="character" w:customStyle="1" w:styleId="NogaZnak">
    <w:name w:val="Noga Znak"/>
    <w:basedOn w:val="Privzetapisavaodstavka"/>
    <w:link w:val="Noga"/>
    <w:uiPriority w:val="99"/>
    <w:rsid w:val="007D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D50D2A4-60D7-4EFB-AFA4-727AB02B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57</Pages>
  <Words>22165</Words>
  <Characters>126344</Characters>
  <Application>Microsoft Office Word</Application>
  <DocSecurity>0</DocSecurity>
  <Lines>1052</Lines>
  <Paragraphs>296</Paragraphs>
  <ScaleCrop>false</ScaleCrop>
  <HeadingPairs>
    <vt:vector size="2" baseType="variant">
      <vt:variant>
        <vt:lpstr>Naslov</vt:lpstr>
      </vt:variant>
      <vt:variant>
        <vt:i4>1</vt:i4>
      </vt:variant>
    </vt:vector>
  </HeadingPairs>
  <TitlesOfParts>
    <vt:vector size="1" baseType="lpstr">
      <vt:lpstr>Priporočila za implementacijo Direktive (EU) 2024/2831 o izboljšanju delovnih pogojev v platformnem delu</vt:lpstr>
    </vt:vector>
  </TitlesOfParts>
  <Company/>
  <LinksUpToDate>false</LinksUpToDate>
  <CharactersWithSpaces>148213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Priporočila za implementacijo Direktive (EU) 2024/2831 o izboljšanju delovnih pogojev v platformnem delu</dc:title>
  <dc:subject>Predajni dokument projekta SDDP (D3.1)</dc:subject>
  <dc:creator>SDDP konzorcij: ZSSS, ETUC, ÖGB, CGIL, UIL</dc:creator>
  <keywords>platformno delo, direktiva, socialni dialog, algoritmično upravljanje, docId:CC3A1771238E911AC81ADD07D258CC8C</keywords>
  <lastModifiedBy>Mladi Plus</lastModifiedBy>
  <revision>86</revision>
  <dcterms:created xsi:type="dcterms:W3CDTF">2026-02-25T00:00:00.0000000Z</dcterms:created>
  <dcterms:modified xsi:type="dcterms:W3CDTF">2026-09-09T10:14:00.0000000Z</dcterms:modified>
</coreProperties>
</file>