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A18" w:rsidP="00750824" w:rsidRDefault="00D90A18" w14:paraId="5A9BF215" w14:textId="77777777">
      <w:pPr>
        <w:jc w:val="both"/>
      </w:pPr>
    </w:p>
    <w:p w:rsidR="00BD3FB5" w:rsidP="00750824" w:rsidRDefault="00D90A18" w14:paraId="2BA2F456" w14:textId="375C769E">
      <w:pPr>
        <w:pStyle w:val="Naslov"/>
        <w:jc w:val="center"/>
        <w:rPr>
          <w:rStyle w:val="Intenzivensklic"/>
          <w:b w:val="0"/>
          <w:bCs w:val="0"/>
          <w:i/>
          <w:iCs/>
          <w:u w:val="single"/>
        </w:rPr>
      </w:pPr>
      <w:r>
        <w:rPr>
          <w:rStyle w:val="Intenzivensklic"/>
          <w:b w:val="0"/>
          <w:bCs w:val="0"/>
          <w:i/>
          <w:iCs/>
          <w:u w:val="single"/>
        </w:rPr>
        <w:t xml:space="preserve">Aanbevelingen voor de tenuitvoerlegging van Richtlijn (EU) 2024/2831</w:t>
      </w:r>
    </w:p>
    <w:p w:rsidR="00D90A18" w:rsidP="00750824" w:rsidRDefault="00D90A18" w14:paraId="25843F84" w14:textId="77777777">
      <w:pPr>
        <w:pStyle w:val="Naslov"/>
        <w:jc w:val="center"/>
        <w:rPr>
          <w:rStyle w:val="Intenzivensklic"/>
          <w:b w:val="0"/>
          <w:bCs w:val="0"/>
          <w:i/>
          <w:iCs/>
          <w:u w:val="single"/>
        </w:rPr>
      </w:pPr>
      <w:r>
        <w:rPr>
          <w:rStyle w:val="Intenzivensklic"/>
          <w:b w:val="0"/>
          <w:bCs w:val="0"/>
          <w:i/>
          <w:iCs/>
          <w:u w:val="single"/>
        </w:rPr>
        <w:t xml:space="preserve">inzake de verbetering van de arbeidsomstandigheden in </w:t>
      </w:r>
      <w:r>
        <w:rPr>
          <w:rStyle w:val="Intenzivensklic"/>
          <w:b w:val="0"/>
          <w:bCs w:val="0"/>
          <w:i/>
          <w:iCs/>
          <w:u w:val="single"/>
        </w:rPr>
        <w:t xml:space="preserve">platformwerk</w:t>
      </w:r>
    </w:p>
    <w:p w:rsidRPr="00BD3FB5" w:rsidR="00A60CFC" w:rsidP="00750824" w:rsidRDefault="00A60CFC" w14:paraId="12B3F942" w14:textId="77777777">
      <w:pPr>
        <w:pStyle w:val="Naslov"/>
        <w:jc w:val="center"/>
        <w:rPr>
          <w:rStyle w:val="Intenzivensklic"/>
          <w:b w:val="0"/>
          <w:bCs w:val="0"/>
          <w:i/>
          <w:iCs/>
          <w:u w:val="single"/>
        </w:rPr>
      </w:pPr>
    </w:p>
    <w:p w:rsidRPr="00D90A18" w:rsidR="00D90A18" w:rsidP="00750824" w:rsidRDefault="00D90A18" w14:paraId="5D856E3D" w14:textId="77777777">
      <w:pPr>
        <w:pStyle w:val="Naslov"/>
        <w:jc w:val="center"/>
        <w:rPr>
          <w:rStyle w:val="Intenzivensklic"/>
        </w:rPr>
      </w:pPr>
    </w:p>
    <w:p w:rsidR="00D90A18" w:rsidP="00750824" w:rsidRDefault="00D90A18" w14:paraId="62E2F858" w14:textId="3725485B">
      <w:pPr>
        <w:pStyle w:val="Author"/>
      </w:pPr>
      <w:r>
        <w:t xml:space="preserve">SDDP-consortium </w:t>
      </w:r>
      <w:r w:rsidR="00D7386B">
        <w:t xml:space="preserve">– </w:t>
      </w:r>
      <w:r>
        <w:t xml:space="preserve">ZSSS, ÖGB, CGIL, OPZZ, ABVV-FTB, in samenwerking met ETUC</w:t>
      </w:r>
    </w:p>
    <w:p w:rsidR="00D90A18" w:rsidP="00750824" w:rsidRDefault="00D90A18" w14:paraId="2C3A4E1A" w14:textId="5D40D7A6">
      <w:pPr>
        <w:pStyle w:val="Datum"/>
      </w:pPr>
      <w:r>
        <w:t xml:space="preserve">Februari 2026</w:t>
      </w:r>
    </w:p>
    <w:p w:rsidR="00A60CFC" w:rsidP="00750824" w:rsidRDefault="00A60CFC" w14:paraId="4DEA4B84" w14:textId="77777777">
      <w:pPr>
        <w:pStyle w:val="Telobesedila"/>
        <w:jc w:val="both"/>
        <w:rPr>
          <w:lang w:val="sl" w:eastAsia="en-US"/>
        </w:rPr>
      </w:pPr>
    </w:p>
    <w:p w:rsidR="00A60CFC" w:rsidP="00750824" w:rsidRDefault="00A60CFC" w14:paraId="69341DEF" w14:textId="77777777">
      <w:pPr>
        <w:pStyle w:val="Telobesedila"/>
        <w:jc w:val="both"/>
        <w:rPr>
          <w:lang w:val="sl" w:eastAsia="en-US"/>
        </w:rPr>
      </w:pPr>
    </w:p>
    <w:p w:rsidRPr="00A60CFC" w:rsidR="00A60CFC" w:rsidP="00750824" w:rsidRDefault="00A60CFC" w14:paraId="6DCAF6C0" w14:textId="77777777">
      <w:pPr>
        <w:pStyle w:val="Telobesedila"/>
        <w:jc w:val="both"/>
        <w:rPr>
          <w:lang w:val="sl" w:eastAsia="en-US"/>
        </w:rPr>
      </w:pPr>
    </w:p>
    <w:p w:rsidR="00D90A18" w:rsidP="00750824" w:rsidRDefault="00D90A18" w14:paraId="53D301A7" w14:textId="77777777">
      <w:pPr>
        <w:pStyle w:val="Telobesedila"/>
        <w:jc w:val="both"/>
        <w:rPr>
          <w:lang w:val="sl" w:eastAsia="en-US"/>
        </w:rPr>
      </w:pPr>
    </w:p>
    <w:p w:rsidR="00D90A18" w:rsidP="00750824" w:rsidRDefault="00D90A18" w14:paraId="60F34513" w14:textId="77777777">
      <w:pPr>
        <w:pStyle w:val="Naslov1"/>
        <w:jc w:val="both"/>
      </w:pPr>
      <w:bookmarkStart w:name="_Toc233699476" w:id="0"/>
      <w:r>
        <w:t xml:space="preserve">Samenvatting</w:t>
      </w:r>
      <w:bookmarkEnd w:id="0"/>
    </w:p>
    <w:p w:rsidR="00FC19E2" w:rsidP="00750824" w:rsidRDefault="00000000" w14:paraId="6FADC8D5" w14:textId="7889377D">
      <w:pPr>
        <w:jc w:val="both"/>
      </w:pPr>
      <w:r>
        <w:t xml:space="preserve">Dit document bevat aanbevelingen voor de omzetting van Richtlijn (EU) 2024/2831 </w:t>
      </w:r>
      <w:r w:rsidR="0013617B">
        <w:t xml:space="preserve">(hierna: de richtlijn) </w:t>
      </w:r>
      <w:r>
        <w:t xml:space="preserve">betreffende de verbetering van de arbeidsomstandigheden in </w:t>
      </w:r>
      <w:r>
        <w:t xml:space="preserve">platformwerk in de nationale wetgeving van de EU-lidstaten. De aanbevelingen zijn opgesteld door het consortium </w:t>
      </w:r>
      <w:r w:rsidR="0013617B">
        <w:t xml:space="preserve">van het project </w:t>
      </w:r>
      <w:r w:rsidR="00DB0B6E">
        <w:t xml:space="preserve">„Establishing </w:t>
      </w:r>
      <w:r w:rsidR="00DB0B6E">
        <w:t xml:space="preserve">and </w:t>
      </w:r>
      <w:r w:rsidR="00DB0B6E">
        <w:t xml:space="preserve">Strengthening </w:t>
      </w:r>
      <w:r w:rsidR="00DB0B6E">
        <w:t xml:space="preserve">Social </w:t>
      </w:r>
      <w:r w:rsidR="00DB0B6E">
        <w:t xml:space="preserve">Dialogue </w:t>
      </w:r>
      <w:r w:rsidR="00DB0B6E">
        <w:t xml:space="preserve">in </w:t>
      </w:r>
      <w:r w:rsidR="00DB0B6E">
        <w:t xml:space="preserve">Digital </w:t>
      </w:r>
      <w:r w:rsidR="00DB0B6E">
        <w:t xml:space="preserve">Platforms“ </w:t>
      </w:r>
      <w:r w:rsidR="0013617B">
        <w:t xml:space="preserve">(</w:t>
      </w:r>
      <w:r>
        <w:t xml:space="preserve">SDDP</w:t>
      </w:r>
      <w:r w:rsidR="0013617B">
        <w:t xml:space="preserve">) </w:t>
      </w:r>
      <w:r>
        <w:t xml:space="preserve">(ZSSS, ÖGB, CGIL, OPZZ, ABVV-FTB, in samenwerking met het ETUC) op basis van </w:t>
      </w:r>
      <w:r>
        <w:t xml:space="preserve">een</w:t>
      </w:r>
      <w:r w:rsidR="0013617B">
        <w:t xml:space="preserve"> tweejarig </w:t>
      </w:r>
      <w:r>
        <w:t xml:space="preserve">project </w:t>
      </w:r>
      <w:r w:rsidR="0013617B">
        <w:t xml:space="preserve">dat werd uitgevoerd </w:t>
      </w:r>
      <w:r>
        <w:t xml:space="preserve">in vijf partnerlanden (Slovenië, Oostenrijk, Italië, België, Polen). Het document omvat tien thematische hoofdstukken: reikwijdte en definities, het juridisch vermoeden </w:t>
      </w:r>
      <w:r w:rsidR="00CF3B80">
        <w:t xml:space="preserve">van een dienstverband </w:t>
      </w:r>
      <w:r>
        <w:t xml:space="preserve">(</w:t>
      </w:r>
      <w:r>
        <w:t xml:space="preserve">„legal </w:t>
      </w:r>
      <w:r>
        <w:t xml:space="preserve">presumption </w:t>
      </w:r>
      <w:r>
        <w:t xml:space="preserve">of </w:t>
      </w:r>
      <w:r w:rsidR="0013617B">
        <w:t xml:space="preserve">employment“</w:t>
      </w:r>
      <w:r>
        <w:t xml:space="preserve">), algoritmisch beheer (</w:t>
      </w:r>
      <w:r>
        <w:t xml:space="preserve">„algorithmic </w:t>
      </w:r>
      <w:r>
        <w:t xml:space="preserve">management </w:t>
      </w:r>
      <w:r w:rsidR="0013617B">
        <w:t xml:space="preserve">(AM)“</w:t>
      </w:r>
      <w:r>
        <w:t xml:space="preserve">), bescherming </w:t>
      </w:r>
      <w:r>
        <w:t xml:space="preserve">van persoonsgegevens en privacy, collectieve rechten en sociale dialoog, handhaving van de richtlijn, bredere toepassingssfeer en uitdagingen bij de implementatie.</w:t>
      </w:r>
      <w:r w:rsidR="0013617B">
        <w:t xml:space="preserve"> De termijn voor omzetting in nationale wetgeving is 2 december 2026.</w:t>
      </w:r>
    </w:p>
    <w:p w:rsidR="00A60CFC" w:rsidP="00750824" w:rsidRDefault="00A60CFC" w14:paraId="7F54D8C2" w14:textId="77777777">
      <w:pPr>
        <w:jc w:val="both"/>
      </w:pPr>
    </w:p>
    <w:p w:rsidR="00750824" w:rsidP="00750824" w:rsidRDefault="00000000" w14:paraId="78FE98E6" w14:textId="2F072ADA">
      <w:pPr>
        <w:jc w:val="both"/>
      </w:pPr>
      <w:r>
        <w:t xml:space="preserve">De rode draad van het document is de sociale dialoog als brug tussen de goedkeuring van de richtlijn en de daadwerkelijke tenuitvoerlegging ervan. Vijf cruciale elementen, zonder welke de omzetting het doel van de richtlijn niet zal bereiken</w:t>
      </w:r>
      <w:r w:rsidR="0013617B">
        <w:t xml:space="preserve">, zijn</w:t>
      </w:r>
      <w:r>
        <w:t xml:space="preserve">: (1) het juridisch vermoeden </w:t>
      </w:r>
      <w:r w:rsidR="00CF3B80">
        <w:t xml:space="preserve">van een dienstverband </w:t>
      </w:r>
      <w:r>
        <w:t xml:space="preserve">zonder aanvullende criteria; (2) versterkte arbeidsinspecties (</w:t>
      </w:r>
      <w:r>
        <w:t xml:space="preserve">„labour </w:t>
      </w:r>
      <w:r w:rsidR="0013617B">
        <w:t xml:space="preserve">inspectorates“</w:t>
      </w:r>
      <w:r>
        <w:t xml:space="preserve">) met toegang tot algoritmische systemen in </w:t>
      </w:r>
      <w:r>
        <w:t xml:space="preserve">realtime; (3) een mechanisme voor tijdelijke collectieve bescherming voor de duur van de procedure ter vaststelling van de arbeidsstatus; (4) verplichte </w:t>
      </w:r>
      <w:r w:rsidR="00A25A76">
        <w:t xml:space="preserve">hoofdelijke </w:t>
      </w:r>
      <w:r>
        <w:t xml:space="preserve">aansprakelijkheid (</w:t>
      </w:r>
      <w:r>
        <w:t xml:space="preserve">‘joint </w:t>
      </w:r>
      <w:r w:rsidR="0013617B">
        <w:t xml:space="preserve">liability’</w:t>
      </w:r>
      <w:r>
        <w:t xml:space="preserve">) van platforms voor de verplichtingen van onderaannemers en tussenpersonen; (5) collectieve procedures voor het doen gelden van rechten zonder individuele toestemming van de afzonderlijke werknemer. </w:t>
      </w:r>
    </w:p>
    <w:p w:rsidR="009B7FA3" w:rsidP="00750824" w:rsidRDefault="00000000" w14:paraId="00CC0001" w14:textId="4B261084">
      <w:pPr>
        <w:pStyle w:val="Naslov1"/>
        <w:jc w:val="both"/>
      </w:pPr>
      <w:bookmarkStart w:name="_Toc233699477" w:id="1"/>
      <w:r>
        <w:lastRenderedPageBreak/>
      </w:r>
      <w:r>
        <w:t xml:space="preserve">10 belangrijke aanbevelingen</w:t>
      </w:r>
      <w:bookmarkEnd w:id="1"/>
    </w:p>
    <w:p w:rsidR="009B7FA3" w:rsidP="00750824" w:rsidRDefault="00000000" w14:paraId="00CC0002" w14:textId="7D23F4BB">
      <w:pPr>
        <w:pStyle w:val="Telobesedila"/>
        <w:jc w:val="both"/>
      </w:pPr>
      <w:r>
        <w:t xml:space="preserve">Dit document bevat 44 aanbevelingen, ingedeeld in tien thematische hoofdstukken. De onderstaande lijst vat </w:t>
      </w:r>
      <w:r>
        <w:t xml:space="preserve">de tien</w:t>
      </w:r>
      <w:r w:rsidR="0013617B">
        <w:t xml:space="preserve"> belangrijkste aanbevelingen</w:t>
      </w:r>
      <w:r>
        <w:t xml:space="preserve"> samen</w:t>
      </w:r>
      <w:r>
        <w:t xml:space="preserve">, zonder welke de omzetting van de richtlijn haar doel niet zal bereiken </w:t>
      </w:r>
      <w:r w:rsidR="00D7386B">
        <w:t xml:space="preserve">– </w:t>
      </w:r>
      <w:r>
        <w:t xml:space="preserve">ongeacht hoe </w:t>
      </w:r>
      <w:r w:rsidR="0013617B">
        <w:t xml:space="preserve">adequaat </w:t>
      </w:r>
      <w:r>
        <w:t xml:space="preserve">de wettekst ook zal zijn. Het gaat om aanbevelingen die de grootste structurele hiaten tussen de tekst van de richtlijn en de toepassing ervan </w:t>
      </w:r>
      <w:r w:rsidR="0013617B">
        <w:t xml:space="preserve">in de praktijk </w:t>
      </w:r>
      <w:r>
        <w:t xml:space="preserve">opvullen</w:t>
      </w:r>
      <w:r>
        <w:t xml:space="preserve">. Elke aanbeveling wordt in het betreffende hoofdstuk nader toegelicht.</w:t>
      </w:r>
    </w:p>
    <w:p w:rsidR="009B7FA3" w:rsidP="00750824" w:rsidRDefault="009B7FA3" w14:paraId="00CC0003" w14:textId="77777777">
      <w:pPr>
        <w:jc w:val="both"/>
      </w:pPr>
    </w:p>
    <w:p w:rsidR="009B7FA3" w:rsidP="00750824" w:rsidRDefault="00000000" w14:paraId="00CC0010" w14:textId="7E5E0AD7">
      <w:pPr>
        <w:pStyle w:val="Naslov3"/>
        <w:jc w:val="both"/>
      </w:pPr>
      <w:r>
        <w:t xml:space="preserve">1. Het juridisch vermoeden </w:t>
      </w:r>
      <w:r w:rsidR="00CF3B80">
        <w:t xml:space="preserve">van een dienstverband </w:t>
      </w:r>
      <w:r>
        <w:t xml:space="preserve">zonder aanvullende criteria (Aanbeveling 3.1)</w:t>
      </w:r>
    </w:p>
    <w:p w:rsidR="009B7FA3" w:rsidP="00750824" w:rsidRDefault="0013617B" w14:paraId="00CC0011" w14:textId="7B05AD2F">
      <w:pPr>
        <w:pStyle w:val="Telobesedila"/>
        <w:jc w:val="both"/>
      </w:pPr>
      <w:r>
        <w:t xml:space="preserve">Het juridisch vermoeden </w:t>
      </w:r>
      <w:r w:rsidR="00CF3B80">
        <w:t xml:space="preserve">van een dienstverband </w:t>
      </w:r>
      <w:r>
        <w:t xml:space="preserve">vormt de basis waarop de richtlijn rust. </w:t>
      </w:r>
      <w:r>
        <w:t xml:space="preserve">Nationale wetten mogen geen aanvullende criteria vereisen; één zogenaamde feitelijke indicator volstaat, aangezien de richtlijn is gebaseerd op het voorrang geven aan feiten (</w:t>
      </w:r>
      <w:r>
        <w:t xml:space="preserve">„primacy </w:t>
      </w:r>
      <w:r>
        <w:t xml:space="preserve">of </w:t>
      </w:r>
      <w:r>
        <w:t xml:space="preserve">facts“). </w:t>
      </w:r>
      <w:r w:rsidR="00D7386B">
        <w:t xml:space="preserve">Als het een feit is dat er toezicht op de werknemer wordt uitgeoefend en dat hij instructies ontvangt, volstaat dit om de procedure voor het doen gelden </w:t>
      </w:r>
      <w:r w:rsidR="00CF3B80">
        <w:t xml:space="preserve">van een arbeidsverhouding</w:t>
      </w:r>
      <w:r w:rsidR="00D7386B">
        <w:t xml:space="preserve"> in gang te zetten</w:t>
      </w:r>
      <w:r w:rsidR="00D7386B">
        <w:t xml:space="preserve">. Eventuele aanvullende criteria zullen platforms in staat stellen de weg van onduidelijkheid en gerechtelijke procedures in te slaan in plaats van de richtlijn na te leven. </w:t>
      </w:r>
    </w:p>
    <w:p w:rsidR="009B7FA3" w:rsidP="00750824" w:rsidRDefault="009B7FA3" w14:paraId="00CC0012" w14:textId="77777777">
      <w:pPr>
        <w:jc w:val="both"/>
      </w:pPr>
    </w:p>
    <w:p w:rsidR="009B7FA3" w:rsidP="00750824" w:rsidRDefault="00000000" w14:paraId="00CC0020" w14:textId="03CB63AC">
      <w:pPr>
        <w:pStyle w:val="Naslov3"/>
        <w:jc w:val="both"/>
      </w:pPr>
      <w:r>
        <w:t xml:space="preserve">2. De arbeidsinspectie als </w:t>
      </w:r>
      <w:r w:rsidR="00D7386B">
        <w:t xml:space="preserve">eerste </w:t>
      </w:r>
      <w:r>
        <w:t xml:space="preserve">stap </w:t>
      </w:r>
      <w:r w:rsidR="00D7386B">
        <w:t xml:space="preserve">– </w:t>
      </w:r>
      <w:r>
        <w:t xml:space="preserve">niet de rechter (Aanbeveling 3.2)</w:t>
      </w:r>
    </w:p>
    <w:p w:rsidR="009B7FA3" w:rsidP="00750824" w:rsidRDefault="00000000" w14:paraId="00CC0021" w14:textId="793F41BE">
      <w:pPr>
        <w:pStyle w:val="Telobesedila"/>
        <w:jc w:val="both"/>
      </w:pPr>
      <w:r>
        <w:t xml:space="preserve">De vaststelling van de arbeidsrechtelijke status moet mogelijk zijn via een administratieve procedure bij de arbeidsinspectie (</w:t>
      </w:r>
      <w:r>
        <w:t xml:space="preserve">‘labour </w:t>
      </w:r>
      <w:r w:rsidR="00D7386B">
        <w:t xml:space="preserve">inspectorate’</w:t>
      </w:r>
      <w:r>
        <w:t xml:space="preserve">) </w:t>
      </w:r>
      <w:r w:rsidR="00D7386B">
        <w:t xml:space="preserve">– </w:t>
      </w:r>
      <w:r>
        <w:t xml:space="preserve">snel, toegankelijk en zonder voorafgaande kosten voor de werknemer. Een werknemer die gedwongen wordt een langdurige gerechtelijke procedure te doorlopen, heeft de strijd al verloren, ongeacht de uitkomst.</w:t>
      </w:r>
    </w:p>
    <w:p w:rsidR="009B7FA3" w:rsidP="00750824" w:rsidRDefault="009B7FA3" w14:paraId="00CC0022" w14:textId="77777777">
      <w:pPr>
        <w:jc w:val="both"/>
      </w:pPr>
    </w:p>
    <w:p w:rsidR="009B7FA3" w:rsidP="00750824" w:rsidRDefault="00000000" w14:paraId="00CC0030" w14:textId="1FD00F05">
      <w:pPr>
        <w:pStyle w:val="Naslov3"/>
        <w:jc w:val="both"/>
      </w:pPr>
      <w:r>
        <w:t xml:space="preserve">3. Tijdelijke collectieve bescherming tijdens de betwisting van </w:t>
      </w:r>
      <w:r w:rsidR="00CF3B80">
        <w:t xml:space="preserve">het dienstverband </w:t>
      </w:r>
      <w:r>
        <w:t xml:space="preserve">(Aanbeveling 6.5)</w:t>
      </w:r>
    </w:p>
    <w:p w:rsidR="009B7FA3" w:rsidP="00750824" w:rsidRDefault="00000000" w14:paraId="00CC0031" w14:textId="599C4D71">
      <w:pPr>
        <w:pStyle w:val="Telobesedila"/>
        <w:jc w:val="both"/>
      </w:pPr>
      <w:r>
        <w:t xml:space="preserve">Wanneer de arbeidsinspectie vaststelt dat het platform de werkgever is, </w:t>
      </w:r>
      <w:r w:rsidR="00D7386B">
        <w:t xml:space="preserve">kan </w:t>
      </w:r>
      <w:r>
        <w:t xml:space="preserve">het platform dit </w:t>
      </w:r>
      <w:r>
        <w:t xml:space="preserve">voor de rechter aanvechten. </w:t>
      </w:r>
      <w:r w:rsidR="00D7386B">
        <w:t xml:space="preserve">Gerechtelijke procedures </w:t>
      </w:r>
      <w:r>
        <w:t xml:space="preserve">duren</w:t>
      </w:r>
      <w:r w:rsidR="00D7386B">
        <w:t xml:space="preserve"> in de meeste landen </w:t>
      </w:r>
      <w:r>
        <w:t xml:space="preserve">jaren. Gedurende die tijd </w:t>
      </w:r>
      <w:r>
        <w:t xml:space="preserve">mogen </w:t>
      </w:r>
      <w:r w:rsidR="00D7386B">
        <w:t xml:space="preserve">werknemers </w:t>
      </w:r>
      <w:r>
        <w:t xml:space="preserve">niet zonder bescherming komen te zitten: lonen en premies </w:t>
      </w:r>
      <w:r w:rsidR="00D7386B">
        <w:t xml:space="preserve">moeten worden afgedragen in overeenstemming met de wetgeving die </w:t>
      </w:r>
      <w:r w:rsidR="00CF3B80">
        <w:t xml:space="preserve">de arbeidsrechten</w:t>
      </w:r>
      <w:r w:rsidR="00D7386B">
        <w:t xml:space="preserve"> regelt</w:t>
      </w:r>
      <w:r>
        <w:t xml:space="preserve">, totdat de rechter anders beslist. Het risico van een onjuiste vaststelling ligt bij de staat </w:t>
      </w:r>
      <w:r w:rsidR="00D7386B">
        <w:t xml:space="preserve">– </w:t>
      </w:r>
      <w:r>
        <w:t xml:space="preserve">niet bij de werknemer. Zonder dit mechanisme is elke juridische veronderstelling slechts </w:t>
      </w:r>
      <w:r w:rsidR="00D7386B">
        <w:t xml:space="preserve">een dode letter op papier.</w:t>
      </w:r>
    </w:p>
    <w:p w:rsidR="009B7FA3" w:rsidP="00750824" w:rsidRDefault="009B7FA3" w14:paraId="00CC0032" w14:textId="77777777">
      <w:pPr>
        <w:jc w:val="both"/>
      </w:pPr>
    </w:p>
    <w:p w:rsidR="009B7FA3" w:rsidP="00750824" w:rsidRDefault="00000000" w14:paraId="00CC0040" w14:textId="3E6E5823">
      <w:pPr>
        <w:pStyle w:val="Naslov3"/>
        <w:jc w:val="both"/>
      </w:pPr>
      <w:r>
        <w:t xml:space="preserve">4. Collectieve handhaving zonder individuele toestemming (Aanbeveling 3.5)</w:t>
      </w:r>
    </w:p>
    <w:p w:rsidR="009B7FA3" w:rsidP="00750824" w:rsidRDefault="00000000" w14:paraId="00CC0041" w14:textId="27EB57C4">
      <w:pPr>
        <w:pStyle w:val="Telobesedila"/>
        <w:jc w:val="both"/>
      </w:pPr>
      <w:r>
        <w:t xml:space="preserve">De vakbond moet </w:t>
      </w:r>
      <w:r w:rsidR="00D7386B">
        <w:t xml:space="preserve">de mogelijkheid hebben </w:t>
      </w:r>
      <w:r>
        <w:t xml:space="preserve">om een procedure tot vaststelling van </w:t>
      </w:r>
      <w:r>
        <w:t xml:space="preserve">de </w:t>
      </w:r>
      <w:r w:rsidR="00D7386B">
        <w:t xml:space="preserve">arbeidsrechtelijke </w:t>
      </w:r>
      <w:r>
        <w:t xml:space="preserve">status </w:t>
      </w:r>
      <w:r>
        <w:t xml:space="preserve">in te leiden </w:t>
      </w:r>
      <w:r>
        <w:t xml:space="preserve">of een schending van de richtlijn aan te vechten namens een groep werknemers </w:t>
      </w:r>
      <w:r w:rsidR="00D7386B">
        <w:t xml:space="preserve">– </w:t>
      </w:r>
      <w:r>
        <w:t xml:space="preserve">zonder de verplichting om de schriftelijke toestemming van elke individuele werknemer te verkrijgen. </w:t>
      </w:r>
      <w:r>
        <w:t xml:space="preserve">Platformwerkers die bang zijn </w:t>
      </w:r>
      <w:r>
        <w:t xml:space="preserve">dat </w:t>
      </w:r>
      <w:r>
        <w:t xml:space="preserve">hun account </w:t>
      </w:r>
      <w:r>
        <w:t xml:space="preserve">wordt gedeactiveerd </w:t>
      </w:r>
      <w:r w:rsidR="00D7386B">
        <w:t xml:space="preserve">en dat ze daardoor hun werk verliezen</w:t>
      </w:r>
      <w:r>
        <w:t xml:space="preserve">, </w:t>
      </w:r>
      <w:r w:rsidR="00D7386B">
        <w:t xml:space="preserve">zullen</w:t>
      </w:r>
      <w:r>
        <w:t xml:space="preserve"> geen </w:t>
      </w:r>
      <w:r w:rsidR="00D7386B">
        <w:t xml:space="preserve">klachten of toestemmingen ondertekenen om procedures te starten</w:t>
      </w:r>
      <w:r>
        <w:t xml:space="preserve">. Individualiteit als procedurele voorwaarde </w:t>
      </w:r>
      <w:r w:rsidR="00D7386B">
        <w:t xml:space="preserve">biedt geen bescherming, maar is slechts een ontwijkingsmechanisme voor platforms. </w:t>
      </w:r>
    </w:p>
    <w:p w:rsidR="009B7FA3" w:rsidP="00750824" w:rsidRDefault="009B7FA3" w14:paraId="00CC0042" w14:textId="77777777">
      <w:pPr>
        <w:jc w:val="both"/>
      </w:pPr>
    </w:p>
    <w:p w:rsidR="009B7FA3" w:rsidP="00750824" w:rsidRDefault="00000000" w14:paraId="00CC0050" w14:textId="225BD1D1">
      <w:pPr>
        <w:pStyle w:val="Naslov3"/>
        <w:jc w:val="both"/>
      </w:pPr>
      <w:r>
        <w:t xml:space="preserve">5. </w:t>
      </w:r>
      <w:r w:rsidR="00A25A76">
        <w:t xml:space="preserve">Gezamenlijke </w:t>
      </w:r>
      <w:r>
        <w:t xml:space="preserve">aansprakelijkheid als verplichting, niet als </w:t>
      </w:r>
      <w:r w:rsidR="00061B6E">
        <w:t xml:space="preserve">optie </w:t>
      </w:r>
      <w:r>
        <w:t xml:space="preserve">(Aanbeveling 3.4)</w:t>
      </w:r>
    </w:p>
    <w:p w:rsidR="009B7FA3" w:rsidP="00750824" w:rsidRDefault="00000000" w14:paraId="00CC0051" w14:textId="56E3F0B5">
      <w:pPr>
        <w:pStyle w:val="Telobesedila"/>
        <w:jc w:val="both"/>
      </w:pPr>
      <w:r>
        <w:lastRenderedPageBreak/>
      </w:r>
      <w:r>
        <w:t xml:space="preserve">De formulering in de richtlijn </w:t>
      </w:r>
      <w:r w:rsidR="00792F1C">
        <w:t xml:space="preserve">„</w:t>
      </w:r>
      <w:r>
        <w:t xml:space="preserve">waar dit passend </w:t>
      </w:r>
      <w:r w:rsidR="00792F1C">
        <w:t xml:space="preserve">is“ </w:t>
      </w:r>
      <w:r w:rsidR="00061B6E">
        <w:t xml:space="preserve">moet </w:t>
      </w:r>
      <w:r>
        <w:t xml:space="preserve">een minimumnorm</w:t>
      </w:r>
      <w:r w:rsidR="00061B6E">
        <w:t xml:space="preserve"> zijn</w:t>
      </w:r>
      <w:r>
        <w:t xml:space="preserve">, geen beperking </w:t>
      </w:r>
      <w:r w:rsidR="00061B6E">
        <w:t xml:space="preserve">bij de uitvoering</w:t>
      </w:r>
      <w:r>
        <w:t xml:space="preserve">. </w:t>
      </w:r>
      <w:r w:rsidR="00A25A76">
        <w:t xml:space="preserve">Gezamenlijke </w:t>
      </w:r>
      <w:r>
        <w:t xml:space="preserve">aansprakelijkheid (</w:t>
      </w:r>
      <w:r>
        <w:t xml:space="preserve">„joint </w:t>
      </w:r>
      <w:r w:rsidR="00061B6E">
        <w:t xml:space="preserve">liability</w:t>
      </w:r>
      <w:r>
        <w:t xml:space="preserve">“) van het platform voor </w:t>
      </w:r>
      <w:r w:rsidR="00061B6E">
        <w:t xml:space="preserve">de uitbetaling </w:t>
      </w:r>
      <w:r>
        <w:t xml:space="preserve">van lonen, </w:t>
      </w:r>
      <w:r w:rsidR="00061B6E">
        <w:t xml:space="preserve">de betaling van premies </w:t>
      </w:r>
      <w:r>
        <w:t xml:space="preserve">en </w:t>
      </w:r>
      <w:r w:rsidR="00061B6E">
        <w:t xml:space="preserve">het waarborgen van rechten voor werknemers </w:t>
      </w:r>
      <w:r>
        <w:t xml:space="preserve">in </w:t>
      </w:r>
      <w:r>
        <w:t xml:space="preserve">de</w:t>
      </w:r>
      <w:r>
        <w:t xml:space="preserve"> gehele </w:t>
      </w:r>
      <w:r>
        <w:t xml:space="preserve">onderaannemersketen </w:t>
      </w:r>
      <w:r w:rsidR="00061B6E">
        <w:t xml:space="preserve">waarvan het platform gebruikmaakt, </w:t>
      </w:r>
      <w:r>
        <w:t xml:space="preserve">moet een verplichte wettelijke bepaling zijn </w:t>
      </w:r>
      <w:r w:rsidR="00D7386B">
        <w:t xml:space="preserve">– </w:t>
      </w:r>
      <w:r>
        <w:t xml:space="preserve">geen discretionaire maatregel. Het </w:t>
      </w:r>
      <w:r w:rsidR="00061B6E">
        <w:t xml:space="preserve">‘fleet-systeem’ </w:t>
      </w:r>
      <w:r>
        <w:t xml:space="preserve">en </w:t>
      </w:r>
      <w:r>
        <w:t xml:space="preserve">‘</w:t>
      </w:r>
      <w:r w:rsidR="00061B6E">
        <w:t xml:space="preserve">shell</w:t>
      </w:r>
      <w:r>
        <w:t xml:space="preserve">-bedrijven’ zijn tegenwoordig de belangrijkste instrumenten om de wet te omzeilen</w:t>
      </w:r>
      <w:r w:rsidR="00061B6E">
        <w:t xml:space="preserve">.</w:t>
      </w:r>
    </w:p>
    <w:p w:rsidR="009B7FA3" w:rsidP="00750824" w:rsidRDefault="009B7FA3" w14:paraId="00CC0052" w14:textId="77777777">
      <w:pPr>
        <w:jc w:val="both"/>
      </w:pPr>
    </w:p>
    <w:p w:rsidR="009B7FA3" w:rsidP="00750824" w:rsidRDefault="00000000" w14:paraId="00CC0060" w14:textId="1CBE7E42">
      <w:pPr>
        <w:pStyle w:val="Naslov3"/>
        <w:jc w:val="both"/>
      </w:pPr>
      <w:r>
        <w:t xml:space="preserve">6. Boetes gekoppeld aan de omzet, niet aan een abstract maximum (Aanbeveling 7.1)</w:t>
      </w:r>
    </w:p>
    <w:p w:rsidR="009B7FA3" w:rsidP="00750824" w:rsidRDefault="00000000" w14:paraId="00CC0061" w14:textId="33764FDC">
      <w:pPr>
        <w:pStyle w:val="Telobesedila"/>
        <w:jc w:val="both"/>
      </w:pPr>
      <w:r>
        <w:t xml:space="preserve">Een vaste wettelijke boete (bijv. 50.000</w:t>
      </w:r>
      <w:r w:rsidR="00061B6E">
        <w:t xml:space="preserve">,00 </w:t>
      </w:r>
      <w:r>
        <w:t xml:space="preserve">EUR) is voor een platform met miljardeninkomsten </w:t>
      </w:r>
      <w:r>
        <w:t xml:space="preserve">geen geloofwaardige </w:t>
      </w:r>
      <w:r>
        <w:t xml:space="preserve">dreiging. Boetes moeten worden berekend als een percentage van de jaarlijkse inkomsten van het platform in het betreffende land: 2 % voor overtredingen op het gebied van algoritmisch beheer, 4 % voor overtredingen </w:t>
      </w:r>
      <w:r w:rsidR="00061B6E">
        <w:t xml:space="preserve">met betrekking tot arbeidsrechtelijke </w:t>
      </w:r>
      <w:r w:rsidR="00061B6E">
        <w:t xml:space="preserve">statussen</w:t>
      </w:r>
      <w:r>
        <w:t xml:space="preserve">, tot 6 % voor systematische, herhaalde overtredingen. Alleen </w:t>
      </w:r>
      <w:r w:rsidR="00061B6E">
        <w:t xml:space="preserve">in dat geval zullen de boetes </w:t>
      </w:r>
      <w:r>
        <w:t xml:space="preserve">hun </w:t>
      </w:r>
      <w:r w:rsidR="00061B6E">
        <w:t xml:space="preserve">afschrikkende </w:t>
      </w:r>
      <w:r>
        <w:t xml:space="preserve">werking </w:t>
      </w:r>
      <w:r w:rsidR="00061B6E">
        <w:t xml:space="preserve">hebben</w:t>
      </w:r>
      <w:r>
        <w:t xml:space="preserve">.</w:t>
      </w:r>
    </w:p>
    <w:p w:rsidR="009B7FA3" w:rsidP="00750824" w:rsidRDefault="009B7FA3" w14:paraId="00CC0062" w14:textId="77777777">
      <w:pPr>
        <w:jc w:val="both"/>
      </w:pPr>
    </w:p>
    <w:p w:rsidR="009B7FA3" w:rsidP="00750824" w:rsidRDefault="00000000" w14:paraId="00CC0070" w14:textId="20DE727E">
      <w:pPr>
        <w:pStyle w:val="Naslov3"/>
        <w:jc w:val="both"/>
      </w:pPr>
      <w:r>
        <w:t xml:space="preserve">7. Echte menselijke controle </w:t>
      </w:r>
      <w:r w:rsidR="00D7386B">
        <w:t xml:space="preserve">– </w:t>
      </w:r>
      <w:r>
        <w:t xml:space="preserve">geen bevestiging van het algoritme (Aanbeveling 5.4)</w:t>
      </w:r>
    </w:p>
    <w:p w:rsidR="009B7FA3" w:rsidP="00750824" w:rsidRDefault="00000000" w14:paraId="00CC0071" w14:textId="2CA944E4">
      <w:pPr>
        <w:pStyle w:val="Telobesedila"/>
        <w:jc w:val="both"/>
      </w:pPr>
      <w:r>
        <w:t xml:space="preserve">De wet moet bepalen dat de toetsing overeenkomstig artikel 11 </w:t>
      </w:r>
      <w:r w:rsidR="00084394">
        <w:t xml:space="preserve">van de richtlijn </w:t>
      </w:r>
      <w:r>
        <w:t xml:space="preserve">niet </w:t>
      </w:r>
      <w:r w:rsidR="00084394">
        <w:t xml:space="preserve">louter </w:t>
      </w:r>
      <w:r>
        <w:t xml:space="preserve">een</w:t>
      </w:r>
      <w:r w:rsidR="00084394">
        <w:t xml:space="preserve"> formele </w:t>
      </w:r>
      <w:r>
        <w:t xml:space="preserve">procedure </w:t>
      </w:r>
      <w:r w:rsidR="00084394">
        <w:t xml:space="preserve">is</w:t>
      </w:r>
      <w:r>
        <w:t xml:space="preserve">, waarbij </w:t>
      </w:r>
      <w:r>
        <w:t xml:space="preserve">een medewerker van het platform </w:t>
      </w:r>
      <w:r>
        <w:t xml:space="preserve">de uitkomst van het algoritme </w:t>
      </w:r>
      <w:r w:rsidR="00084394">
        <w:t xml:space="preserve">bevestigt</w:t>
      </w:r>
      <w:r>
        <w:t xml:space="preserve">. De toetsing moet worden uitgevoerd door een gekwalificeerde persoon die daadwerkelijk bevoegd is om de beslissing te wijzigen en die niet kan worden gestraft omdat hij of zij deze heeft gewijzigd. Tegelijkertijd moet het toezicht op grond van artikel 10 continu zijn </w:t>
      </w:r>
      <w:r w:rsidR="00D7386B">
        <w:t xml:space="preserve">– </w:t>
      </w:r>
      <w:r>
        <w:t xml:space="preserve">niet slechts een tweejaarlijkse toetsing die het platform </w:t>
      </w:r>
      <w:r w:rsidR="00084394">
        <w:t xml:space="preserve">uitvoert </w:t>
      </w:r>
      <w:r>
        <w:t xml:space="preserve">als een administratieve verplichting.</w:t>
      </w:r>
    </w:p>
    <w:p w:rsidR="009B7FA3" w:rsidP="00750824" w:rsidRDefault="009B7FA3" w14:paraId="00CC0072" w14:textId="77777777">
      <w:pPr>
        <w:jc w:val="both"/>
      </w:pPr>
    </w:p>
    <w:p w:rsidR="009B7FA3" w:rsidP="00750824" w:rsidRDefault="00000000" w14:paraId="00CC0080" w14:textId="0025CB50">
      <w:pPr>
        <w:pStyle w:val="Naslov3"/>
        <w:jc w:val="both"/>
      </w:pPr>
      <w:r>
        <w:t xml:space="preserve">8. Bescherming tegen vergeldingsmaatregelen met omgekeerde bewijslast (Aanbeveling 7.2)</w:t>
      </w:r>
    </w:p>
    <w:p w:rsidR="009B7FA3" w:rsidP="00750824" w:rsidRDefault="008F0A64" w14:paraId="00CC0081" w14:textId="6EEA69C0">
      <w:pPr>
        <w:pStyle w:val="Telobesedila"/>
        <w:jc w:val="both"/>
      </w:pPr>
      <w:r>
        <w:t xml:space="preserve">Vergeldingsmaatregelen na het uitoefenen van rechten zullen hoogstwaarschijnlijk bestaan uit lagere beoordelingen van werknemers in de apps, minder toegewezen opdrachten of werk en verscherpt </w:t>
      </w:r>
      <w:r w:rsidR="00D7386B">
        <w:t xml:space="preserve">toezicht – </w:t>
      </w:r>
      <w:r>
        <w:t xml:space="preserve">en de wet moet deze maatregelen als zodanig omschrijven. De bewijslast (</w:t>
      </w:r>
      <w:r>
        <w:t xml:space="preserve">‘burden </w:t>
      </w:r>
      <w:r>
        <w:t xml:space="preserve">of </w:t>
      </w:r>
      <w:r>
        <w:t xml:space="preserve">proof’) moet worden omgekeerd: de werknemer toont een aannemelijk causaal verband aan tussen het uitoefenen van rechten en de nadelige maatregel, terwijl het platform moet aantonen dat de maatregel het gevolg is van objectieve factoren en niet van het uitoefenen van rechten door de werknemer. Zonder dit zal elke formele bescherming in de praktijk onuitvoerbaar blijven.</w:t>
      </w:r>
    </w:p>
    <w:p w:rsidR="009B7FA3" w:rsidP="00750824" w:rsidRDefault="009B7FA3" w14:paraId="00CC0082" w14:textId="77777777">
      <w:pPr>
        <w:jc w:val="both"/>
      </w:pPr>
    </w:p>
    <w:p w:rsidR="009B7FA3" w:rsidP="00750824" w:rsidRDefault="00000000" w14:paraId="00CC0090" w14:textId="16EA3121">
      <w:pPr>
        <w:pStyle w:val="Naslov3"/>
        <w:jc w:val="both"/>
      </w:pPr>
      <w:r>
        <w:t xml:space="preserve">9. Openbaarmaking van algoritmen in gerechtelijke en inspectieprocedures (Aanbeveling 7.4)</w:t>
      </w:r>
    </w:p>
    <w:p w:rsidR="009B7FA3" w:rsidP="00750824" w:rsidRDefault="00000000" w14:paraId="00CC0091" w14:textId="3F12F3CB">
      <w:pPr>
        <w:pStyle w:val="Telobesedila"/>
        <w:jc w:val="both"/>
      </w:pPr>
      <w:r>
        <w:t xml:space="preserve">Rechtbanken en inspectiediensten moeten wettelijk bevoegd zijn </w:t>
      </w:r>
      <w:r w:rsidR="008F0A64">
        <w:t xml:space="preserve">om </w:t>
      </w:r>
      <w:r>
        <w:t xml:space="preserve">inzage te krijgen in de algoritmische parameters, de beslissingsgeschiedenis en de controlegegevens </w:t>
      </w:r>
      <w:r w:rsidR="008F0A64">
        <w:t xml:space="preserve">die door de applicaties worden verzameld</w:t>
      </w:r>
      <w:r>
        <w:t xml:space="preserve">. Een beroep op het bedrijfsgeheim mag geen absolute verdediging zijn</w:t>
      </w:r>
      <w:r w:rsidR="008F0A64">
        <w:t xml:space="preserve">. </w:t>
      </w:r>
      <w:r>
        <w:t xml:space="preserve">De wet moet voorzien in mechanismen voor vertrouwelijke toetsing („in camera“-procedures). Zonder dit zullen platforms structureel een informatievoorsprong hebben ten opzichte van alle andere procespartijen.</w:t>
      </w:r>
    </w:p>
    <w:p w:rsidR="009B7FA3" w:rsidP="00750824" w:rsidRDefault="009B7FA3" w14:paraId="00CC0092" w14:textId="77777777">
      <w:pPr>
        <w:jc w:val="both"/>
      </w:pPr>
    </w:p>
    <w:p w:rsidR="009B7FA3" w:rsidP="00750824" w:rsidRDefault="00000000" w14:paraId="00CC00A0" w14:textId="16C92382">
      <w:pPr>
        <w:pStyle w:val="Naslov3"/>
        <w:jc w:val="both"/>
      </w:pPr>
      <w:r>
        <w:t xml:space="preserve">10. Verbod op een derde status: binaire toets </w:t>
      </w:r>
      <w:r w:rsidR="00CF3B80">
        <w:t xml:space="preserve">voor het dienstverband </w:t>
      </w:r>
      <w:r>
        <w:t xml:space="preserve">(Aanbeveling 9.1)</w:t>
      </w:r>
    </w:p>
    <w:p w:rsidR="009B7FA3" w:rsidP="00750824" w:rsidRDefault="00000000" w14:paraId="00CC00A1" w14:textId="57EC958A">
      <w:pPr>
        <w:pStyle w:val="Telobesedila"/>
        <w:jc w:val="both"/>
      </w:pPr>
      <w:r>
        <w:t xml:space="preserve">De wet mag geen tussenliggende statussen invoeren tussen werknemer en zelfstandige </w:t>
      </w:r>
      <w:r w:rsidR="00D7386B">
        <w:t xml:space="preserve">– </w:t>
      </w:r>
      <w:r>
        <w:t xml:space="preserve">de zogenaamde </w:t>
      </w:r>
      <w:r>
        <w:t xml:space="preserve">‘economisch afhankelijke </w:t>
      </w:r>
      <w:r w:rsidR="008F0A64">
        <w:t xml:space="preserve">werknemers’, </w:t>
      </w:r>
      <w:r w:rsidR="008F0A64">
        <w:t xml:space="preserve">‘parasubordinaten’ </w:t>
      </w:r>
      <w:r>
        <w:t xml:space="preserve">of soortgelijke categorieën met</w:t>
      </w:r>
      <w:r>
        <w:lastRenderedPageBreak/>
      </w:r>
      <w:r>
        <w:t xml:space="preserve"> gedeeltelijke rechten. De richtlijn is gebaseerd op een binaire toets: ofwel </w:t>
      </w:r>
      <w:r w:rsidR="00CF3B80">
        <w:t xml:space="preserve">een dienstverband, </w:t>
      </w:r>
      <w:r>
        <w:t xml:space="preserve">ofwel zelfstandigheid. Een derde status, die platforms in staat stelt </w:t>
      </w:r>
      <w:r w:rsidR="008F0A64">
        <w:t xml:space="preserve">aan de richtlijn te voldoen </w:t>
      </w:r>
      <w:r>
        <w:t xml:space="preserve">zonder </w:t>
      </w:r>
      <w:r w:rsidR="008F0A64">
        <w:t xml:space="preserve">rekening te houden met </w:t>
      </w:r>
      <w:r>
        <w:t xml:space="preserve">de inhoud ervan, is </w:t>
      </w:r>
      <w:r>
        <w:t xml:space="preserve">de </w:t>
      </w:r>
      <w:r w:rsidR="008F0A64">
        <w:t xml:space="preserve">door platforms </w:t>
      </w:r>
      <w:r>
        <w:t xml:space="preserve">meest aanbevolen regelgevingsroute om de richtlijn te omzeilen </w:t>
      </w:r>
      <w:r w:rsidR="00D7386B">
        <w:t xml:space="preserve">– </w:t>
      </w:r>
      <w:r>
        <w:t xml:space="preserve">en deze moet </w:t>
      </w:r>
      <w:r>
        <w:t xml:space="preserve">al in de wet </w:t>
      </w:r>
      <w:r w:rsidR="008F0A64">
        <w:t xml:space="preserve">die de richtlijn omzet, </w:t>
      </w:r>
      <w:r w:rsidR="008F0A64">
        <w:t xml:space="preserve">worden uitgesloten</w:t>
      </w:r>
      <w:r>
        <w:t xml:space="preserve">.</w:t>
      </w:r>
    </w:p>
    <w:p w:rsidR="009B7FA3" w:rsidP="00750824" w:rsidRDefault="009B7FA3" w14:paraId="00CC00A2" w14:textId="77777777">
      <w:pPr>
        <w:jc w:val="both"/>
      </w:pPr>
    </w:p>
    <w:p w:rsidR="009B7FA3" w:rsidP="00750824" w:rsidRDefault="00000000" w14:paraId="00CC0200" w14:textId="3E8A04C9">
      <w:pPr>
        <w:pStyle w:val="Telobesedila"/>
        <w:jc w:val="both"/>
      </w:pPr>
      <w:r>
        <w:t xml:space="preserve">Alle verdere aanbevelingen in dit document zijn ofwel toelichtingen en concretiseringen van de bovenstaande tien punten</w:t>
      </w:r>
      <w:r w:rsidR="008F0A64">
        <w:t xml:space="preserve">, </w:t>
      </w:r>
      <w:r>
        <w:t xml:space="preserve">ofwel ambitieuzere voorstellen die verder gaan dan de minimumvereisten van de richtlijn. De hiërarchie is bewust gekozen: </w:t>
      </w:r>
      <w:r w:rsidR="008F0A64">
        <w:t xml:space="preserve">een land </w:t>
      </w:r>
      <w:r>
        <w:t xml:space="preserve">dat ten minste deze tien punten implementeert, zal de omzetting </w:t>
      </w:r>
      <w:r>
        <w:t xml:space="preserve">zodanig</w:t>
      </w:r>
      <w:r w:rsidR="008F0A64">
        <w:t xml:space="preserve"> uitvoeren </w:t>
      </w:r>
      <w:r>
        <w:t xml:space="preserve">dat de richtlijn de arbeidsvoorwaarden op de platforms daadwerkelijk </w:t>
      </w:r>
      <w:r w:rsidR="008F0A64">
        <w:t xml:space="preserve">ten gunste van de werknemers </w:t>
      </w:r>
      <w:r>
        <w:t xml:space="preserve">verandert </w:t>
      </w:r>
      <w:r w:rsidR="008F0A64">
        <w:t xml:space="preserve">en het doel van de richtlijn bereikt</w:t>
      </w:r>
      <w:r>
        <w:t xml:space="preserve">.</w:t>
      </w:r>
    </w:p>
    <w:p w:rsidR="009B7FA3" w:rsidP="00750824" w:rsidRDefault="009B7FA3" w14:paraId="00CC0201" w14:textId="77777777">
      <w:pPr>
        <w:jc w:val="both"/>
      </w:pPr>
    </w:p>
    <w:p w:rsidR="00750824" w:rsidRDefault="00750824" w14:paraId="7F66102A" w14:textId="77777777">
      <w:pPr>
        <w:rPr>
          <w:b/>
          <w:bCs/>
          <w:color w:val="1F3864"/>
          <w:sz w:val="36"/>
          <w:szCs w:val="36"/>
        </w:rPr>
      </w:pPr>
      <w:r>
        <w:br w:type="page"/>
      </w:r>
    </w:p>
    <w:p w:rsidR="00D90A18" w:rsidP="00750824" w:rsidRDefault="00D90A18" w14:paraId="5A3CA3C4" w14:textId="7281FA23">
      <w:pPr>
        <w:pStyle w:val="Naslov1"/>
        <w:jc w:val="both"/>
      </w:pPr>
      <w:bookmarkStart w:name="_Toc233699478" w:id="2"/>
      <w:r>
        <w:lastRenderedPageBreak/>
      </w:r>
      <w:r>
        <w:t xml:space="preserve">Voorwoord</w:t>
      </w:r>
      <w:bookmarkEnd w:id="2"/>
    </w:p>
    <w:p w:rsidR="00D90A18" w:rsidP="00750824" w:rsidRDefault="00D90A18" w14:paraId="63638BEA" w14:textId="77777777">
      <w:pPr>
        <w:jc w:val="both"/>
      </w:pPr>
      <w:r>
        <w:t xml:space="preserve">Dit document is het resultaat van het SDDP-project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gefinancierd uit het programma voor sociale dialoog van de Europese Commissie (SOCPL-2022-SOC-DIAL) en medegefinancierd door het Europees Sociaal Fonds (ESF). Het project liep van april 2023 tot maart 2026.</w:t>
      </w:r>
    </w:p>
    <w:p w:rsidR="00D90A18" w:rsidP="00750824" w:rsidRDefault="00D90A18" w14:paraId="7CFB778E" w14:textId="77777777">
      <w:pPr>
        <w:jc w:val="both"/>
      </w:pPr>
    </w:p>
    <w:p w:rsidR="00D90A18" w:rsidP="00750824" w:rsidRDefault="00D90A18" w14:paraId="562683D6" w14:textId="7CE76151">
      <w:pPr>
        <w:jc w:val="both"/>
      </w:pPr>
      <w:r>
        <w:t xml:space="preserve">Het consortium bestaat uit: ZSSS </w:t>
      </w:r>
      <w:r w:rsidR="00D7386B">
        <w:t xml:space="preserve">– </w:t>
      </w:r>
      <w:r>
        <w:t xml:space="preserve">Verbond van Vrije Vakbonden van Slovenië (coördinator), ÖGB </w:t>
      </w:r>
      <w:r w:rsidR="00D7386B">
        <w:t xml:space="preserve">– </w:t>
      </w:r>
      <w:r>
        <w:t xml:space="preserve">Oostenrijkse vakbondsfederatie, CGIL </w:t>
      </w:r>
      <w:r w:rsidR="00D7386B">
        <w:t xml:space="preserve">– </w:t>
      </w:r>
      <w:r>
        <w:t xml:space="preserve">Algemene Italiaanse Confederatie van Arbeid, OPZZ en ABVV-FTB, in samenwerking met het ETUC. </w:t>
      </w:r>
    </w:p>
    <w:p w:rsidR="00DB0B6E" w:rsidP="00750824" w:rsidRDefault="00DB0B6E" w14:paraId="0E9BE49C" w14:textId="77777777">
      <w:pPr>
        <w:jc w:val="both"/>
      </w:pPr>
    </w:p>
    <w:p w:rsidR="00D90A18" w:rsidP="00750824" w:rsidRDefault="00D90A18" w14:paraId="1E9C8F52" w14:textId="0780E0D7">
      <w:pPr>
        <w:jc w:val="both"/>
      </w:pPr>
      <w:r w:rsidR="00DB0B6E">
        <w:t xml:space="preserve">Dit</w:t>
      </w:r>
      <w:r>
        <w:t xml:space="preserve"> document is gebaseerd op bijdragen </w:t>
      </w:r>
      <w:r w:rsidR="00DB0B6E">
        <w:t xml:space="preserve">van de projectpartners</w:t>
      </w:r>
      <w:r>
        <w:t xml:space="preserve">, drie collectieve arbeidsovereenkomsten </w:t>
      </w:r>
      <w:r w:rsidR="00DB0B6E">
        <w:t xml:space="preserve">die zijn gesloten met </w:t>
      </w:r>
      <w:r w:rsidR="00DB0B6E">
        <w:t xml:space="preserve">platformbedrijven</w:t>
      </w:r>
      <w:r>
        <w:t xml:space="preserve">, het rapport van de deskundigengroep van de Europese Commissie over de omzetting van de richtlijn (januari 2026) en de discussies tijdens de tussentijdse conferentie in Ljubljana in mei 2025.</w:t>
      </w:r>
    </w:p>
    <w:p w:rsidR="00D90A18" w:rsidP="00750824" w:rsidRDefault="00D90A18" w14:paraId="773309D0" w14:textId="77777777">
      <w:pPr>
        <w:jc w:val="both"/>
      </w:pPr>
      <w:r>
        <w:t xml:space="preserve">De aanbevelingen zijn gericht aan de ministeries van Arbeid van de EU-lidstaten en aan de sociale partners. Ze geven de standpunten van het SDDP-consortium weer en niet noodzakelijkerwijs die van de Europese Commissie of van afzonderlijke lidstaten.</w:t>
      </w:r>
    </w:p>
    <w:p w:rsidR="00D90A18" w:rsidP="00750824" w:rsidRDefault="00D90A18" w14:paraId="7C0C6646" w14:textId="77777777">
      <w:pPr>
        <w:jc w:val="both"/>
      </w:pPr>
    </w:p>
    <w:p w:rsidR="00D90A18" w:rsidP="00750824" w:rsidRDefault="00D90A18" w14:paraId="02BC730F" w14:textId="77777777">
      <w:pPr>
        <w:jc w:val="both"/>
      </w:pPr>
      <w:r>
        <w:t xml:space="preserve">Ljubljana, februari 2026</w:t>
      </w:r>
    </w:p>
    <w:p w:rsidR="00750824" w:rsidRDefault="00750824" w14:paraId="43DF8F1C" w14:textId="77777777">
      <w:r>
        <w:br w:type="page"/>
      </w:r>
    </w:p>
    <w:sdt>
      <w:sdtPr>
        <w:id w:val="-1059785089"/>
        <w:docPartObj>
          <w:docPartGallery w:val="Table of Contents"/>
          <w:docPartUnique/>
        </w:docPartObj>
      </w:sdtPr>
      <w:sdtContent>
        <w:p w:rsidR="00983F19" w:rsidP="00750824" w:rsidRDefault="00D90A18" w14:paraId="032E0C10" w14:textId="33FE751C">
          <w:pPr>
            <w:jc w:val="both"/>
            <w:rPr>
              <w:b/>
              <w:bCs/>
              <w:color w:val="1F497D" w:themeColor="text2"/>
              <w:sz w:val="32"/>
              <w:szCs w:val="32"/>
            </w:rPr>
          </w:pPr>
          <w:r w:rsidRPr="00750824">
            <w:rPr>
              <w:b/>
              <w:bCs/>
              <w:color w:val="1F497D" w:themeColor="text2"/>
              <w:sz w:val="32"/>
              <w:szCs w:val="32"/>
            </w:rPr>
            <w:t xml:space="preserve">Inhoudsopgave</w:t>
          </w:r>
        </w:p>
        <w:p w:rsidRPr="00750824" w:rsidR="00750824" w:rsidP="00750824" w:rsidRDefault="00750824" w14:paraId="2E64F756" w14:textId="77777777">
          <w:pPr>
            <w:jc w:val="both"/>
            <w:rPr>
              <w:b/>
              <w:bCs/>
              <w:color w:val="1F497D" w:themeColor="text2"/>
              <w:sz w:val="32"/>
              <w:szCs w:val="32"/>
            </w:rPr>
          </w:pPr>
        </w:p>
        <w:p w:rsidR="00615F18" w:rsidRDefault="00000000" w14:paraId="27C0A924" w14:textId="5B2FD599">
          <w:pPr>
            <w:pStyle w:val="Kazalovsebine1"/>
            <w:tabs>
              <w:tab w:val="right" w:leader="dot" w:pos="9016"/>
            </w:tabs>
            <w:rPr>
              <w:rFonts w:asciiTheme="minorHAnsi" w:hAnsiTheme="minorHAnsi" w:eastAsiaTheme="minorEastAsia" w:cstheme="minorBidi"/>
              <w:noProof/>
              <w:kern w:val="2"/>
              <w14:ligatures w14:val="standardContextual"/>
            </w:rPr>
          </w:pPr>
          <w:r>
            <w:fldChar w:fldCharType="begin"/>
          </w:r>
          <w:r>
            <w:instrText>TOC \o "1-2" \h \z \u</w:instrText>
          </w:r>
          <w:r>
            <w:fldChar w:fldCharType="separate"/>
          </w:r>
          <w:hyperlink w:history="1" w:anchor="_Toc233699476">
            <w:r w:rsidRPr="00C7164C" w:rsidR="00615F18">
              <w:rPr>
                <w:rStyle w:val="Hiperpovezava"/>
                <w:noProof/>
              </w:rPr>
              <w:t xml:space="preserve">Samenvatting</w:t>
            </w:r>
            <w:r w:rsidR="00615F18">
              <w:rPr>
                <w:noProof/>
                <w:webHidden/>
              </w:rPr>
              <w:tab/>
            </w:r>
            <w:r w:rsidR="00615F18">
              <w:rPr>
                <w:noProof/>
                <w:webHidden/>
              </w:rPr>
              <w:fldChar w:fldCharType="begin"/>
            </w:r>
            <w:r w:rsidR="00615F18">
              <w:rPr>
                <w:noProof/>
                <w:webHidden/>
              </w:rPr>
              <w:instrText xml:space="preserve"> PAGEREF _Toc233699476 \h </w:instrText>
            </w:r>
            <w:r w:rsidR="00615F18">
              <w:rPr>
                <w:noProof/>
                <w:webHidden/>
              </w:rPr>
              <w:fldChar w:fldCharType="separate"/>
            </w:r>
            <w:r w:rsidR="00615F18">
              <w:rPr>
                <w:noProof/>
                <w:webHidden/>
              </w:rPr>
              <w:t>1</w:t>
            </w:r>
            <w:r w:rsidR="00615F18">
              <w:rPr>
                <w:noProof/>
                <w:webHidden/>
              </w:rPr>
              <w:fldChar w:fldCharType="end"/>
            </w:r>
          </w:hyperlink>
        </w:p>
        <w:p w:rsidR="00615F18" w:rsidRDefault="00615F18" w14:paraId="2525978E" w14:textId="1BCB9985">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7">
            <w:r w:rsidRPr="00C7164C">
              <w:rPr>
                <w:rStyle w:val="Hiperpovezava"/>
                <w:noProof/>
              </w:rPr>
              <w:t xml:space="preserve">10 belangrijke aanbevelingen</w:t>
            </w:r>
            <w:r>
              <w:rPr>
                <w:noProof/>
                <w:webHidden/>
              </w:rPr>
              <w:tab/>
            </w:r>
            <w:r>
              <w:rPr>
                <w:noProof/>
                <w:webHidden/>
              </w:rPr>
              <w:fldChar w:fldCharType="begin"/>
            </w:r>
            <w:r>
              <w:rPr>
                <w:noProof/>
                <w:webHidden/>
              </w:rPr>
              <w:instrText xml:space="preserve"> PAGEREF _Toc233699477 \h </w:instrText>
            </w:r>
            <w:r>
              <w:rPr>
                <w:noProof/>
                <w:webHidden/>
              </w:rPr>
              <w:fldChar w:fldCharType="separate"/>
            </w:r>
            <w:r>
              <w:rPr>
                <w:noProof/>
                <w:webHidden/>
              </w:rPr>
              <w:t>2</w:t>
            </w:r>
            <w:r>
              <w:rPr>
                <w:noProof/>
                <w:webHidden/>
              </w:rPr>
              <w:fldChar w:fldCharType="end"/>
            </w:r>
          </w:hyperlink>
        </w:p>
        <w:p w:rsidR="00615F18" w:rsidRDefault="00615F18" w14:paraId="2E33F562" w14:textId="18E9ADD7">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8">
            <w:r w:rsidRPr="00C7164C">
              <w:rPr>
                <w:rStyle w:val="Hiperpovezava"/>
                <w:noProof/>
              </w:rPr>
              <w:t xml:space="preserve">Voorwoord</w:t>
            </w:r>
            <w:r>
              <w:rPr>
                <w:noProof/>
                <w:webHidden/>
              </w:rPr>
              <w:tab/>
            </w:r>
            <w:r>
              <w:rPr>
                <w:noProof/>
                <w:webHidden/>
              </w:rPr>
              <w:fldChar w:fldCharType="begin"/>
            </w:r>
            <w:r>
              <w:rPr>
                <w:noProof/>
                <w:webHidden/>
              </w:rPr>
              <w:instrText xml:space="preserve"> PAGEREF _Toc233699478 \h </w:instrText>
            </w:r>
            <w:r>
              <w:rPr>
                <w:noProof/>
                <w:webHidden/>
              </w:rPr>
              <w:fldChar w:fldCharType="separate"/>
            </w:r>
            <w:r>
              <w:rPr>
                <w:noProof/>
                <w:webHidden/>
              </w:rPr>
              <w:t>5</w:t>
            </w:r>
            <w:r>
              <w:rPr>
                <w:noProof/>
                <w:webHidden/>
              </w:rPr>
              <w:fldChar w:fldCharType="end"/>
            </w:r>
          </w:hyperlink>
        </w:p>
        <w:p w:rsidR="00615F18" w:rsidRDefault="00615F18" w14:paraId="1A597F6E" w14:textId="509EAABA">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9">
            <w:r w:rsidRPr="00C7164C">
              <w:rPr>
                <w:rStyle w:val="Hiperpovezava"/>
                <w:noProof/>
              </w:rPr>
              <w:t xml:space="preserve">Hoofdstuk 1: Inleiding</w:t>
            </w:r>
            <w:r>
              <w:rPr>
                <w:noProof/>
                <w:webHidden/>
              </w:rPr>
              <w:tab/>
            </w:r>
            <w:r>
              <w:rPr>
                <w:noProof/>
                <w:webHidden/>
              </w:rPr>
              <w:fldChar w:fldCharType="begin"/>
            </w:r>
            <w:r>
              <w:rPr>
                <w:noProof/>
                <w:webHidden/>
              </w:rPr>
              <w:instrText xml:space="preserve"> PAGEREF _Toc233699479 \h </w:instrText>
            </w:r>
            <w:r>
              <w:rPr>
                <w:noProof/>
                <w:webHidden/>
              </w:rPr>
              <w:fldChar w:fldCharType="separate"/>
            </w:r>
            <w:r>
              <w:rPr>
                <w:noProof/>
                <w:webHidden/>
              </w:rPr>
              <w:t>8</w:t>
            </w:r>
            <w:r>
              <w:rPr>
                <w:noProof/>
                <w:webHidden/>
              </w:rPr>
              <w:fldChar w:fldCharType="end"/>
            </w:r>
          </w:hyperlink>
        </w:p>
        <w:p w:rsidR="00615F18" w:rsidRDefault="00615F18" w14:paraId="767A55BB" w14:textId="49CC8451">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0">
            <w:r w:rsidRPr="00C7164C">
              <w:rPr>
                <w:rStyle w:val="Hiperpovezava"/>
                <w:noProof/>
              </w:rPr>
              <w:t xml:space="preserve">Hoofdstuk 2: Toepassingsgebied en definities</w:t>
            </w:r>
            <w:r>
              <w:rPr>
                <w:noProof/>
                <w:webHidden/>
              </w:rPr>
              <w:tab/>
            </w:r>
            <w:r>
              <w:rPr>
                <w:noProof/>
                <w:webHidden/>
              </w:rPr>
              <w:fldChar w:fldCharType="begin"/>
            </w:r>
            <w:r>
              <w:rPr>
                <w:noProof/>
                <w:webHidden/>
              </w:rPr>
              <w:instrText xml:space="preserve"> PAGEREF _Toc233699480 \h </w:instrText>
            </w:r>
            <w:r>
              <w:rPr>
                <w:noProof/>
                <w:webHidden/>
              </w:rPr>
              <w:fldChar w:fldCharType="separate"/>
            </w:r>
            <w:r>
              <w:rPr>
                <w:noProof/>
                <w:webHidden/>
              </w:rPr>
              <w:t>11</w:t>
            </w:r>
            <w:r>
              <w:rPr>
                <w:noProof/>
                <w:webHidden/>
              </w:rPr>
              <w:fldChar w:fldCharType="end"/>
            </w:r>
          </w:hyperlink>
        </w:p>
        <w:p w:rsidR="00615F18" w:rsidRDefault="00615F18" w14:paraId="4E37DEAB" w14:textId="150280E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1">
            <w:r w:rsidRPr="00C7164C">
              <w:rPr>
                <w:rStyle w:val="Hiperpovezava"/>
                <w:noProof/>
              </w:rPr>
              <w:t xml:space="preserve">2.1 Vereisten van de richtlijn</w:t>
            </w:r>
            <w:r>
              <w:rPr>
                <w:noProof/>
                <w:webHidden/>
              </w:rPr>
              <w:tab/>
            </w:r>
            <w:r>
              <w:rPr>
                <w:noProof/>
                <w:webHidden/>
              </w:rPr>
              <w:fldChar w:fldCharType="begin"/>
            </w:r>
            <w:r>
              <w:rPr>
                <w:noProof/>
                <w:webHidden/>
              </w:rPr>
              <w:instrText xml:space="preserve"> PAGEREF _Toc233699481 \h </w:instrText>
            </w:r>
            <w:r>
              <w:rPr>
                <w:noProof/>
                <w:webHidden/>
              </w:rPr>
              <w:fldChar w:fldCharType="separate"/>
            </w:r>
            <w:r>
              <w:rPr>
                <w:noProof/>
                <w:webHidden/>
              </w:rPr>
              <w:t>11</w:t>
            </w:r>
            <w:r>
              <w:rPr>
                <w:noProof/>
                <w:webHidden/>
              </w:rPr>
              <w:fldChar w:fldCharType="end"/>
            </w:r>
          </w:hyperlink>
        </w:p>
        <w:p w:rsidR="00615F18" w:rsidRDefault="00615F18" w14:paraId="50662A26" w14:textId="4D0A28A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2">
            <w:r w:rsidRPr="00C7164C">
              <w:rPr>
                <w:rStyle w:val="Hiperpovezava"/>
                <w:noProof/>
              </w:rPr>
              <w:t xml:space="preserve">2.2 Bevindingen uit de praktijk</w:t>
            </w:r>
            <w:r>
              <w:rPr>
                <w:noProof/>
                <w:webHidden/>
              </w:rPr>
              <w:tab/>
            </w:r>
            <w:r>
              <w:rPr>
                <w:noProof/>
                <w:webHidden/>
              </w:rPr>
              <w:fldChar w:fldCharType="begin"/>
            </w:r>
            <w:r>
              <w:rPr>
                <w:noProof/>
                <w:webHidden/>
              </w:rPr>
              <w:instrText xml:space="preserve"> PAGEREF _Toc233699482 \h </w:instrText>
            </w:r>
            <w:r>
              <w:rPr>
                <w:noProof/>
                <w:webHidden/>
              </w:rPr>
              <w:fldChar w:fldCharType="separate"/>
            </w:r>
            <w:r>
              <w:rPr>
                <w:noProof/>
                <w:webHidden/>
              </w:rPr>
              <w:t>12</w:t>
            </w:r>
            <w:r>
              <w:rPr>
                <w:noProof/>
                <w:webHidden/>
              </w:rPr>
              <w:fldChar w:fldCharType="end"/>
            </w:r>
          </w:hyperlink>
        </w:p>
        <w:p w:rsidR="00615F18" w:rsidRDefault="00615F18" w14:paraId="7A6BE073" w14:textId="56AA867A">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3">
            <w:r w:rsidRPr="00C7164C">
              <w:rPr>
                <w:rStyle w:val="Hiperpovezava"/>
                <w:noProof/>
              </w:rPr>
              <w:t xml:space="preserve">2.3 Aanbevelingen</w:t>
            </w:r>
            <w:r>
              <w:rPr>
                <w:noProof/>
                <w:webHidden/>
              </w:rPr>
              <w:tab/>
            </w:r>
            <w:r>
              <w:rPr>
                <w:noProof/>
                <w:webHidden/>
              </w:rPr>
              <w:fldChar w:fldCharType="begin"/>
            </w:r>
            <w:r>
              <w:rPr>
                <w:noProof/>
                <w:webHidden/>
              </w:rPr>
              <w:instrText xml:space="preserve"> PAGEREF _Toc233699483 \h </w:instrText>
            </w:r>
            <w:r>
              <w:rPr>
                <w:noProof/>
                <w:webHidden/>
              </w:rPr>
              <w:fldChar w:fldCharType="separate"/>
            </w:r>
            <w:r>
              <w:rPr>
                <w:noProof/>
                <w:webHidden/>
              </w:rPr>
              <w:t>13</w:t>
            </w:r>
            <w:r>
              <w:rPr>
                <w:noProof/>
                <w:webHidden/>
              </w:rPr>
              <w:fldChar w:fldCharType="end"/>
            </w:r>
          </w:hyperlink>
        </w:p>
        <w:p w:rsidR="00615F18" w:rsidRDefault="00615F18" w14:paraId="178E8428" w14:textId="02FF9B60">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4">
            <w:r w:rsidRPr="00C7164C">
              <w:rPr>
                <w:rStyle w:val="Hiperpovezava"/>
                <w:noProof/>
              </w:rPr>
              <w:t xml:space="preserve">Hoofdstuk 3: Juridisch vermoeden van een dienstverband en vaststelling van de arbeidsrechtelijke status</w:t>
            </w:r>
            <w:r>
              <w:rPr>
                <w:noProof/>
                <w:webHidden/>
              </w:rPr>
              <w:tab/>
            </w:r>
            <w:r>
              <w:rPr>
                <w:noProof/>
                <w:webHidden/>
              </w:rPr>
              <w:fldChar w:fldCharType="begin"/>
            </w:r>
            <w:r>
              <w:rPr>
                <w:noProof/>
                <w:webHidden/>
              </w:rPr>
              <w:instrText xml:space="preserve"> PAGEREF _Toc233699484 \h </w:instrText>
            </w:r>
            <w:r>
              <w:rPr>
                <w:noProof/>
                <w:webHidden/>
              </w:rPr>
              <w:fldChar w:fldCharType="separate"/>
            </w:r>
            <w:r>
              <w:rPr>
                <w:noProof/>
                <w:webHidden/>
              </w:rPr>
              <w:t>17</w:t>
            </w:r>
            <w:r>
              <w:rPr>
                <w:noProof/>
                <w:webHidden/>
              </w:rPr>
              <w:fldChar w:fldCharType="end"/>
            </w:r>
          </w:hyperlink>
        </w:p>
        <w:p w:rsidR="00615F18" w:rsidRDefault="00615F18" w14:paraId="5170A70E" w14:textId="2EF5F821">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5">
            <w:r w:rsidRPr="00C7164C">
              <w:rPr>
                <w:rStyle w:val="Hiperpovezava"/>
                <w:noProof/>
              </w:rPr>
              <w:t xml:space="preserve">3.1 Vereisten van de richtlijn</w:t>
            </w:r>
            <w:r>
              <w:rPr>
                <w:noProof/>
                <w:webHidden/>
              </w:rPr>
              <w:tab/>
            </w:r>
            <w:r>
              <w:rPr>
                <w:noProof/>
                <w:webHidden/>
              </w:rPr>
              <w:fldChar w:fldCharType="begin"/>
            </w:r>
            <w:r>
              <w:rPr>
                <w:noProof/>
                <w:webHidden/>
              </w:rPr>
              <w:instrText xml:space="preserve"> PAGEREF _Toc233699485 \h </w:instrText>
            </w:r>
            <w:r>
              <w:rPr>
                <w:noProof/>
                <w:webHidden/>
              </w:rPr>
              <w:fldChar w:fldCharType="separate"/>
            </w:r>
            <w:r>
              <w:rPr>
                <w:noProof/>
                <w:webHidden/>
              </w:rPr>
              <w:t>17</w:t>
            </w:r>
            <w:r>
              <w:rPr>
                <w:noProof/>
                <w:webHidden/>
              </w:rPr>
              <w:fldChar w:fldCharType="end"/>
            </w:r>
          </w:hyperlink>
        </w:p>
        <w:p w:rsidR="00615F18" w:rsidRDefault="00615F18" w14:paraId="69C5AA96" w14:textId="11878A0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6">
            <w:r w:rsidRPr="00C7164C">
              <w:rPr>
                <w:rStyle w:val="Hiperpovezava"/>
                <w:noProof/>
              </w:rPr>
              <w:t xml:space="preserve">3.2 Bevindingen uit de praktijk</w:t>
            </w:r>
            <w:r>
              <w:rPr>
                <w:noProof/>
                <w:webHidden/>
              </w:rPr>
              <w:tab/>
            </w:r>
            <w:r>
              <w:rPr>
                <w:noProof/>
                <w:webHidden/>
              </w:rPr>
              <w:fldChar w:fldCharType="begin"/>
            </w:r>
            <w:r>
              <w:rPr>
                <w:noProof/>
                <w:webHidden/>
              </w:rPr>
              <w:instrText xml:space="preserve"> PAGEREF _Toc233699486 \h </w:instrText>
            </w:r>
            <w:r>
              <w:rPr>
                <w:noProof/>
                <w:webHidden/>
              </w:rPr>
              <w:fldChar w:fldCharType="separate"/>
            </w:r>
            <w:r>
              <w:rPr>
                <w:noProof/>
                <w:webHidden/>
              </w:rPr>
              <w:t>18</w:t>
            </w:r>
            <w:r>
              <w:rPr>
                <w:noProof/>
                <w:webHidden/>
              </w:rPr>
              <w:fldChar w:fldCharType="end"/>
            </w:r>
          </w:hyperlink>
        </w:p>
        <w:p w:rsidR="00615F18" w:rsidRDefault="00615F18" w14:paraId="5F2E28E9" w14:textId="2FCEB25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7">
            <w:r w:rsidRPr="00C7164C">
              <w:rPr>
                <w:rStyle w:val="Hiperpovezava"/>
                <w:noProof/>
              </w:rPr>
              <w:t xml:space="preserve">3.3 Aanbevelingen</w:t>
            </w:r>
            <w:r>
              <w:rPr>
                <w:noProof/>
                <w:webHidden/>
              </w:rPr>
              <w:tab/>
            </w:r>
            <w:r>
              <w:rPr>
                <w:noProof/>
                <w:webHidden/>
              </w:rPr>
              <w:fldChar w:fldCharType="begin"/>
            </w:r>
            <w:r>
              <w:rPr>
                <w:noProof/>
                <w:webHidden/>
              </w:rPr>
              <w:instrText xml:space="preserve"> PAGEREF _Toc233699487 \h </w:instrText>
            </w:r>
            <w:r>
              <w:rPr>
                <w:noProof/>
                <w:webHidden/>
              </w:rPr>
              <w:fldChar w:fldCharType="separate"/>
            </w:r>
            <w:r>
              <w:rPr>
                <w:noProof/>
                <w:webHidden/>
              </w:rPr>
              <w:t>20</w:t>
            </w:r>
            <w:r>
              <w:rPr>
                <w:noProof/>
                <w:webHidden/>
              </w:rPr>
              <w:fldChar w:fldCharType="end"/>
            </w:r>
          </w:hyperlink>
        </w:p>
        <w:p w:rsidR="00615F18" w:rsidRDefault="00615F18" w14:paraId="08E46C7B" w14:textId="34A753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8">
            <w:r w:rsidRPr="00C7164C">
              <w:rPr>
                <w:rStyle w:val="Hiperpovezava"/>
                <w:noProof/>
              </w:rPr>
              <w:t xml:space="preserve">Hoofdstuk 4: Algoritmisch beheer en menselijk toezicht</w:t>
            </w:r>
            <w:r>
              <w:rPr>
                <w:noProof/>
                <w:webHidden/>
              </w:rPr>
              <w:tab/>
            </w:r>
            <w:r>
              <w:rPr>
                <w:noProof/>
                <w:webHidden/>
              </w:rPr>
              <w:fldChar w:fldCharType="begin"/>
            </w:r>
            <w:r>
              <w:rPr>
                <w:noProof/>
                <w:webHidden/>
              </w:rPr>
              <w:instrText xml:space="preserve"> PAGEREF _Toc233699488 \h </w:instrText>
            </w:r>
            <w:r>
              <w:rPr>
                <w:noProof/>
                <w:webHidden/>
              </w:rPr>
              <w:fldChar w:fldCharType="separate"/>
            </w:r>
            <w:r>
              <w:rPr>
                <w:noProof/>
                <w:webHidden/>
              </w:rPr>
              <w:t>23</w:t>
            </w:r>
            <w:r>
              <w:rPr>
                <w:noProof/>
                <w:webHidden/>
              </w:rPr>
              <w:fldChar w:fldCharType="end"/>
            </w:r>
          </w:hyperlink>
        </w:p>
        <w:p w:rsidR="00615F18" w:rsidRDefault="00615F18" w14:paraId="3E226B7F" w14:textId="01D45BA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9">
            <w:r w:rsidRPr="00C7164C">
              <w:rPr>
                <w:rStyle w:val="Hiperpovezava"/>
                <w:noProof/>
              </w:rPr>
              <w:t xml:space="preserve">4.1 Vereisten van de richtlijn</w:t>
            </w:r>
            <w:r>
              <w:rPr>
                <w:noProof/>
                <w:webHidden/>
              </w:rPr>
              <w:tab/>
            </w:r>
            <w:r>
              <w:rPr>
                <w:noProof/>
                <w:webHidden/>
              </w:rPr>
              <w:fldChar w:fldCharType="begin"/>
            </w:r>
            <w:r>
              <w:rPr>
                <w:noProof/>
                <w:webHidden/>
              </w:rPr>
              <w:instrText xml:space="preserve"> PAGEREF _Toc233699489 \h </w:instrText>
            </w:r>
            <w:r>
              <w:rPr>
                <w:noProof/>
                <w:webHidden/>
              </w:rPr>
              <w:fldChar w:fldCharType="separate"/>
            </w:r>
            <w:r>
              <w:rPr>
                <w:noProof/>
                <w:webHidden/>
              </w:rPr>
              <w:t>23</w:t>
            </w:r>
            <w:r>
              <w:rPr>
                <w:noProof/>
                <w:webHidden/>
              </w:rPr>
              <w:fldChar w:fldCharType="end"/>
            </w:r>
          </w:hyperlink>
        </w:p>
        <w:p w:rsidR="00615F18" w:rsidRDefault="00615F18" w14:paraId="4982C58C" w14:textId="1C3387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0">
            <w:r w:rsidRPr="00C7164C">
              <w:rPr>
                <w:rStyle w:val="Hiperpovezava"/>
                <w:noProof/>
              </w:rPr>
              <w:t xml:space="preserve">4.2 Bevindingen uit de praktijk</w:t>
            </w:r>
            <w:r>
              <w:rPr>
                <w:noProof/>
                <w:webHidden/>
              </w:rPr>
              <w:tab/>
            </w:r>
            <w:r>
              <w:rPr>
                <w:noProof/>
                <w:webHidden/>
              </w:rPr>
              <w:fldChar w:fldCharType="begin"/>
            </w:r>
            <w:r>
              <w:rPr>
                <w:noProof/>
                <w:webHidden/>
              </w:rPr>
              <w:instrText xml:space="preserve"> PAGEREF _Toc233699490 \h </w:instrText>
            </w:r>
            <w:r>
              <w:rPr>
                <w:noProof/>
                <w:webHidden/>
              </w:rPr>
              <w:fldChar w:fldCharType="separate"/>
            </w:r>
            <w:r>
              <w:rPr>
                <w:noProof/>
                <w:webHidden/>
              </w:rPr>
              <w:t>24</w:t>
            </w:r>
            <w:r>
              <w:rPr>
                <w:noProof/>
                <w:webHidden/>
              </w:rPr>
              <w:fldChar w:fldCharType="end"/>
            </w:r>
          </w:hyperlink>
        </w:p>
        <w:p w:rsidR="00615F18" w:rsidRDefault="00615F18" w14:paraId="38E1609B" w14:textId="334264C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1">
            <w:r w:rsidRPr="00C7164C">
              <w:rPr>
                <w:rStyle w:val="Hiperpovezava"/>
                <w:noProof/>
              </w:rPr>
              <w:t xml:space="preserve">4.3 Aanbevelingen</w:t>
            </w:r>
            <w:r>
              <w:rPr>
                <w:noProof/>
                <w:webHidden/>
              </w:rPr>
              <w:tab/>
            </w:r>
            <w:r>
              <w:rPr>
                <w:noProof/>
                <w:webHidden/>
              </w:rPr>
              <w:fldChar w:fldCharType="begin"/>
            </w:r>
            <w:r>
              <w:rPr>
                <w:noProof/>
                <w:webHidden/>
              </w:rPr>
              <w:instrText xml:space="preserve"> PAGEREF _Toc233699491 \h </w:instrText>
            </w:r>
            <w:r>
              <w:rPr>
                <w:noProof/>
                <w:webHidden/>
              </w:rPr>
              <w:fldChar w:fldCharType="separate"/>
            </w:r>
            <w:r>
              <w:rPr>
                <w:noProof/>
                <w:webHidden/>
              </w:rPr>
              <w:t>26</w:t>
            </w:r>
            <w:r>
              <w:rPr>
                <w:noProof/>
                <w:webHidden/>
              </w:rPr>
              <w:fldChar w:fldCharType="end"/>
            </w:r>
          </w:hyperlink>
        </w:p>
        <w:p w:rsidR="00615F18" w:rsidRDefault="00615F18" w14:paraId="3943DE7E" w14:textId="58F37BFF">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2">
            <w:r w:rsidRPr="00C7164C">
              <w:rPr>
                <w:rStyle w:val="Hiperpovezava"/>
                <w:noProof/>
              </w:rPr>
              <w:t xml:space="preserve">Hoofdstuk 5: Gegevensbescherming en privacy</w:t>
            </w:r>
            <w:r>
              <w:rPr>
                <w:noProof/>
                <w:webHidden/>
              </w:rPr>
              <w:tab/>
            </w:r>
            <w:r>
              <w:rPr>
                <w:noProof/>
                <w:webHidden/>
              </w:rPr>
              <w:fldChar w:fldCharType="begin"/>
            </w:r>
            <w:r>
              <w:rPr>
                <w:noProof/>
                <w:webHidden/>
              </w:rPr>
              <w:instrText xml:space="preserve"> PAGEREF _Toc233699492 \h </w:instrText>
            </w:r>
            <w:r>
              <w:rPr>
                <w:noProof/>
                <w:webHidden/>
              </w:rPr>
              <w:fldChar w:fldCharType="separate"/>
            </w:r>
            <w:r>
              <w:rPr>
                <w:noProof/>
                <w:webHidden/>
              </w:rPr>
              <w:t>29</w:t>
            </w:r>
            <w:r>
              <w:rPr>
                <w:noProof/>
                <w:webHidden/>
              </w:rPr>
              <w:fldChar w:fldCharType="end"/>
            </w:r>
          </w:hyperlink>
        </w:p>
        <w:p w:rsidR="00615F18" w:rsidRDefault="00615F18" w14:paraId="7BBB6CD9" w14:textId="72AF92D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3">
            <w:r w:rsidRPr="00C7164C">
              <w:rPr>
                <w:rStyle w:val="Hiperpovezava"/>
                <w:noProof/>
              </w:rPr>
              <w:t xml:space="preserve">5.1 Vereisten van de richtlijn</w:t>
            </w:r>
            <w:r>
              <w:rPr>
                <w:noProof/>
                <w:webHidden/>
              </w:rPr>
              <w:tab/>
            </w:r>
            <w:r>
              <w:rPr>
                <w:noProof/>
                <w:webHidden/>
              </w:rPr>
              <w:fldChar w:fldCharType="begin"/>
            </w:r>
            <w:r>
              <w:rPr>
                <w:noProof/>
                <w:webHidden/>
              </w:rPr>
              <w:instrText xml:space="preserve"> PAGEREF _Toc233699493 \h </w:instrText>
            </w:r>
            <w:r>
              <w:rPr>
                <w:noProof/>
                <w:webHidden/>
              </w:rPr>
              <w:fldChar w:fldCharType="separate"/>
            </w:r>
            <w:r>
              <w:rPr>
                <w:noProof/>
                <w:webHidden/>
              </w:rPr>
              <w:t>29</w:t>
            </w:r>
            <w:r>
              <w:rPr>
                <w:noProof/>
                <w:webHidden/>
              </w:rPr>
              <w:fldChar w:fldCharType="end"/>
            </w:r>
          </w:hyperlink>
        </w:p>
        <w:p w:rsidR="00615F18" w:rsidRDefault="00615F18" w14:paraId="604BC24E" w14:textId="380C6B2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4">
            <w:r w:rsidRPr="00C7164C">
              <w:rPr>
                <w:rStyle w:val="Hiperpovezava"/>
                <w:noProof/>
              </w:rPr>
              <w:t xml:space="preserve">5.2 Bevindingen uit de praktijk</w:t>
            </w:r>
            <w:r>
              <w:rPr>
                <w:noProof/>
                <w:webHidden/>
              </w:rPr>
              <w:tab/>
            </w:r>
            <w:r>
              <w:rPr>
                <w:noProof/>
                <w:webHidden/>
              </w:rPr>
              <w:fldChar w:fldCharType="begin"/>
            </w:r>
            <w:r>
              <w:rPr>
                <w:noProof/>
                <w:webHidden/>
              </w:rPr>
              <w:instrText xml:space="preserve"> PAGEREF _Toc233699494 \h </w:instrText>
            </w:r>
            <w:r>
              <w:rPr>
                <w:noProof/>
                <w:webHidden/>
              </w:rPr>
              <w:fldChar w:fldCharType="separate"/>
            </w:r>
            <w:r>
              <w:rPr>
                <w:noProof/>
                <w:webHidden/>
              </w:rPr>
              <w:t>30</w:t>
            </w:r>
            <w:r>
              <w:rPr>
                <w:noProof/>
                <w:webHidden/>
              </w:rPr>
              <w:fldChar w:fldCharType="end"/>
            </w:r>
          </w:hyperlink>
        </w:p>
        <w:p w:rsidR="00615F18" w:rsidRDefault="00615F18" w14:paraId="556A25BE" w14:textId="43DE6E5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5">
            <w:r w:rsidRPr="00C7164C">
              <w:rPr>
                <w:rStyle w:val="Hiperpovezava"/>
                <w:noProof/>
              </w:rPr>
              <w:t xml:space="preserve">5.3 Aanbevelingen</w:t>
            </w:r>
            <w:r>
              <w:rPr>
                <w:noProof/>
                <w:webHidden/>
              </w:rPr>
              <w:tab/>
            </w:r>
            <w:r>
              <w:rPr>
                <w:noProof/>
                <w:webHidden/>
              </w:rPr>
              <w:fldChar w:fldCharType="begin"/>
            </w:r>
            <w:r>
              <w:rPr>
                <w:noProof/>
                <w:webHidden/>
              </w:rPr>
              <w:instrText xml:space="preserve"> PAGEREF _Toc233699495 \h </w:instrText>
            </w:r>
            <w:r>
              <w:rPr>
                <w:noProof/>
                <w:webHidden/>
              </w:rPr>
              <w:fldChar w:fldCharType="separate"/>
            </w:r>
            <w:r>
              <w:rPr>
                <w:noProof/>
                <w:webHidden/>
              </w:rPr>
              <w:t>31</w:t>
            </w:r>
            <w:r>
              <w:rPr>
                <w:noProof/>
                <w:webHidden/>
              </w:rPr>
              <w:fldChar w:fldCharType="end"/>
            </w:r>
          </w:hyperlink>
        </w:p>
        <w:p w:rsidR="00615F18" w:rsidRDefault="00615F18" w14:paraId="6436CA14" w14:textId="5EB594B6">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6">
            <w:r w:rsidRPr="00C7164C">
              <w:rPr>
                <w:rStyle w:val="Hiperpovezava"/>
                <w:noProof/>
              </w:rPr>
              <w:t xml:space="preserve">Hoofdstuk 6: Collectieve rechten en sociale dialoog</w:t>
            </w:r>
            <w:r>
              <w:rPr>
                <w:noProof/>
                <w:webHidden/>
              </w:rPr>
              <w:tab/>
            </w:r>
            <w:r>
              <w:rPr>
                <w:noProof/>
                <w:webHidden/>
              </w:rPr>
              <w:fldChar w:fldCharType="begin"/>
            </w:r>
            <w:r>
              <w:rPr>
                <w:noProof/>
                <w:webHidden/>
              </w:rPr>
              <w:instrText xml:space="preserve"> PAGEREF _Toc233699496 \h </w:instrText>
            </w:r>
            <w:r>
              <w:rPr>
                <w:noProof/>
                <w:webHidden/>
              </w:rPr>
              <w:fldChar w:fldCharType="separate"/>
            </w:r>
            <w:r>
              <w:rPr>
                <w:noProof/>
                <w:webHidden/>
              </w:rPr>
              <w:t>34</w:t>
            </w:r>
            <w:r>
              <w:rPr>
                <w:noProof/>
                <w:webHidden/>
              </w:rPr>
              <w:fldChar w:fldCharType="end"/>
            </w:r>
          </w:hyperlink>
        </w:p>
        <w:p w:rsidR="00615F18" w:rsidRDefault="00615F18" w14:paraId="24F35C3A" w14:textId="492D6662">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7">
            <w:r w:rsidRPr="00C7164C">
              <w:rPr>
                <w:rStyle w:val="Hiperpovezava"/>
                <w:noProof/>
              </w:rPr>
              <w:t xml:space="preserve">6.1 Vereisten van de richtlijn</w:t>
            </w:r>
            <w:r>
              <w:rPr>
                <w:noProof/>
                <w:webHidden/>
              </w:rPr>
              <w:tab/>
            </w:r>
            <w:r>
              <w:rPr>
                <w:noProof/>
                <w:webHidden/>
              </w:rPr>
              <w:fldChar w:fldCharType="begin"/>
            </w:r>
            <w:r>
              <w:rPr>
                <w:noProof/>
                <w:webHidden/>
              </w:rPr>
              <w:instrText xml:space="preserve"> PAGEREF _Toc233699497 \h </w:instrText>
            </w:r>
            <w:r>
              <w:rPr>
                <w:noProof/>
                <w:webHidden/>
              </w:rPr>
              <w:fldChar w:fldCharType="separate"/>
            </w:r>
            <w:r>
              <w:rPr>
                <w:noProof/>
                <w:webHidden/>
              </w:rPr>
              <w:t>34</w:t>
            </w:r>
            <w:r>
              <w:rPr>
                <w:noProof/>
                <w:webHidden/>
              </w:rPr>
              <w:fldChar w:fldCharType="end"/>
            </w:r>
          </w:hyperlink>
        </w:p>
        <w:p w:rsidR="00615F18" w:rsidRDefault="00615F18" w14:paraId="2725D352" w14:textId="1FB7C1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8">
            <w:r w:rsidRPr="00C7164C">
              <w:rPr>
                <w:rStyle w:val="Hiperpovezava"/>
                <w:noProof/>
              </w:rPr>
              <w:t xml:space="preserve">6.2 Bevindingen uit de praktijk</w:t>
            </w:r>
            <w:r>
              <w:rPr>
                <w:noProof/>
                <w:webHidden/>
              </w:rPr>
              <w:tab/>
            </w:r>
            <w:r>
              <w:rPr>
                <w:noProof/>
                <w:webHidden/>
              </w:rPr>
              <w:fldChar w:fldCharType="begin"/>
            </w:r>
            <w:r>
              <w:rPr>
                <w:noProof/>
                <w:webHidden/>
              </w:rPr>
              <w:instrText xml:space="preserve"> PAGEREF _Toc233699498 \h </w:instrText>
            </w:r>
            <w:r>
              <w:rPr>
                <w:noProof/>
                <w:webHidden/>
              </w:rPr>
              <w:fldChar w:fldCharType="separate"/>
            </w:r>
            <w:r>
              <w:rPr>
                <w:noProof/>
                <w:webHidden/>
              </w:rPr>
              <w:t>35</w:t>
            </w:r>
            <w:r>
              <w:rPr>
                <w:noProof/>
                <w:webHidden/>
              </w:rPr>
              <w:fldChar w:fldCharType="end"/>
            </w:r>
          </w:hyperlink>
        </w:p>
        <w:p w:rsidR="00615F18" w:rsidRDefault="00615F18" w14:paraId="7128B7BE" w14:textId="5EBD029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9">
            <w:r w:rsidRPr="00C7164C">
              <w:rPr>
                <w:rStyle w:val="Hiperpovezava"/>
                <w:noProof/>
              </w:rPr>
              <w:t xml:space="preserve">6.3 Aanbevelingen</w:t>
            </w:r>
            <w:r>
              <w:rPr>
                <w:noProof/>
                <w:webHidden/>
              </w:rPr>
              <w:tab/>
            </w:r>
            <w:r>
              <w:rPr>
                <w:noProof/>
                <w:webHidden/>
              </w:rPr>
              <w:fldChar w:fldCharType="begin"/>
            </w:r>
            <w:r>
              <w:rPr>
                <w:noProof/>
                <w:webHidden/>
              </w:rPr>
              <w:instrText xml:space="preserve"> PAGEREF _Toc233699499 \h </w:instrText>
            </w:r>
            <w:r>
              <w:rPr>
                <w:noProof/>
                <w:webHidden/>
              </w:rPr>
              <w:fldChar w:fldCharType="separate"/>
            </w:r>
            <w:r>
              <w:rPr>
                <w:noProof/>
                <w:webHidden/>
              </w:rPr>
              <w:t>37</w:t>
            </w:r>
            <w:r>
              <w:rPr>
                <w:noProof/>
                <w:webHidden/>
              </w:rPr>
              <w:fldChar w:fldCharType="end"/>
            </w:r>
          </w:hyperlink>
        </w:p>
        <w:p w:rsidR="00615F18" w:rsidRDefault="00615F18" w14:paraId="421DF4C0" w14:textId="132FFB59">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0">
            <w:r w:rsidRPr="00C7164C">
              <w:rPr>
                <w:rStyle w:val="Hiperpovezava"/>
                <w:noProof/>
              </w:rPr>
              <w:t xml:space="preserve">Hoofdstuk 7: Handhaving en rechtsmiddelen</w:t>
            </w:r>
            <w:r>
              <w:rPr>
                <w:noProof/>
                <w:webHidden/>
              </w:rPr>
              <w:tab/>
            </w:r>
            <w:r>
              <w:rPr>
                <w:noProof/>
                <w:webHidden/>
              </w:rPr>
              <w:fldChar w:fldCharType="begin"/>
            </w:r>
            <w:r>
              <w:rPr>
                <w:noProof/>
                <w:webHidden/>
              </w:rPr>
              <w:instrText xml:space="preserve"> PAGEREF _Toc233699500 \h </w:instrText>
            </w:r>
            <w:r>
              <w:rPr>
                <w:noProof/>
                <w:webHidden/>
              </w:rPr>
              <w:fldChar w:fldCharType="separate"/>
            </w:r>
            <w:r>
              <w:rPr>
                <w:noProof/>
                <w:webHidden/>
              </w:rPr>
              <w:t>40</w:t>
            </w:r>
            <w:r>
              <w:rPr>
                <w:noProof/>
                <w:webHidden/>
              </w:rPr>
              <w:fldChar w:fldCharType="end"/>
            </w:r>
          </w:hyperlink>
        </w:p>
        <w:p w:rsidR="00615F18" w:rsidRDefault="00615F18" w14:paraId="124345FD" w14:textId="14569ED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1">
            <w:r w:rsidRPr="00C7164C">
              <w:rPr>
                <w:rStyle w:val="Hiperpovezava"/>
                <w:noProof/>
              </w:rPr>
              <w:t xml:space="preserve">7.1 Vereisten van de richtlijn</w:t>
            </w:r>
            <w:r>
              <w:rPr>
                <w:noProof/>
                <w:webHidden/>
              </w:rPr>
              <w:tab/>
            </w:r>
            <w:r>
              <w:rPr>
                <w:noProof/>
                <w:webHidden/>
              </w:rPr>
              <w:fldChar w:fldCharType="begin"/>
            </w:r>
            <w:r>
              <w:rPr>
                <w:noProof/>
                <w:webHidden/>
              </w:rPr>
              <w:instrText xml:space="preserve"> PAGEREF _Toc233699501 \h </w:instrText>
            </w:r>
            <w:r>
              <w:rPr>
                <w:noProof/>
                <w:webHidden/>
              </w:rPr>
              <w:fldChar w:fldCharType="separate"/>
            </w:r>
            <w:r>
              <w:rPr>
                <w:noProof/>
                <w:webHidden/>
              </w:rPr>
              <w:t>40</w:t>
            </w:r>
            <w:r>
              <w:rPr>
                <w:noProof/>
                <w:webHidden/>
              </w:rPr>
              <w:fldChar w:fldCharType="end"/>
            </w:r>
          </w:hyperlink>
        </w:p>
        <w:p w:rsidR="00615F18" w:rsidRDefault="00615F18" w14:paraId="39E0C564" w14:textId="7015E8C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2">
            <w:r w:rsidRPr="00C7164C">
              <w:rPr>
                <w:rStyle w:val="Hiperpovezava"/>
                <w:noProof/>
              </w:rPr>
              <w:t xml:space="preserve">7.2 Bevindingen uit de praktijk</w:t>
            </w:r>
            <w:r>
              <w:rPr>
                <w:noProof/>
                <w:webHidden/>
              </w:rPr>
              <w:tab/>
            </w:r>
            <w:r>
              <w:rPr>
                <w:noProof/>
                <w:webHidden/>
              </w:rPr>
              <w:fldChar w:fldCharType="begin"/>
            </w:r>
            <w:r>
              <w:rPr>
                <w:noProof/>
                <w:webHidden/>
              </w:rPr>
              <w:instrText xml:space="preserve"> PAGEREF _Toc233699502 \h </w:instrText>
            </w:r>
            <w:r>
              <w:rPr>
                <w:noProof/>
                <w:webHidden/>
              </w:rPr>
              <w:fldChar w:fldCharType="separate"/>
            </w:r>
            <w:r>
              <w:rPr>
                <w:noProof/>
                <w:webHidden/>
              </w:rPr>
              <w:t>41</w:t>
            </w:r>
            <w:r>
              <w:rPr>
                <w:noProof/>
                <w:webHidden/>
              </w:rPr>
              <w:fldChar w:fldCharType="end"/>
            </w:r>
          </w:hyperlink>
        </w:p>
        <w:p w:rsidR="00615F18" w:rsidRDefault="00615F18" w14:paraId="7F0155EE" w14:textId="2184F91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3">
            <w:r w:rsidRPr="00C7164C">
              <w:rPr>
                <w:rStyle w:val="Hiperpovezava"/>
                <w:noProof/>
              </w:rPr>
              <w:t xml:space="preserve">7.3 Aanbevelingen</w:t>
            </w:r>
            <w:r>
              <w:rPr>
                <w:noProof/>
                <w:webHidden/>
              </w:rPr>
              <w:tab/>
            </w:r>
            <w:r>
              <w:rPr>
                <w:noProof/>
                <w:webHidden/>
              </w:rPr>
              <w:fldChar w:fldCharType="begin"/>
            </w:r>
            <w:r>
              <w:rPr>
                <w:noProof/>
                <w:webHidden/>
              </w:rPr>
              <w:instrText xml:space="preserve"> PAGEREF _Toc233699503 \h </w:instrText>
            </w:r>
            <w:r>
              <w:rPr>
                <w:noProof/>
                <w:webHidden/>
              </w:rPr>
              <w:fldChar w:fldCharType="separate"/>
            </w:r>
            <w:r>
              <w:rPr>
                <w:noProof/>
                <w:webHidden/>
              </w:rPr>
              <w:t>42</w:t>
            </w:r>
            <w:r>
              <w:rPr>
                <w:noProof/>
                <w:webHidden/>
              </w:rPr>
              <w:fldChar w:fldCharType="end"/>
            </w:r>
          </w:hyperlink>
        </w:p>
        <w:p w:rsidR="00615F18" w:rsidRDefault="00615F18" w14:paraId="714A8C09" w14:textId="446CE3B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4">
            <w:r w:rsidRPr="00C7164C">
              <w:rPr>
                <w:rStyle w:val="Hiperpovezava"/>
                <w:noProof/>
              </w:rPr>
              <w:t xml:space="preserve">Hoofdstuk 8: Breder toepassingsgebied van de richtlijn buiten het platformwerk</w:t>
            </w:r>
            <w:r>
              <w:rPr>
                <w:noProof/>
                <w:webHidden/>
              </w:rPr>
              <w:tab/>
            </w:r>
            <w:r>
              <w:rPr>
                <w:noProof/>
                <w:webHidden/>
              </w:rPr>
              <w:fldChar w:fldCharType="begin"/>
            </w:r>
            <w:r>
              <w:rPr>
                <w:noProof/>
                <w:webHidden/>
              </w:rPr>
              <w:instrText xml:space="preserve"> PAGEREF _Toc233699504 \h </w:instrText>
            </w:r>
            <w:r>
              <w:rPr>
                <w:noProof/>
                <w:webHidden/>
              </w:rPr>
              <w:fldChar w:fldCharType="separate"/>
            </w:r>
            <w:r>
              <w:rPr>
                <w:noProof/>
                <w:webHidden/>
              </w:rPr>
              <w:t>46</w:t>
            </w:r>
            <w:r>
              <w:rPr>
                <w:noProof/>
                <w:webHidden/>
              </w:rPr>
              <w:fldChar w:fldCharType="end"/>
            </w:r>
          </w:hyperlink>
        </w:p>
        <w:p w:rsidR="00615F18" w:rsidRDefault="00615F18" w14:paraId="53EB29C8" w14:textId="14D3DC1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5">
            <w:r w:rsidRPr="00C7164C">
              <w:rPr>
                <w:rStyle w:val="Hiperpovezava"/>
                <w:noProof/>
              </w:rPr>
              <w:t xml:space="preserve">8.1 Wat de richtlijn toestaat buiten het platformwerk</w:t>
            </w:r>
            <w:r>
              <w:rPr>
                <w:noProof/>
                <w:webHidden/>
              </w:rPr>
              <w:tab/>
            </w:r>
            <w:r>
              <w:rPr>
                <w:noProof/>
                <w:webHidden/>
              </w:rPr>
              <w:fldChar w:fldCharType="begin"/>
            </w:r>
            <w:r>
              <w:rPr>
                <w:noProof/>
                <w:webHidden/>
              </w:rPr>
              <w:instrText xml:space="preserve"> PAGEREF _Toc233699505 \h </w:instrText>
            </w:r>
            <w:r>
              <w:rPr>
                <w:noProof/>
                <w:webHidden/>
              </w:rPr>
              <w:fldChar w:fldCharType="separate"/>
            </w:r>
            <w:r>
              <w:rPr>
                <w:noProof/>
                <w:webHidden/>
              </w:rPr>
              <w:t>46</w:t>
            </w:r>
            <w:r>
              <w:rPr>
                <w:noProof/>
                <w:webHidden/>
              </w:rPr>
              <w:fldChar w:fldCharType="end"/>
            </w:r>
          </w:hyperlink>
        </w:p>
        <w:p w:rsidR="00615F18" w:rsidRDefault="00615F18" w14:paraId="7FAEC8E0" w14:textId="25B499C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6">
            <w:r w:rsidRPr="00C7164C">
              <w:rPr>
                <w:rStyle w:val="Hiperpovezava"/>
                <w:noProof/>
              </w:rPr>
              <w:t xml:space="preserve">8.2 Bevindingen uit de praktijk</w:t>
            </w:r>
            <w:r>
              <w:rPr>
                <w:noProof/>
                <w:webHidden/>
              </w:rPr>
              <w:tab/>
            </w:r>
            <w:r>
              <w:rPr>
                <w:noProof/>
                <w:webHidden/>
              </w:rPr>
              <w:fldChar w:fldCharType="begin"/>
            </w:r>
            <w:r>
              <w:rPr>
                <w:noProof/>
                <w:webHidden/>
              </w:rPr>
              <w:instrText xml:space="preserve"> PAGEREF _Toc233699506 \h </w:instrText>
            </w:r>
            <w:r>
              <w:rPr>
                <w:noProof/>
                <w:webHidden/>
              </w:rPr>
              <w:fldChar w:fldCharType="separate"/>
            </w:r>
            <w:r>
              <w:rPr>
                <w:noProof/>
                <w:webHidden/>
              </w:rPr>
              <w:t>46</w:t>
            </w:r>
            <w:r>
              <w:rPr>
                <w:noProof/>
                <w:webHidden/>
              </w:rPr>
              <w:fldChar w:fldCharType="end"/>
            </w:r>
          </w:hyperlink>
        </w:p>
        <w:p w:rsidR="00615F18" w:rsidRDefault="00615F18" w14:paraId="6F5D36CD" w14:textId="52C7C2B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7">
            <w:r w:rsidRPr="00C7164C">
              <w:rPr>
                <w:rStyle w:val="Hiperpovezava"/>
                <w:noProof/>
              </w:rPr>
              <w:t xml:space="preserve">8.3 Aanbevelingen</w:t>
            </w:r>
            <w:r>
              <w:rPr>
                <w:noProof/>
                <w:webHidden/>
              </w:rPr>
              <w:tab/>
            </w:r>
            <w:r>
              <w:rPr>
                <w:noProof/>
                <w:webHidden/>
              </w:rPr>
              <w:fldChar w:fldCharType="begin"/>
            </w:r>
            <w:r>
              <w:rPr>
                <w:noProof/>
                <w:webHidden/>
              </w:rPr>
              <w:instrText xml:space="preserve"> PAGEREF _Toc233699507 \h </w:instrText>
            </w:r>
            <w:r>
              <w:rPr>
                <w:noProof/>
                <w:webHidden/>
              </w:rPr>
              <w:fldChar w:fldCharType="separate"/>
            </w:r>
            <w:r>
              <w:rPr>
                <w:noProof/>
                <w:webHidden/>
              </w:rPr>
              <w:t>48</w:t>
            </w:r>
            <w:r>
              <w:rPr>
                <w:noProof/>
                <w:webHidden/>
              </w:rPr>
              <w:fldChar w:fldCharType="end"/>
            </w:r>
          </w:hyperlink>
        </w:p>
        <w:p w:rsidR="00615F18" w:rsidRDefault="00615F18" w14:paraId="660C595F" w14:textId="5B0AC8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8">
            <w:r w:rsidRPr="00C7164C">
              <w:rPr>
                <w:rStyle w:val="Hiperpovezava"/>
                <w:noProof/>
              </w:rPr>
              <w:t xml:space="preserve">Hoofdstuk 9: Uitdagingen bij de implementatie en ontwijkingsstrategieën</w:t>
            </w:r>
            <w:r>
              <w:rPr>
                <w:noProof/>
                <w:webHidden/>
              </w:rPr>
              <w:tab/>
            </w:r>
            <w:r>
              <w:rPr>
                <w:noProof/>
                <w:webHidden/>
              </w:rPr>
              <w:fldChar w:fldCharType="begin"/>
            </w:r>
            <w:r>
              <w:rPr>
                <w:noProof/>
                <w:webHidden/>
              </w:rPr>
              <w:instrText xml:space="preserve"> PAGEREF _Toc233699508 \h </w:instrText>
            </w:r>
            <w:r>
              <w:rPr>
                <w:noProof/>
                <w:webHidden/>
              </w:rPr>
              <w:fldChar w:fldCharType="separate"/>
            </w:r>
            <w:r>
              <w:rPr>
                <w:noProof/>
                <w:webHidden/>
              </w:rPr>
              <w:t>50</w:t>
            </w:r>
            <w:r>
              <w:rPr>
                <w:noProof/>
                <w:webHidden/>
              </w:rPr>
              <w:fldChar w:fldCharType="end"/>
            </w:r>
          </w:hyperlink>
        </w:p>
        <w:p w:rsidR="00615F18" w:rsidRDefault="00615F18" w14:paraId="02CD77F1" w14:textId="64A72F70">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9">
            <w:r w:rsidRPr="00C7164C">
              <w:rPr>
                <w:rStyle w:val="Hiperpovezava"/>
                <w:noProof/>
              </w:rPr>
              <w:t xml:space="preserve">9.1 Structurele uitdagingen bij de implementatie</w:t>
            </w:r>
            <w:r>
              <w:rPr>
                <w:noProof/>
                <w:webHidden/>
              </w:rPr>
              <w:tab/>
            </w:r>
            <w:r>
              <w:rPr>
                <w:noProof/>
                <w:webHidden/>
              </w:rPr>
              <w:fldChar w:fldCharType="begin"/>
            </w:r>
            <w:r>
              <w:rPr>
                <w:noProof/>
                <w:webHidden/>
              </w:rPr>
              <w:instrText xml:space="preserve"> PAGEREF _Toc233699509 \h </w:instrText>
            </w:r>
            <w:r>
              <w:rPr>
                <w:noProof/>
                <w:webHidden/>
              </w:rPr>
              <w:fldChar w:fldCharType="separate"/>
            </w:r>
            <w:r>
              <w:rPr>
                <w:noProof/>
                <w:webHidden/>
              </w:rPr>
              <w:t>50</w:t>
            </w:r>
            <w:r>
              <w:rPr>
                <w:noProof/>
                <w:webHidden/>
              </w:rPr>
              <w:fldChar w:fldCharType="end"/>
            </w:r>
          </w:hyperlink>
        </w:p>
        <w:p w:rsidR="00615F18" w:rsidRDefault="00615F18" w14:paraId="1F7F17A5" w14:textId="62325ED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0">
            <w:r w:rsidRPr="00C7164C">
              <w:rPr>
                <w:rStyle w:val="Hiperpovezava"/>
                <w:noProof/>
              </w:rPr>
              <w:t xml:space="preserve">9.2 Strategieën om platformwerk te vermijden</w:t>
            </w:r>
            <w:r>
              <w:rPr>
                <w:noProof/>
                <w:webHidden/>
              </w:rPr>
              <w:tab/>
            </w:r>
            <w:r>
              <w:rPr>
                <w:noProof/>
                <w:webHidden/>
              </w:rPr>
              <w:fldChar w:fldCharType="begin"/>
            </w:r>
            <w:r>
              <w:rPr>
                <w:noProof/>
                <w:webHidden/>
              </w:rPr>
              <w:instrText xml:space="preserve"> PAGEREF _Toc233699510 \h </w:instrText>
            </w:r>
            <w:r>
              <w:rPr>
                <w:noProof/>
                <w:webHidden/>
              </w:rPr>
              <w:fldChar w:fldCharType="separate"/>
            </w:r>
            <w:r>
              <w:rPr>
                <w:noProof/>
                <w:webHidden/>
              </w:rPr>
              <w:t>50</w:t>
            </w:r>
            <w:r>
              <w:rPr>
                <w:noProof/>
                <w:webHidden/>
              </w:rPr>
              <w:fldChar w:fldCharType="end"/>
            </w:r>
          </w:hyperlink>
        </w:p>
        <w:p w:rsidR="00615F18" w:rsidRDefault="00615F18" w14:paraId="69BAC62B" w14:textId="19B1266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1">
            <w:r w:rsidRPr="00C7164C">
              <w:rPr>
                <w:rStyle w:val="Hiperpovezava"/>
                <w:noProof/>
              </w:rPr>
              <w:t xml:space="preserve">9.3 Aanbevelingen</w:t>
            </w:r>
            <w:r>
              <w:rPr>
                <w:noProof/>
                <w:webHidden/>
              </w:rPr>
              <w:tab/>
            </w:r>
            <w:r>
              <w:rPr>
                <w:noProof/>
                <w:webHidden/>
              </w:rPr>
              <w:fldChar w:fldCharType="begin"/>
            </w:r>
            <w:r>
              <w:rPr>
                <w:noProof/>
                <w:webHidden/>
              </w:rPr>
              <w:instrText xml:space="preserve"> PAGEREF _Toc233699511 \h </w:instrText>
            </w:r>
            <w:r>
              <w:rPr>
                <w:noProof/>
                <w:webHidden/>
              </w:rPr>
              <w:fldChar w:fldCharType="separate"/>
            </w:r>
            <w:r>
              <w:rPr>
                <w:noProof/>
                <w:webHidden/>
              </w:rPr>
              <w:t>53</w:t>
            </w:r>
            <w:r>
              <w:rPr>
                <w:noProof/>
                <w:webHidden/>
              </w:rPr>
              <w:fldChar w:fldCharType="end"/>
            </w:r>
          </w:hyperlink>
        </w:p>
        <w:p w:rsidR="00615F18" w:rsidRDefault="00615F18" w14:paraId="3D515D6D" w14:textId="18A8856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12">
            <w:r w:rsidRPr="00C7164C">
              <w:rPr>
                <w:rStyle w:val="Hiperpovezava"/>
                <w:noProof/>
              </w:rPr>
              <w:t xml:space="preserve">Hoofdstuk 10: Conclusie</w:t>
            </w:r>
            <w:r>
              <w:rPr>
                <w:noProof/>
                <w:webHidden/>
              </w:rPr>
              <w:tab/>
            </w:r>
            <w:r>
              <w:rPr>
                <w:noProof/>
                <w:webHidden/>
              </w:rPr>
              <w:fldChar w:fldCharType="begin"/>
            </w:r>
            <w:r>
              <w:rPr>
                <w:noProof/>
                <w:webHidden/>
              </w:rPr>
              <w:instrText xml:space="preserve"> PAGEREF _Toc233699512 \h </w:instrText>
            </w:r>
            <w:r>
              <w:rPr>
                <w:noProof/>
                <w:webHidden/>
              </w:rPr>
              <w:fldChar w:fldCharType="separate"/>
            </w:r>
            <w:r>
              <w:rPr>
                <w:noProof/>
                <w:webHidden/>
              </w:rPr>
              <w:t>55</w:t>
            </w:r>
            <w:r>
              <w:rPr>
                <w:noProof/>
                <w:webHidden/>
              </w:rPr>
              <w:fldChar w:fldCharType="end"/>
            </w:r>
          </w:hyperlink>
        </w:p>
        <w:p w:rsidR="00983F19" w:rsidP="00750824" w:rsidRDefault="00000000" w14:paraId="50005A1E" w14:textId="7579F776">
          <w:pPr>
            <w:jc w:val="both"/>
          </w:pPr>
          <w:r>
            <w:fldChar w:fldCharType="end"/>
          </w:r>
        </w:p>
      </w:sdtContent>
    </w:sdt>
    <w:p w:rsidR="00983F19" w:rsidP="00750824" w:rsidRDefault="00983F19" w14:paraId="388E2317" w14:textId="77777777">
      <w:pPr>
        <w:jc w:val="both"/>
      </w:pPr>
      <w:bookmarkStart w:name="predgovor" w:id="3"/>
    </w:p>
    <w:p w:rsidR="00D90A18" w:rsidP="00750824" w:rsidRDefault="00D90A18" w14:paraId="3FE4FC4D" w14:textId="77777777">
      <w:pPr>
        <w:pStyle w:val="Naslov1"/>
        <w:jc w:val="both"/>
      </w:pPr>
      <w:bookmarkStart w:name="poglavje-2-izvršni-povzetek" w:id="4"/>
      <w:bookmarkEnd w:id="3"/>
    </w:p>
    <w:p w:rsidR="00750824" w:rsidRDefault="00750824" w14:paraId="03C58A13" w14:textId="77777777">
      <w:pPr>
        <w:rPr>
          <w:b/>
          <w:bCs/>
          <w:color w:val="1F3864"/>
          <w:sz w:val="36"/>
          <w:szCs w:val="36"/>
        </w:rPr>
      </w:pPr>
      <w:r>
        <w:br w:type="page"/>
      </w:r>
    </w:p>
    <w:p w:rsidR="00983F19" w:rsidP="00750824" w:rsidRDefault="00000000" w14:paraId="4EAFF2BC" w14:textId="72716891">
      <w:pPr>
        <w:pStyle w:val="Naslov1"/>
        <w:jc w:val="both"/>
      </w:pPr>
      <w:bookmarkStart w:name="_Toc233699479" w:id="5"/>
      <w:r>
        <w:lastRenderedPageBreak/>
      </w:r>
      <w:r>
        <w:t xml:space="preserve">Hoofdstuk 1: Inleiding</w:t>
      </w:r>
      <w:bookmarkEnd w:id="5"/>
    </w:p>
    <w:p w:rsidR="00983F19" w:rsidP="00750824" w:rsidRDefault="00000000" w14:paraId="4EFFEB31" w14:textId="677BFD55">
      <w:pPr>
        <w:jc w:val="both"/>
      </w:pPr>
      <w:r>
        <w:t xml:space="preserve">Richtlijn (EU) 2024/2831 betreffende de verbetering van de arbeidsomstandigheden in </w:t>
      </w:r>
      <w:r>
        <w:t xml:space="preserve">platformwerk werd op 23 oktober 2024 aangenomen en moet uiterlijk op 2 december 2026 door de lidstaten in nationale wetgeving worden omgezet. Het is het eerste wetgevende antwoord van de Europese Unie op een bedrijfsmodel dat in vijftien jaar tijd een nieuwe vorm </w:t>
      </w:r>
      <w:r>
        <w:t xml:space="preserve">van </w:t>
      </w:r>
      <w:r>
        <w:t xml:space="preserve">onzeker </w:t>
      </w:r>
      <w:r>
        <w:t xml:space="preserve">werk </w:t>
      </w:r>
      <w:r>
        <w:t xml:space="preserve">heeft gecreëerd</w:t>
      </w:r>
      <w:r>
        <w:t xml:space="preserve">.</w:t>
      </w:r>
      <w:r w:rsidR="00DC6DE9">
        <w:t xml:space="preserve"> Voor meer dan 28 miljoen mensen in de EU </w:t>
      </w:r>
      <w:r w:rsidR="00DC6DE9">
        <w:t xml:space="preserve">wordt het werk georganiseerd </w:t>
      </w:r>
      <w:r>
        <w:t xml:space="preserve">met behulp van algoritmisch beheer (</w:t>
      </w:r>
      <w:r>
        <w:t xml:space="preserve">‘algorithmic </w:t>
      </w:r>
      <w:r>
        <w:t xml:space="preserve">management </w:t>
      </w:r>
      <w:r w:rsidR="008920C5">
        <w:t xml:space="preserve">(</w:t>
      </w:r>
      <w:r>
        <w:t xml:space="preserve">AM</w:t>
      </w:r>
      <w:r w:rsidR="008920C5">
        <w:t xml:space="preserve">)’</w:t>
      </w:r>
      <w:r>
        <w:t xml:space="preserve">) via digitale platforms, maar zonder fundamentele beschermingsmaatregelen: zonder minimumloon, zonder socialezekerheidsbijdragen, zonder het recht op uitleg </w:t>
      </w:r>
      <w:r w:rsidR="00DC6DE9">
        <w:t xml:space="preserve">over de beslissingen van algoritmische modellen</w:t>
      </w:r>
      <w:r>
        <w:t xml:space="preserve">. Het SDDP-project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heeft gedurende twee jaar, in vijf partnerlanden (Oostenrijk, Italië, België, Slovenië, Polen) en in samenwerking met het ETUC</w:t>
      </w:r>
      <w:r>
        <w:t xml:space="preserve">,</w:t>
      </w:r>
      <w:r>
        <w:t xml:space="preserve"> onderzocht hoe de richtlijn </w:t>
      </w:r>
      <w:r w:rsidR="00DC6DE9">
        <w:t xml:space="preserve">in nationale wetgeving </w:t>
      </w:r>
      <w:r>
        <w:t xml:space="preserve">kan worden omgezet op een manier die de arbeidsomstandigheden </w:t>
      </w:r>
      <w:r w:rsidR="00DC6DE9">
        <w:t xml:space="preserve">van werknemers bij </w:t>
      </w:r>
      <w:r w:rsidR="00DC6DE9">
        <w:t xml:space="preserve">platformbedrijven </w:t>
      </w:r>
      <w:r>
        <w:t xml:space="preserve">daadwerkelijk verandert en verbetert</w:t>
      </w:r>
      <w:r>
        <w:t xml:space="preserve">. Dit document is het resultaat van dat werk: aanbevelingen voor ministeries van Arbeid en sociale partners, gebaseerd op ervaringen uit de vijf partnerlanden en in dialoog met vergelijkende partners uit Spanje (</w:t>
      </w:r>
      <w:r>
        <w:t xml:space="preserve">Observatorio </w:t>
      </w:r>
      <w:r>
        <w:t xml:space="preserve">de </w:t>
      </w:r>
      <w:r>
        <w:t xml:space="preserve">trabajo </w:t>
      </w:r>
      <w:r>
        <w:t xml:space="preserve">algorítmico </w:t>
      </w:r>
      <w:r>
        <w:t xml:space="preserve">y </w:t>
      </w:r>
      <w:r>
        <w:t xml:space="preserve">sociedad </w:t>
      </w:r>
      <w:r w:rsidR="00D7386B">
        <w:t xml:space="preserve">– </w:t>
      </w:r>
      <w:r>
        <w:t xml:space="preserve">Observatorio </w:t>
      </w:r>
      <w:r>
        <w:t xml:space="preserve">TAS) en Duitsland (</w:t>
      </w:r>
      <w:r>
        <w:t xml:space="preserve">Lieferando </w:t>
      </w:r>
      <w:r>
        <w:t xml:space="preserve">Workers </w:t>
      </w:r>
      <w:r>
        <w:t xml:space="preserve">Collective</w:t>
      </w:r>
      <w:r>
        <w:t xml:space="preserve">).</w:t>
      </w:r>
    </w:p>
    <w:p w:rsidR="00D90A18" w:rsidP="00750824" w:rsidRDefault="00D90A18" w14:paraId="4AEE88EC" w14:textId="77777777">
      <w:pPr>
        <w:jc w:val="both"/>
      </w:pPr>
    </w:p>
    <w:p w:rsidR="00983F19" w:rsidP="00750824" w:rsidRDefault="00000000" w14:paraId="3C07A292" w14:textId="23D1CD6D">
      <w:pPr>
        <w:jc w:val="both"/>
      </w:pPr>
      <w:r>
        <w:t xml:space="preserve">De richtlijn stelt drie eisen aan de lidstaten. Ten eerste moet er een wettelijk vermoeden </w:t>
      </w:r>
      <w:r w:rsidR="00CF3B80">
        <w:t xml:space="preserve">van een arbeidsverhouding </w:t>
      </w:r>
      <w:r>
        <w:t xml:space="preserve">voor </w:t>
      </w:r>
      <w:r>
        <w:t xml:space="preserve">platformwerkers </w:t>
      </w:r>
      <w:r>
        <w:t xml:space="preserve">worden ingevoerd</w:t>
      </w:r>
      <w:r w:rsidR="00DC6DE9">
        <w:t xml:space="preserve">: </w:t>
      </w:r>
      <w:r>
        <w:t xml:space="preserve">als uit de feiten blijkt </w:t>
      </w:r>
      <w:r w:rsidR="00DC6DE9">
        <w:t xml:space="preserve">dat een werknemer </w:t>
      </w:r>
      <w:r>
        <w:t xml:space="preserve">instructies </w:t>
      </w:r>
      <w:r w:rsidR="00DC6DE9">
        <w:t xml:space="preserve">ontvangt voor zijn werk </w:t>
      </w:r>
      <w:r>
        <w:t xml:space="preserve">en </w:t>
      </w:r>
      <w:r w:rsidR="00DC6DE9">
        <w:t xml:space="preserve">onder </w:t>
      </w:r>
      <w:r w:rsidR="00DC6DE9">
        <w:t xml:space="preserve">toezicht </w:t>
      </w:r>
      <w:r w:rsidR="00DC6DE9">
        <w:t xml:space="preserve">staat</w:t>
      </w:r>
      <w:r>
        <w:t xml:space="preserve">, wordt de relatie beschouwd als </w:t>
      </w:r>
      <w:r w:rsidR="00CF3B80">
        <w:t xml:space="preserve">een arbeidsverhouding</w:t>
      </w:r>
      <w:r>
        <w:t xml:space="preserve">, en </w:t>
      </w:r>
      <w:r w:rsidR="00DC6DE9">
        <w:t xml:space="preserve">is het aan </w:t>
      </w:r>
      <w:r>
        <w:t xml:space="preserve">het platform </w:t>
      </w:r>
      <w:r>
        <w:t xml:space="preserve">om in geval </w:t>
      </w:r>
      <w:r w:rsidR="00DC6DE9">
        <w:t xml:space="preserve">van onenigheid </w:t>
      </w:r>
      <w:r>
        <w:t xml:space="preserve">het tegendeel te bewijzen.</w:t>
      </w:r>
    </w:p>
    <w:p w:rsidR="00D90A18" w:rsidP="00750824" w:rsidRDefault="00D90A18" w14:paraId="0BF496E8" w14:textId="77777777">
      <w:pPr>
        <w:jc w:val="both"/>
      </w:pPr>
    </w:p>
    <w:p w:rsidR="00983F19" w:rsidP="00750824" w:rsidRDefault="00000000" w14:paraId="414DE9EB" w14:textId="2F8E2726">
      <w:pPr>
        <w:jc w:val="both"/>
      </w:pPr>
      <w:r>
        <w:t xml:space="preserve">Ten tweede, regulering van algoritmisch beheer (</w:t>
      </w:r>
      <w:r>
        <w:t xml:space="preserve">‘algorithmic </w:t>
      </w:r>
      <w:r>
        <w:t xml:space="preserve">management </w:t>
      </w:r>
      <w:r w:rsidR="00DC6DE9">
        <w:t xml:space="preserve">(</w:t>
      </w:r>
      <w:r>
        <w:t xml:space="preserve">AM</w:t>
      </w:r>
      <w:r w:rsidR="00DC6DE9">
        <w:t xml:space="preserve">)’</w:t>
      </w:r>
      <w:r>
        <w:t xml:space="preserve">): platforms moeten openbaar maken hoe </w:t>
      </w:r>
      <w:r w:rsidR="00DC6DE9">
        <w:t xml:space="preserve">het</w:t>
      </w:r>
      <w:r>
        <w:t xml:space="preserve"> algoritme werkt </w:t>
      </w:r>
      <w:r>
        <w:t xml:space="preserve">dat taken toewijst, de beloning vaststelt en </w:t>
      </w:r>
      <w:r>
        <w:t xml:space="preserve">werknemers</w:t>
      </w:r>
      <w:r w:rsidR="00DC6DE9">
        <w:t xml:space="preserve"> sanctioneert</w:t>
      </w:r>
      <w:r w:rsidR="00DC6DE9">
        <w:t xml:space="preserve">. </w:t>
      </w:r>
      <w:r>
        <w:t xml:space="preserve">Het is ten strengste verboden om gegevens te verzamelen over de emotionele toestand, het lidmaatschap van een vakbond of privégesprekken.</w:t>
      </w:r>
    </w:p>
    <w:p w:rsidR="00D90A18" w:rsidP="00750824" w:rsidRDefault="00D90A18" w14:paraId="6513B994" w14:textId="77777777">
      <w:pPr>
        <w:jc w:val="both"/>
      </w:pPr>
    </w:p>
    <w:p w:rsidR="00983F19" w:rsidP="00750824" w:rsidRDefault="00000000" w14:paraId="40C36178" w14:textId="77777777">
      <w:pPr>
        <w:jc w:val="both"/>
      </w:pPr>
      <w:r>
        <w:t xml:space="preserve">Ten derde, het waarborgen van rechtsmiddelen en collectieve rechten: vakbonden moeten procedures kunnen starten zonder de toestemming van elke individuele werknemer, en werknemers moeten toegang hebben tot communicatiekanalen die onafhankelijk zijn van het platform. Dit is het minimum. Als een lidstaat dit alleen maar in de nationale wetgeving omzet zonder uitvoeringsmechanismen te voorzien, zal het de Belgische ervaring herhalen, waar de wet op </w:t>
      </w:r>
      <w:r>
        <w:t xml:space="preserve">platformwerk sinds 2023 ondoeltreffend </w:t>
      </w:r>
      <w:r>
        <w:t xml:space="preserve">is </w:t>
      </w:r>
      <w:r>
        <w:t xml:space="preserve">gebleven omdat het ministerie van Arbeid geen procedures had om deze te handhaven.</w:t>
      </w:r>
    </w:p>
    <w:p w:rsidR="00D90A18" w:rsidP="00750824" w:rsidRDefault="00D90A18" w14:paraId="227F185B" w14:textId="77777777">
      <w:pPr>
        <w:jc w:val="both"/>
      </w:pPr>
    </w:p>
    <w:p w:rsidR="00983F19" w:rsidP="00750824" w:rsidRDefault="00000000" w14:paraId="00D613C9" w14:textId="77777777">
      <w:pPr>
        <w:jc w:val="both"/>
      </w:pPr>
      <w:r>
        <w:t xml:space="preserve">Dit document beveelt aan dat lidstaten het minimum op vijf cruciale gebieden overtreffen:</w:t>
      </w:r>
    </w:p>
    <w:p w:rsidR="00D90A18" w:rsidP="00750824" w:rsidRDefault="00D90A18" w14:paraId="2FC1A664" w14:textId="77777777">
      <w:pPr>
        <w:jc w:val="both"/>
      </w:pPr>
    </w:p>
    <w:p w:rsidR="00983F19" w:rsidP="00750824" w:rsidRDefault="00000000" w14:paraId="33190FCA" w14:textId="532FEADF">
      <w:pPr>
        <w:jc w:val="both"/>
      </w:pPr>
      <w:r>
        <w:t xml:space="preserve">Ten eerste mogen zij bij de omzetting van het rechtsvermoeden geen eigen criteria toevoegen waarmee platforms dit vermoeden formeel zouden kunnen omzeilen</w:t>
      </w:r>
      <w:r w:rsidR="00DC6DE9">
        <w:t xml:space="preserve">: </w:t>
      </w:r>
      <w:r>
        <w:t xml:space="preserve">de norm moet gebaseerd zijn op </w:t>
      </w:r>
      <w:r>
        <w:rPr>
          <w:b/>
          <w:bCs/>
        </w:rPr>
        <w:t xml:space="preserve">feiten die wijzen op aansturing en toezicht </w:t>
      </w:r>
      <w:r w:rsidR="00DC6DE9">
        <w:rPr>
          <w:b/>
          <w:bCs/>
        </w:rPr>
        <w:t xml:space="preserve">bij de uitvoering van het werk </w:t>
      </w:r>
      <w:r>
        <w:t xml:space="preserve">(prima </w:t>
      </w:r>
      <w:r>
        <w:t xml:space="preserve">facie</w:t>
      </w:r>
      <w:r>
        <w:t xml:space="preserve">), zonder aanvullende voorwaarden</w:t>
      </w:r>
      <w:r w:rsidR="00DC6DE9">
        <w:t xml:space="preserve">.</w:t>
      </w:r>
    </w:p>
    <w:p w:rsidR="00D90A18" w:rsidP="00750824" w:rsidRDefault="00D90A18" w14:paraId="637F85F8" w14:textId="77777777">
      <w:pPr>
        <w:jc w:val="both"/>
      </w:pPr>
    </w:p>
    <w:p w:rsidR="00983F19" w:rsidP="00750824" w:rsidRDefault="00000000" w14:paraId="2E436B86" w14:textId="77C901B7">
      <w:pPr>
        <w:jc w:val="both"/>
      </w:pPr>
      <w:r>
        <w:t xml:space="preserve">Ten tweede moeten de procedures voor het vaststellen van de juiste arbeidsstatus doeltreffend zijn en in de eerste plaats administratief van aard, niet gerechtelijk: gerechtelijke procedures zullen jaren duren, terwijl werknemers</w:t>
      </w:r>
      <w:r>
        <w:lastRenderedPageBreak/>
      </w:r>
      <w:r>
        <w:t xml:space="preserve"> nu al duidelijkheid over hun status nodig hebben </w:t>
      </w:r>
      <w:r w:rsidR="00D7386B">
        <w:t xml:space="preserve">– </w:t>
      </w:r>
      <w:r>
        <w:t xml:space="preserve">versterkte arbeidsinspecties moeten de bevoegdheid en de plicht hebben om de status vast te stellen door middel van een besluit, zonder te wachten op een gerechtelijke procedure.</w:t>
      </w:r>
    </w:p>
    <w:p w:rsidR="00DC6DE9" w:rsidP="00750824" w:rsidRDefault="00DC6DE9" w14:paraId="7FE5F913" w14:textId="77777777">
      <w:pPr>
        <w:jc w:val="both"/>
      </w:pPr>
    </w:p>
    <w:p w:rsidR="00983F19" w:rsidP="00750824" w:rsidRDefault="00000000" w14:paraId="6B80CF8A" w14:textId="60893ECA">
      <w:pPr>
        <w:jc w:val="both"/>
      </w:pPr>
      <w:r>
        <w:t xml:space="preserve">Ten derde moet er een mechanisme voor tijdelijke collectieve bescherming worden ingesteld: zodra de arbeidsinspectie vaststelt dat het platform een werkgever is, moet er uiterlijk binnen vijftien dagen </w:t>
      </w:r>
      <w:r w:rsidR="00D7386B">
        <w:t xml:space="preserve">– </w:t>
      </w:r>
      <w:r>
        <w:t xml:space="preserve">of binnen een kortere termijn die de nationale wetgeving toestaat </w:t>
      </w:r>
      <w:r w:rsidR="00D7386B">
        <w:t xml:space="preserve">– </w:t>
      </w:r>
      <w:r>
        <w:t xml:space="preserve">een verplichte tripartiete dialoog op gang brengen die zorgt voor een minimumloon en sociale zekerheid voor de duur van de gerechtelijke procedure </w:t>
      </w:r>
      <w:r w:rsidR="00D7386B">
        <w:t xml:space="preserve">– </w:t>
      </w:r>
      <w:r>
        <w:t xml:space="preserve">anders zullen werknemers jarenlang zonder enige bescherming op een definitieve uitspraak moeten wachten.</w:t>
      </w:r>
    </w:p>
    <w:p w:rsidR="00D90A18" w:rsidP="00750824" w:rsidRDefault="00D90A18" w14:paraId="47A6D57F" w14:textId="77777777">
      <w:pPr>
        <w:jc w:val="both"/>
      </w:pPr>
    </w:p>
    <w:p w:rsidR="00983F19" w:rsidP="00750824" w:rsidRDefault="00000000" w14:paraId="6659466C" w14:textId="3AC3790E">
      <w:pPr>
        <w:jc w:val="both"/>
      </w:pPr>
      <w:r>
        <w:t xml:space="preserve">Ten vierde </w:t>
      </w:r>
      <w:r>
        <w:t xml:space="preserve">moet </w:t>
      </w:r>
      <w:r w:rsidR="00A25A76">
        <w:t xml:space="preserve">solidaire </w:t>
      </w:r>
      <w:r>
        <w:t xml:space="preserve">aansprakelijkheid in de gehele keten van tussenpersonen verplicht zijn, en niet slechts toegestaan: </w:t>
      </w:r>
      <w:r>
        <w:t xml:space="preserve">het </w:t>
      </w:r>
      <w:r>
        <w:t xml:space="preserve">‘fleet-systeem’, waarbij platforms het risico afwentelen op </w:t>
      </w:r>
      <w:r w:rsidR="00DC6DE9">
        <w:t xml:space="preserve">onderaannemers en </w:t>
      </w:r>
      <w:r>
        <w:t xml:space="preserve">‘shell </w:t>
      </w:r>
      <w:r>
        <w:t xml:space="preserve">companies’, komt voor bij bijna de helft van de geanalyseerde platforms en is juist ontworpen om te voorkomen dat </w:t>
      </w:r>
      <w:r w:rsidR="00DC6DE9">
        <w:t xml:space="preserve">werknemers </w:t>
      </w:r>
      <w:r>
        <w:t xml:space="preserve">hun rechten </w:t>
      </w:r>
      <w:r w:rsidR="00DC6DE9">
        <w:t xml:space="preserve">rechtstreeks bij het platform </w:t>
      </w:r>
      <w:r>
        <w:t xml:space="preserve">kunnen doen gelden</w:t>
      </w:r>
      <w:r w:rsidR="00DC6DE9">
        <w:t xml:space="preserve">, terwijl het platform in geval van wetsovertredingen aan sancties wordt onttrokken</w:t>
      </w:r>
      <w:r>
        <w:t xml:space="preserve">.</w:t>
      </w:r>
    </w:p>
    <w:p w:rsidR="00D90A18" w:rsidP="00750824" w:rsidRDefault="00D90A18" w14:paraId="09EF7C8C" w14:textId="77777777">
      <w:pPr>
        <w:jc w:val="both"/>
      </w:pPr>
    </w:p>
    <w:p w:rsidR="00983F19" w:rsidP="00750824" w:rsidRDefault="00000000" w14:paraId="4389BC22" w14:textId="76814AC7">
      <w:pPr>
        <w:jc w:val="both"/>
      </w:pPr>
      <w:r>
        <w:t xml:space="preserve">Ten vijfde moeten de transparantie van algoritmen en alle andere rechten uit de richtlijn worden ondersteund door uitvoeringsmechanismen</w:t>
      </w:r>
      <w:r w:rsidR="00DC6DE9">
        <w:t xml:space="preserve">: </w:t>
      </w:r>
      <w:r>
        <w:t xml:space="preserve">versterkte arbeidsinspecties die zijn opgeleid voor algoritmische systemen, duidelijke sancties en de mogelijkheid tot collectieve procedures, die de wetgeving in veel lidstaten momenteel niet toestaat.</w:t>
      </w:r>
    </w:p>
    <w:p w:rsidR="00D90A18" w:rsidP="00750824" w:rsidRDefault="00D90A18" w14:paraId="160343D0" w14:textId="77777777">
      <w:pPr>
        <w:jc w:val="both"/>
      </w:pPr>
    </w:p>
    <w:p w:rsidR="00D90A18" w:rsidP="00750824" w:rsidRDefault="00000000" w14:paraId="164D45C7" w14:textId="476C2080">
      <w:pPr>
        <w:jc w:val="both"/>
      </w:pPr>
      <w:r>
        <w:t xml:space="preserve">De rode draad van het document is niet een afzonderlijke aanbeveling, maar de rol van de sociale dialoog, waarbij de staat en de instellingen proactief fungeren als brug tussen de goedkeuring van de richtlijn en de daadwerkelijke tenuitvoerlegging ervan. Ervaringen uit alle partnerlanden tonen aan dat wetgeving op zichzelf de praktijk niet verandert: de Spaanse wet inzake bezorgers (</w:t>
      </w:r>
      <w:r>
        <w:rPr>
          <w:i/>
          <w:iCs/>
        </w:rPr>
        <w:t xml:space="preserve">‘Ley </w:t>
      </w:r>
      <w:r w:rsidR="00DC6DE9">
        <w:rPr>
          <w:i/>
          <w:iCs/>
        </w:rPr>
        <w:t xml:space="preserve">Rider’</w:t>
      </w:r>
      <w:r>
        <w:t xml:space="preserve">) heeft niet kunnen voorkomen dat </w:t>
      </w:r>
      <w:r>
        <w:t xml:space="preserve">Glovo</w:t>
      </w:r>
      <w:r>
        <w:t xml:space="preserve"> </w:t>
      </w:r>
      <w:r>
        <w:t xml:space="preserve">zijn gehele bedrijfsmodel herstructureerde tot een systeem dat uitsluitend op onderaannemers is gebaseerd; de Oostenrijkse collectieve arbeidsovereenkomst voor bezorgers heeft niet kunnen voorkomen dat </w:t>
      </w:r>
      <w:r>
        <w:t xml:space="preserve">Lieferando </w:t>
      </w:r>
      <w:r>
        <w:t xml:space="preserve">in maart 2025 bijna duizend werknemers </w:t>
      </w:r>
      <w:r>
        <w:t xml:space="preserve">heeft </w:t>
      </w:r>
      <w:r>
        <w:t xml:space="preserve">ontslagen en hen heeft omgezet in zelfstandigen zonder bescherming; de Belgische wettelijke vermoeden </w:t>
      </w:r>
      <w:r w:rsidR="00CF3B80">
        <w:t xml:space="preserve">van dienstverband </w:t>
      </w:r>
      <w:r>
        <w:t xml:space="preserve">heeft de arbeidsstatus van geen enkele werknemer gewijzigd, omdat de wet geen procedures bevatte waarmee dit vermoeden kon worden afgedwongen. </w:t>
      </w:r>
    </w:p>
    <w:p w:rsidR="00D90A18" w:rsidP="00750824" w:rsidRDefault="00D90A18" w14:paraId="2D7A9426" w14:textId="77777777">
      <w:pPr>
        <w:jc w:val="both"/>
      </w:pPr>
    </w:p>
    <w:p w:rsidR="00983F19" w:rsidP="00750824" w:rsidRDefault="00000000" w14:paraId="529239C4" w14:textId="4FFC3CF6">
      <w:pPr>
        <w:jc w:val="both"/>
      </w:pPr>
      <w:r>
        <w:t xml:space="preserve">In al deze gevallen zou sociale dialoog als structureel onderdeel van de implementatie </w:t>
      </w:r>
      <w:r w:rsidR="00D7386B">
        <w:t xml:space="preserve">– </w:t>
      </w:r>
      <w:r>
        <w:t xml:space="preserve">met de staat als actieve bemiddelaar en garant, en niet slechts als passieve toeschouwer </w:t>
      </w:r>
      <w:r w:rsidR="00D7386B">
        <w:t xml:space="preserve">– </w:t>
      </w:r>
      <w:r>
        <w:t xml:space="preserve">zeker </w:t>
      </w:r>
      <w:r w:rsidR="0086131C">
        <w:t xml:space="preserve">hebben bijgedragen aan effectiever geformuleerde wetsvoorstellen, die in de praktijk zodanig zouden zijn toegepast dat werknemers daadwerkelijk zo goed mogelijk zouden worden beschermd.</w:t>
      </w:r>
      <w:r>
        <w:t xml:space="preserve"> </w:t>
      </w:r>
      <w:r w:rsidR="0086131C">
        <w:t xml:space="preserve">De sociale dialoog mag niet louter </w:t>
      </w:r>
      <w:r>
        <w:t xml:space="preserve">een uitnodiging tot onderhandelen </w:t>
      </w:r>
      <w:r w:rsidR="0086131C">
        <w:t xml:space="preserve">zijn</w:t>
      </w:r>
      <w:r>
        <w:t xml:space="preserve">, maar moet een verplichting voor het platform inhouden om de dialoog aan te gaan, met sancties bij weigering en met tijdelijke bescherming van de werknemers totdat de dialoog vruchten afwerpt. Daarom stelt dit document het SDDP-protocol voor </w:t>
      </w:r>
      <w:r w:rsidR="00D7386B">
        <w:t xml:space="preserve">– </w:t>
      </w:r>
      <w:r>
        <w:t xml:space="preserve">een kader voor sociale dialoog dat kan dienen als brug tussen de goedkeuring van de richtlijn en de daadwerkelijke tenuitvoerlegging ervan. De richtlijn moedigt dit aan in artikel 25 en staat in artikel 29 uitdrukkelijk toe dat lidstaten de tenuitvoerlegging toevertrouwen aan de sociale partners via collectieve arbeidsovereenkomsten. Dit document </w:t>
      </w:r>
      <w:r w:rsidR="0086131C">
        <w:t xml:space="preserve">geeft argumenten waarom </w:t>
      </w:r>
      <w:r>
        <w:t xml:space="preserve">dit de voorkeursroute zou moeten zijn.</w:t>
      </w:r>
    </w:p>
    <w:p w:rsidR="00D90A18" w:rsidP="00750824" w:rsidRDefault="00D90A18" w14:paraId="4EBEE460" w14:textId="77777777">
      <w:pPr>
        <w:jc w:val="both"/>
      </w:pPr>
    </w:p>
    <w:p w:rsidR="00983F19" w:rsidP="00750824" w:rsidRDefault="00000000" w14:paraId="0C4C1E5B" w14:textId="5E79699E">
      <w:pPr>
        <w:jc w:val="both"/>
      </w:pPr>
      <w:r>
        <w:t xml:space="preserve">De uiterste datum voor omzetting is 2 december 2026. Elke maand vertraging betekent een maand waarin werknemers werken zonder minimumloon, zonder socialezekerheidsbijdragen en zonder het recht op uitleg waarom het algoritme hun account heeft opgeheven. De vertraging schaadt de platforms niet </w:t>
      </w:r>
      <w:r w:rsidR="00D7386B">
        <w:t xml:space="preserve">– </w:t>
      </w:r>
      <w:r>
        <w:t xml:space="preserve">de platforms streven er juist actief naar, omdat elke maand zonder regelgeving een maand zonder kosten betekent. Maar bovenal schaadt het de werknemers zelf, die in die tijd de verantwoordelijkheid, de risico’s en de kosten op zich nemen die de werkgever zou moeten dragen: brandstof,</w:t>
      </w:r>
      <w:r>
        <w:lastRenderedPageBreak/>
      </w:r>
      <w:r>
        <w:t xml:space="preserve"> onderhoud van het voertuig, verzekering, ziekteverzuim. Het schaadt ook eerlijke bedrijven die </w:t>
      </w:r>
      <w:r w:rsidR="0086131C">
        <w:t xml:space="preserve">hun werknemers </w:t>
      </w:r>
      <w:r>
        <w:t xml:space="preserve">in dienst nemen en premies </w:t>
      </w:r>
      <w:r w:rsidR="0086131C">
        <w:t xml:space="preserve">voor hen </w:t>
      </w:r>
      <w:r>
        <w:t xml:space="preserve">betalen</w:t>
      </w:r>
      <w:r w:rsidR="0086131C">
        <w:t xml:space="preserve">, aangezien de platforms oneerlijke concurrentie voor hen vormen</w:t>
      </w:r>
      <w:r>
        <w:t xml:space="preserve">. Het SDDP-project biedt met dit document concrete </w:t>
      </w:r>
      <w:r>
        <w:t xml:space="preserve">aanbevelingen die</w:t>
      </w:r>
      <w:r w:rsidR="0086131C">
        <w:t xml:space="preserve"> in de praktijk </w:t>
      </w:r>
      <w:r>
        <w:t xml:space="preserve">beproefd zijn en staat ter beschikking van elke lidstaat die de richtlijn zodanig wil omzetten dat degenen op wie de wet betrekking heeft, daadwerkelijk worden beschermd.</w:t>
      </w:r>
    </w:p>
    <w:p w:rsidR="00D90A18" w:rsidP="00750824" w:rsidRDefault="00D90A18" w14:paraId="177D0FA9" w14:textId="77777777">
      <w:pPr>
        <w:jc w:val="both"/>
      </w:pPr>
    </w:p>
    <w:p w:rsidR="00D90A18" w:rsidP="00750824" w:rsidRDefault="00D90A18" w14:paraId="33CE8C14" w14:textId="77777777">
      <w:pPr>
        <w:jc w:val="both"/>
      </w:pPr>
    </w:p>
    <w:p w:rsidR="00D90A18" w:rsidP="00750824" w:rsidRDefault="00D90A18" w14:paraId="15E0B243" w14:textId="77777777">
      <w:pPr>
        <w:jc w:val="both"/>
      </w:pPr>
    </w:p>
    <w:p w:rsidR="00750824" w:rsidRDefault="00750824" w14:paraId="02D201EA" w14:textId="77777777">
      <w:pPr>
        <w:rPr>
          <w:b/>
          <w:bCs/>
          <w:color w:val="1F3864"/>
          <w:sz w:val="36"/>
          <w:szCs w:val="36"/>
        </w:rPr>
      </w:pPr>
      <w:r>
        <w:br w:type="page"/>
      </w:r>
    </w:p>
    <w:p w:rsidR="00983F19" w:rsidP="00750824" w:rsidRDefault="00000000" w14:paraId="68236365" w14:textId="4C4EB712">
      <w:pPr>
        <w:pStyle w:val="Naslov1"/>
        <w:jc w:val="both"/>
      </w:pPr>
      <w:bookmarkStart w:name="_Toc233699480" w:id="6"/>
      <w:r>
        <w:lastRenderedPageBreak/>
      </w:r>
      <w:r>
        <w:t xml:space="preserve">Hoofdstuk 2: Toepassingsgebied en definities</w:t>
      </w:r>
      <w:bookmarkEnd w:id="6"/>
    </w:p>
    <w:p w:rsidR="00D90A18" w:rsidP="00750824" w:rsidRDefault="00000000" w14:paraId="30A8F63B" w14:textId="1F9821E7">
      <w:pPr>
        <w:jc w:val="both"/>
      </w:pPr>
      <w:r>
        <w:t xml:space="preserve">EU-richtlijn 2024/2831 inzake </w:t>
      </w:r>
      <w:r>
        <w:t xml:space="preserve">platformwerk </w:t>
      </w:r>
      <w:r>
        <w:t xml:space="preserve">begint niet met een omschrijving van rechten – het begint met de vraag wie er überhaupt onder de bescherming ervan valt. De artikelen 1, 2 en 3 leggen de basis voor het gehele regelgevingskader: ze bepalen het doel en het toepassingsgebied, definiëren de belangrijkste begrippen en regelen de positie van tussenpersonen. Omdat deze teksten </w:t>
      </w:r>
      <w:r w:rsidR="00EA618C">
        <w:t xml:space="preserve">ruimer geformuleerd </w:t>
      </w:r>
      <w:r>
        <w:t xml:space="preserve">zijn </w:t>
      </w:r>
      <w:r>
        <w:t xml:space="preserve">dan sommige andere delen van de richtlijn, vormen ze tegelijkertijd </w:t>
      </w:r>
      <w:r w:rsidR="00EA618C">
        <w:t xml:space="preserve">het deel </w:t>
      </w:r>
      <w:r>
        <w:t xml:space="preserve">waar platforms mazen zoeken en zullen blijven zoeken. Een robuuste uitvoering vereist dat de lidstaten de definities strikt en concreet omzetten.</w:t>
      </w:r>
    </w:p>
    <w:p w:rsidR="00983F19" w:rsidP="00750824" w:rsidRDefault="00000000" w14:paraId="5CFAF56C" w14:textId="77777777">
      <w:pPr>
        <w:pStyle w:val="Naslov2"/>
        <w:jc w:val="both"/>
      </w:pPr>
      <w:bookmarkStart w:name="_Toc233699481" w:id="7"/>
      <w:r>
        <w:t xml:space="preserve">2.1 Eisen van de richtlijn</w:t>
      </w:r>
      <w:bookmarkEnd w:id="7"/>
    </w:p>
    <w:p w:rsidR="00983F19" w:rsidP="00750824" w:rsidRDefault="00000000" w14:paraId="22A60EB9" w14:textId="5FDEE535">
      <w:pPr>
        <w:jc w:val="both"/>
      </w:pPr>
      <w:r>
        <w:t xml:space="preserve">Artikel 1 bepaalt het tweeledige doel van de richtlijn: het verbeteren van de arbeidsomstandigheden </w:t>
      </w:r>
      <w:r>
        <w:t xml:space="preserve">van platformwerkers en de bescherming van de persoonsgegevens van alle personen die </w:t>
      </w:r>
      <w:r>
        <w:t xml:space="preserve">platformwerk</w:t>
      </w:r>
      <w:r>
        <w:t xml:space="preserve"> verrichten</w:t>
      </w:r>
      <w:r>
        <w:t xml:space="preserve">. Deze twee aspecten zijn onlosmakelijk met elkaar verbonden – algoritmisch beheer is zowel een arbeidsrechtelijke kwestie als een kwestie van gegevensbescherming – en er mag geen verschillend gewicht aan worden toegekend. Op grond van de artikelen 1, lid 2, en 1, lid 3, is de richtlijn van toepassing op elke persoon die </w:t>
      </w:r>
      <w:r>
        <w:t xml:space="preserve">platformwerk</w:t>
      </w:r>
      <w:r>
        <w:t xml:space="preserve"> verricht </w:t>
      </w:r>
      <w:r>
        <w:t xml:space="preserve">in </w:t>
      </w:r>
      <w:r w:rsidR="00EA618C">
        <w:t xml:space="preserve">de Europese Unie</w:t>
      </w:r>
      <w:r>
        <w:t xml:space="preserve">, ongeacht of hij of zij een formele arbeidsovereenkomst heeft en ongeacht waar het platform </w:t>
      </w:r>
      <w:r w:rsidR="00EA618C">
        <w:t xml:space="preserve">zijn</w:t>
      </w:r>
      <w:r>
        <w:t xml:space="preserve"> hoofdkantoor heeft</w:t>
      </w:r>
      <w:r>
        <w:t xml:space="preserve">.</w:t>
      </w:r>
    </w:p>
    <w:p w:rsidR="00D90A18" w:rsidP="00750824" w:rsidRDefault="00D90A18" w14:paraId="578F848E" w14:textId="77777777">
      <w:pPr>
        <w:jc w:val="both"/>
      </w:pPr>
    </w:p>
    <w:p w:rsidR="00983F19" w:rsidP="00750824" w:rsidRDefault="00000000" w14:paraId="37DD2204" w14:textId="21A98098">
      <w:pPr>
        <w:jc w:val="both"/>
      </w:pPr>
      <w:r>
        <w:t xml:space="preserve">Het territoriale toepassingsgebied van de richtlijn is duidelijk: artikel 1, lid 3, bepaalt dat de richtlijn van toepassing is op alle digitale werkplatforms die werkzaamheden organiseren op het grondgebied van de Unie – ongeacht waar het platform zijn hoofdkantoor heeft of welk recht </w:t>
      </w:r>
      <w:r>
        <w:t xml:space="preserve">van toepassing is</w:t>
      </w:r>
      <w:r>
        <w:t xml:space="preserve"> op </w:t>
      </w:r>
      <w:r w:rsidR="00EA618C">
        <w:t xml:space="preserve">de overeenkomst tussen de werknemer en het platform</w:t>
      </w:r>
      <w:r>
        <w:t xml:space="preserve">. Een deskundigengroep van de Europese Commissie </w:t>
      </w:r>
      <w:r w:rsidR="00EA618C">
        <w:t xml:space="preserve">(EC) </w:t>
      </w:r>
      <w:r>
        <w:t xml:space="preserve">heeft dit bevestigd: een buitenlands platform dat bezorgingen organiseert in Ljubljana of Warschau is volledig onderworpen aan de richtlijn. Een contractuele bepaling inzake de keuze voor buitenlands recht ontneemt deze bescherming niet, aangezien het hier gaat om </w:t>
      </w:r>
      <w:r>
        <w:t xml:space="preserve">dwingende </w:t>
      </w:r>
      <w:r>
        <w:t xml:space="preserve">regels van het internationaal privaatrecht.</w:t>
      </w:r>
    </w:p>
    <w:p w:rsidR="00EA618C" w:rsidP="00750824" w:rsidRDefault="00EA618C" w14:paraId="4E8E8883" w14:textId="77777777">
      <w:pPr>
        <w:jc w:val="both"/>
      </w:pPr>
    </w:p>
    <w:p w:rsidR="00983F19" w:rsidP="00750824" w:rsidRDefault="00000000" w14:paraId="396EB28B" w14:textId="12D3BE02">
      <w:pPr>
        <w:jc w:val="both"/>
      </w:pPr>
      <w:r>
        <w:t xml:space="preserve">Platforms met een zetel buiten de EU die geen werk binnen de Unie organiseren, vallen hier niet onder. Een minder besproken, maar even ernstige vraag is wat er gebeurt wanneer een Europees platform actief is in landen buiten de EU en daar werknemers uitbuit onder omstandigheden die in Europa verboden zouden zijn. De artikelen 1 en 26 van de richtlijn gaan hier niet op in – dit is een lacune die we in aanbeveling 2.6 behandelen.</w:t>
      </w:r>
    </w:p>
    <w:p w:rsidR="00D90A18" w:rsidP="00750824" w:rsidRDefault="00D90A18" w14:paraId="66C45616" w14:textId="77777777">
      <w:pPr>
        <w:jc w:val="both"/>
      </w:pPr>
    </w:p>
    <w:p w:rsidR="00D90A18" w:rsidP="00750824" w:rsidRDefault="00000000" w14:paraId="152770CC" w14:textId="44B432F6">
      <w:pPr>
        <w:jc w:val="both"/>
      </w:pPr>
      <w:r>
        <w:t xml:space="preserve">Artikel 2 bevat definities </w:t>
      </w:r>
      <w:r>
        <w:t xml:space="preserve">van</w:t>
      </w:r>
      <w:r w:rsidR="00EA618C">
        <w:t xml:space="preserve"> de begrippen </w:t>
      </w:r>
      <w:r>
        <w:t xml:space="preserve">die </w:t>
      </w:r>
      <w:r w:rsidR="00EA618C">
        <w:t xml:space="preserve">in </w:t>
      </w:r>
      <w:r>
        <w:t xml:space="preserve">de richtlijn </w:t>
      </w:r>
      <w:r w:rsidR="00EA618C">
        <w:t xml:space="preserve">worden gebruikt</w:t>
      </w:r>
      <w:r>
        <w:t xml:space="preserve">. Centraal staat de definitie van een digitaal arbeidsplatform (</w:t>
      </w:r>
      <w:r>
        <w:t xml:space="preserve">„digital </w:t>
      </w:r>
      <w:r>
        <w:t xml:space="preserve">labour </w:t>
      </w:r>
      <w:r>
        <w:t xml:space="preserve">platform </w:t>
      </w:r>
      <w:r w:rsidR="00EA618C">
        <w:t xml:space="preserve">(DLP)“</w:t>
      </w:r>
      <w:r>
        <w:t xml:space="preserve">), dat cumulatief aan vier voorwaarden moet voldoen:</w:t>
      </w:r>
    </w:p>
    <w:p w:rsidR="00D90A18" w:rsidP="00750824" w:rsidRDefault="00000000" w14:paraId="251EFDAE" w14:textId="77777777">
      <w:pPr>
        <w:jc w:val="both"/>
      </w:pPr>
      <w:r>
        <w:t xml:space="preserve"> • de dienst wordt ten minste gedeeltelijk op afstand via elektronische middelen (internet of een app) verleend; </w:t>
      </w:r>
    </w:p>
    <w:p w:rsidR="00D90A18" w:rsidP="00750824" w:rsidRDefault="00000000" w14:paraId="30F6BF33" w14:textId="77777777">
      <w:pPr>
        <w:jc w:val="both"/>
      </w:pPr>
      <w:r>
        <w:t xml:space="preserve">• de dienst wordt op verzoek van de afnemer van de dienst verleend – eenmalig of herhaaldelijk; </w:t>
      </w:r>
    </w:p>
    <w:p w:rsidR="00D90A18" w:rsidP="00750824" w:rsidRDefault="00000000" w14:paraId="0511C9D8" w14:textId="77777777">
      <w:pPr>
        <w:jc w:val="both"/>
      </w:pPr>
      <w:r>
        <w:t xml:space="preserve">• de organisatie van het werk van individuen tegen betaling is een noodzakelijk en essentieel onderdeel van de dienst – niet slechts een bijkomstige taak; </w:t>
      </w:r>
    </w:p>
    <w:p w:rsidR="00983F19" w:rsidP="00750824" w:rsidRDefault="00000000" w14:paraId="16790D6E" w14:textId="77777777">
      <w:pPr>
        <w:jc w:val="both"/>
      </w:pPr>
      <w:r>
        <w:t xml:space="preserve">• de dienst omvat het gebruik van geautomatiseerde systemen voor controle of besluitvorming (of beide).</w:t>
      </w:r>
    </w:p>
    <w:p w:rsidR="00D90A18" w:rsidP="00750824" w:rsidRDefault="00D90A18" w14:paraId="3D050403" w14:textId="77777777">
      <w:pPr>
        <w:jc w:val="both"/>
      </w:pPr>
    </w:p>
    <w:p w:rsidR="00983F19" w:rsidP="00750824" w:rsidRDefault="00000000" w14:paraId="0477B2C5" w14:textId="76B31296">
      <w:pPr>
        <w:jc w:val="both"/>
      </w:pPr>
      <w:r>
        <w:t xml:space="preserve">Aan alle vier de voorwaarden moet tegelijkertijd worden voldaan. Er wordt gekeken naar de concrete dienst, niet naar het bedrijf als geheel – hetzelfde bedrijf kan voor de ene dienst een DLP zijn, maar voor een andere niet. De deskundigengroep van de Europese Commissie heeft uitdrukkelijk bevestigd: geen enkele sector is uitgesloten</w:t>
      </w:r>
      <w:r w:rsidR="00EA618C">
        <w:t xml:space="preserve">, </w:t>
      </w:r>
      <w:r>
        <w:t xml:space="preserve">de beoordeling is altijd concreet, van geval tot geval. Uitzendbureaus zijn DLP’s als ze aan </w:t>
      </w:r>
      <w:r>
        <w:t xml:space="preserve">alle vier de voorwaarden </w:t>
      </w:r>
      <w:r>
        <w:t xml:space="preserve">voldoen</w:t>
      </w:r>
      <w:r>
        <w:lastRenderedPageBreak/>
      </w:r>
      <w:r>
        <w:t xml:space="preserve"> . Platforms die uitsluitend aanbiedingen van dienstverleners publiceren zonder een actieve rol te spelen bij de organisatie van het werk, zijn geen DLP’s.</w:t>
      </w:r>
    </w:p>
    <w:p w:rsidR="00EA618C" w:rsidP="00750824" w:rsidRDefault="00EA618C" w14:paraId="39409103" w14:textId="77777777">
      <w:pPr>
        <w:jc w:val="both"/>
      </w:pPr>
    </w:p>
    <w:p w:rsidR="00983F19" w:rsidP="00750824" w:rsidRDefault="00000000" w14:paraId="7F11F492" w14:textId="102CBD0B">
      <w:pPr>
        <w:jc w:val="both"/>
      </w:pPr>
      <w:r>
        <w:t xml:space="preserve">Een persoon die </w:t>
      </w:r>
      <w:r>
        <w:t xml:space="preserve">platformwerk</w:t>
      </w:r>
      <w:r>
        <w:t xml:space="preserve"> verricht </w:t>
      </w:r>
      <w:r>
        <w:t xml:space="preserve">(</w:t>
      </w:r>
      <w:r w:rsidR="00EA618C">
        <w:t xml:space="preserve">‘</w:t>
      </w:r>
      <w:r>
        <w:t xml:space="preserve">person </w:t>
      </w:r>
      <w:r>
        <w:t xml:space="preserve">performing </w:t>
      </w:r>
      <w:r>
        <w:t xml:space="preserve">platform </w:t>
      </w:r>
      <w:r>
        <w:t xml:space="preserve">work </w:t>
      </w:r>
      <w:r w:rsidR="00EA618C">
        <w:t xml:space="preserve">(</w:t>
      </w:r>
      <w:r>
        <w:t xml:space="preserve">PPPW</w:t>
      </w:r>
      <w:r w:rsidR="00EA618C">
        <w:t xml:space="preserve">)’</w:t>
      </w:r>
      <w:r>
        <w:t xml:space="preserve">) is elke persoon die </w:t>
      </w:r>
      <w:r>
        <w:t xml:space="preserve">platformwerk</w:t>
      </w:r>
      <w:r>
        <w:t xml:space="preserve"> verricht </w:t>
      </w:r>
      <w:r>
        <w:t xml:space="preserve">– ongeacht hoe zijn contractuele verhouding wordt benoemd </w:t>
      </w:r>
      <w:r w:rsidR="00EA618C">
        <w:t xml:space="preserve">of juridisch gedefinieerd</w:t>
      </w:r>
      <w:r>
        <w:t xml:space="preserve">. De subcategorie </w:t>
      </w:r>
      <w:r>
        <w:t xml:space="preserve">‘platformwerker’ verwijst naar die PPPW die voldoet </w:t>
      </w:r>
      <w:r w:rsidR="00EA618C">
        <w:t xml:space="preserve">aan de voorwaarden voor </w:t>
      </w:r>
      <w:r w:rsidR="00CF3B80">
        <w:t xml:space="preserve">een dienstverband </w:t>
      </w:r>
      <w:r>
        <w:t xml:space="preserve">of op basis van de feiten geacht wordt daaraan </w:t>
      </w:r>
      <w:r w:rsidR="00EA618C">
        <w:t xml:space="preserve">te voldoen</w:t>
      </w:r>
      <w:r>
        <w:t xml:space="preserve">. Dit onderscheid is cruciaal: de rechten uit hoofdstuk II van de richtlijn (juridisch vermoeden) en bepaalde rechten uit hoofdstuk III (algoritmisch beheer bij de werkgever) hebben uitsluitend betrekking op </w:t>
      </w:r>
      <w:r>
        <w:t xml:space="preserve">platformwerkers, terwijl de verboden op gegevensverwerking en de transparantie van algoritmen van toepassing zijn op alle PPPW’s.</w:t>
      </w:r>
    </w:p>
    <w:p w:rsidR="00D90A18" w:rsidP="00750824" w:rsidRDefault="00D90A18" w14:paraId="6EE09067" w14:textId="77777777">
      <w:pPr>
        <w:jc w:val="both"/>
      </w:pPr>
    </w:p>
    <w:p w:rsidR="00983F19" w:rsidP="00750824" w:rsidRDefault="00000000" w14:paraId="3810B9ED" w14:textId="1E98A7C2">
      <w:pPr>
        <w:jc w:val="both"/>
      </w:pPr>
      <w:r>
        <w:t xml:space="preserve">Een tussenpersoon wordt in artikel 2, lid 1, onder e), gedefinieerd als een natuurlijke of rechtspersoon die tot doel heeft het verrichten </w:t>
      </w:r>
      <w:r>
        <w:t xml:space="preserve">van platformwerk</w:t>
      </w:r>
      <w:r>
        <w:t xml:space="preserve"> aan of via het platform mogelijk te maken</w:t>
      </w:r>
      <w:r w:rsidR="00A16E80">
        <w:t xml:space="preserve">, </w:t>
      </w:r>
      <w:r>
        <w:t xml:space="preserve">hetzij door een contractuele relatie met beide partijen aan te gaan</w:t>
      </w:r>
      <w:r w:rsidR="00A16E80">
        <w:t xml:space="preserve">, </w:t>
      </w:r>
      <w:r>
        <w:t xml:space="preserve">hetzij door plaatsing in </w:t>
      </w:r>
      <w:r>
        <w:t xml:space="preserve">een onderaannemingsketen. De definitie is opzettelijk ruim geformuleerd. De deskundigengroep van de Europese Commissie heeft verduidelijkt: tussenpersonen kunnen natuurlijke personen zijn</w:t>
      </w:r>
      <w:r w:rsidR="00A16E80">
        <w:t xml:space="preserve">; </w:t>
      </w:r>
      <w:r>
        <w:t xml:space="preserve">het onderverhuren van een account (</w:t>
      </w:r>
      <w:r>
        <w:t xml:space="preserve">‘account </w:t>
      </w:r>
      <w:r w:rsidR="00A16E80">
        <w:t xml:space="preserve">subletting’</w:t>
      </w:r>
      <w:r>
        <w:t xml:space="preserve">) is bemiddeling wanneer het doel van deze onderverhuur het verrichten </w:t>
      </w:r>
      <w:r>
        <w:t xml:space="preserve">van platformwerk</w:t>
      </w:r>
      <w:r>
        <w:t xml:space="preserve"> is</w:t>
      </w:r>
      <w:r w:rsidR="00A16E80">
        <w:t xml:space="preserve">. Het doel van </w:t>
      </w:r>
      <w:r>
        <w:t xml:space="preserve">een</w:t>
      </w:r>
      <w:r w:rsidR="00A16E80">
        <w:t xml:space="preserve"> dergelijke </w:t>
      </w:r>
      <w:r>
        <w:t xml:space="preserve">definitie is te voorkomen dat </w:t>
      </w:r>
      <w:r w:rsidR="00A16E80">
        <w:t xml:space="preserve">de bepalingen van de richtlijn </w:t>
      </w:r>
      <w:r>
        <w:t xml:space="preserve">via derden </w:t>
      </w:r>
      <w:r>
        <w:t xml:space="preserve">worden omzeild</w:t>
      </w:r>
      <w:r>
        <w:t xml:space="preserve">. Vlootsystemen (</w:t>
      </w:r>
      <w:r>
        <w:t xml:space="preserve">„fleet</w:t>
      </w:r>
      <w:r w:rsidR="00A16E80">
        <w:t xml:space="preserve"> </w:t>
      </w:r>
      <w:r w:rsidR="00A16E80">
        <w:t xml:space="preserve">systems”</w:t>
      </w:r>
      <w:r>
        <w:t xml:space="preserve">) – waarbij het platform een overeenkomst sluit met de vlootbeheerder en deze op zijn beurt met de bezorgers – zijn een schoolvoorbeeld van bemiddeling die uitdrukkelijk onder de richtlijn valt.</w:t>
      </w:r>
    </w:p>
    <w:p w:rsidR="00D90A18" w:rsidP="00750824" w:rsidRDefault="00D90A18" w14:paraId="74B99256" w14:textId="77777777">
      <w:pPr>
        <w:jc w:val="both"/>
      </w:pPr>
    </w:p>
    <w:p w:rsidR="00983F19" w:rsidP="00750824" w:rsidRDefault="00000000" w14:paraId="0E2FD3E6" w14:textId="6CE0F423">
      <w:pPr>
        <w:jc w:val="both"/>
      </w:pPr>
      <w:r>
        <w:t xml:space="preserve">Artikel 3 schrijft voor dat personen die </w:t>
      </w:r>
      <w:r>
        <w:t xml:space="preserve">via een tussenpersoon platformwerk</w:t>
      </w:r>
      <w:r>
        <w:t xml:space="preserve"> verrichten</w:t>
      </w:r>
      <w:r>
        <w:t xml:space="preserve">, </w:t>
      </w:r>
      <w:r w:rsidR="00A16E80">
        <w:t xml:space="preserve">precies </w:t>
      </w:r>
      <w:r>
        <w:t xml:space="preserve">hetzelfde beschermingsniveau </w:t>
      </w:r>
      <w:r>
        <w:t xml:space="preserve">genieten </w:t>
      </w:r>
      <w:r>
        <w:t xml:space="preserve">als degenen die een rechtstreekse contractuele relatie met het platform hebben. De lidstaten moeten passende mechanismen instellen, waaronder</w:t>
      </w:r>
      <w:r w:rsidR="00A16E80">
        <w:t xml:space="preserve">, </w:t>
      </w:r>
      <w:r>
        <w:t xml:space="preserve">waar van toepassing</w:t>
      </w:r>
      <w:r w:rsidR="00A16E80">
        <w:t xml:space="preserve">, </w:t>
      </w:r>
      <w:r w:rsidR="00A25A76">
        <w:t xml:space="preserve">hoofdelijke </w:t>
      </w:r>
      <w:r>
        <w:t xml:space="preserve">aansprakelijkheid (</w:t>
      </w:r>
      <w:r>
        <w:t xml:space="preserve">‘joint </w:t>
      </w:r>
      <w:r>
        <w:t xml:space="preserve">and </w:t>
      </w:r>
      <w:r>
        <w:t xml:space="preserve">several </w:t>
      </w:r>
      <w:r w:rsidR="00A16E80">
        <w:t xml:space="preserve">liability’</w:t>
      </w:r>
      <w:r>
        <w:t xml:space="preserve">). De zinsnede </w:t>
      </w:r>
      <w:r w:rsidR="00A16E80">
        <w:t xml:space="preserve">„</w:t>
      </w:r>
      <w:r>
        <w:t xml:space="preserve">waar dat </w:t>
      </w:r>
      <w:r w:rsidR="00A16E80">
        <w:t xml:space="preserve">passend is“ </w:t>
      </w:r>
      <w:r w:rsidR="00792F1C">
        <w:t xml:space="preserve">is </w:t>
      </w:r>
      <w:r>
        <w:t xml:space="preserve">een open clausule: de richtlijn </w:t>
      </w:r>
      <w:r>
        <w:t xml:space="preserve">legt </w:t>
      </w:r>
      <w:r w:rsidR="00A25A76">
        <w:t xml:space="preserve">gezamenlijke en hoofdelijke </w:t>
      </w:r>
      <w:r>
        <w:t xml:space="preserve">aansprakelijkheid niet onvoorwaardelijk op, maar laat dit over aan het oordeel van de lidstaten. Dit is een van de belangrijkste tekortkomingen die bij de omzetting moet worden verholpen.</w:t>
      </w:r>
    </w:p>
    <w:p w:rsidR="00D90A18" w:rsidP="00750824" w:rsidRDefault="00D90A18" w14:paraId="5BE0CC56" w14:textId="77777777">
      <w:pPr>
        <w:jc w:val="both"/>
      </w:pPr>
    </w:p>
    <w:p w:rsidR="00983F19" w:rsidP="00750824" w:rsidRDefault="00000000" w14:paraId="5A0BD868" w14:textId="77777777">
      <w:pPr>
        <w:pStyle w:val="Naslov2"/>
        <w:jc w:val="both"/>
      </w:pPr>
      <w:bookmarkStart w:name="_Toc233699482" w:id="8"/>
      <w:r>
        <w:t xml:space="preserve">2.2 Bevindingen uit de praktijk</w:t>
      </w:r>
      <w:bookmarkEnd w:id="8"/>
    </w:p>
    <w:p w:rsidR="00983F19" w:rsidP="00750824" w:rsidRDefault="00000000" w14:paraId="1379ED78" w14:textId="0D5B2637">
      <w:pPr>
        <w:jc w:val="both"/>
      </w:pPr>
      <w:r>
        <w:t xml:space="preserve">De ervaringen uit de partnerlanden van het SDDP-project brengen drie structurele patronen aan het licht waarmee </w:t>
      </w:r>
      <w:r w:rsidR="000052A5">
        <w:t xml:space="preserve">de bepalingen worden</w:t>
      </w:r>
      <w:r>
        <w:t xml:space="preserve"> omzeild</w:t>
      </w:r>
      <w:r w:rsidR="000052A5">
        <w:t xml:space="preserve">, die ook in </w:t>
      </w:r>
      <w:r>
        <w:t xml:space="preserve">de richtlijn</w:t>
      </w:r>
      <w:r w:rsidR="000052A5">
        <w:t xml:space="preserve"> zijn vastgelegd </w:t>
      </w:r>
      <w:r w:rsidR="000052A5">
        <w:t xml:space="preserve">en </w:t>
      </w:r>
      <w:r>
        <w:t xml:space="preserve">die rechtstreeks relevant zijn voor de uitleg en omzetting van de artikelen 1 tot en met 3.</w:t>
      </w:r>
    </w:p>
    <w:p w:rsidR="00D90A18" w:rsidP="00750824" w:rsidRDefault="00D90A18" w14:paraId="4797C659" w14:textId="77777777">
      <w:pPr>
        <w:jc w:val="both"/>
      </w:pPr>
    </w:p>
    <w:p w:rsidR="00983F19" w:rsidP="00750824" w:rsidRDefault="00000000" w14:paraId="24A10F30" w14:textId="49A6EB71">
      <w:pPr>
        <w:jc w:val="both"/>
      </w:pPr>
      <w:r>
        <w:rPr>
          <w:b/>
          <w:bCs/>
        </w:rPr>
        <w:t xml:space="preserve">Sectorclassificatie als middel om de regels te omzeilen.</w:t>
      </w:r>
      <w:r>
        <w:t xml:space="preserve"> </w:t>
      </w:r>
      <w:r w:rsidR="000052A5">
        <w:t xml:space="preserve">Het Belgische voorbeeld is hierbij zeer illustratief</w:t>
      </w:r>
      <w:r>
        <w:t xml:space="preserve">. Takeaway.com heeft zich voor een bepaalde periode geregistreerd als reclamebureau en niet als platform voor maaltijdbezorging</w:t>
      </w:r>
      <w:r w:rsidR="000052A5">
        <w:t xml:space="preserve">, </w:t>
      </w:r>
      <w:r>
        <w:t xml:space="preserve">waarmee het probeerde te voorkomen dat de arbeidsrechtelijke verplichtingen die voortvloeien uit de sectorale indeling op het bedrijf van toepassing zouden zijn. De richtlijn maakt deze strategie onmogelijk: aangezien de richtlijn de concrete dienst beoordeelt en niet de sector </w:t>
      </w:r>
      <w:r w:rsidR="006F2B87">
        <w:t xml:space="preserve">waarin </w:t>
      </w:r>
      <w:r>
        <w:t xml:space="preserve">het bedrijf officieel is ingeschreven, kan de rechtsvorm of de classificatie in het handelsregister niet doorslaggevend zijn. Wetgeving die ontwijking via de registratieclassificatie zou toestaan, is niet in overeenstemming met de richtlijn.</w:t>
      </w:r>
    </w:p>
    <w:p w:rsidR="00D90A18" w:rsidP="00750824" w:rsidRDefault="00D90A18" w14:paraId="51D06985" w14:textId="77777777">
      <w:pPr>
        <w:jc w:val="both"/>
      </w:pPr>
    </w:p>
    <w:p w:rsidR="00983F19" w:rsidP="00750824" w:rsidRDefault="00000000" w14:paraId="436CFF4A" w14:textId="116E3461">
      <w:pPr>
        <w:jc w:val="both"/>
      </w:pPr>
      <w:r>
        <w:rPr>
          <w:b/>
          <w:bCs/>
        </w:rPr>
        <w:t xml:space="preserve">Het ‘vlootsysteem’ als structureel bemiddelingsmechanisme. </w:t>
      </w:r>
      <w:r>
        <w:t xml:space="preserve">Uit een analyse van 91 platforms in de partnerlanden blijkt dat het ‘vlootsysteem’ bij ten minste 41 daarvan aanwezig is – dit is geen uitzondering, maar onderdeel van het bedrijfsmodel. </w:t>
      </w:r>
      <w:r>
        <w:t xml:space="preserve">Uber </w:t>
      </w:r>
      <w:r>
        <w:t xml:space="preserve">Eats </w:t>
      </w:r>
      <w:r>
        <w:t xml:space="preserve">in Duitsland is een sprekend voorbeeld: bezorgers werken via onderaannemers die tot 35 % van hun verdiensten inhouden, bovenop een vergoeding </w:t>
      </w:r>
      <w:r>
        <w:t xml:space="preserve">v</w:t>
      </w:r>
      <w:r>
        <w:lastRenderedPageBreak/>
      </w:r>
      <w:r>
        <w:t xml:space="preserve"> t 500 euro. De ervaringen in Kroatië en Servië met </w:t>
      </w:r>
      <w:r>
        <w:t xml:space="preserve">‘</w:t>
      </w:r>
      <w:r>
        <w:t xml:space="preserve">shell </w:t>
      </w:r>
      <w:r>
        <w:t xml:space="preserve">companies’ zijn een extreem voorbeeld van dit patroon</w:t>
      </w:r>
      <w:r w:rsidR="00A60485">
        <w:t xml:space="preserve">: </w:t>
      </w:r>
      <w:r>
        <w:t xml:space="preserve">wanneer een onderaannemer het bedrijf sluit, blijven de werknemers zonder rechtsbescherming en </w:t>
      </w:r>
      <w:r w:rsidR="00A60485">
        <w:t xml:space="preserve">zonder </w:t>
      </w:r>
      <w:r w:rsidR="00A60485">
        <w:t xml:space="preserve">mogelijkheid om </w:t>
      </w:r>
      <w:r>
        <w:t xml:space="preserve">hun rechten te doen gelden. De Spaanse ervaring na de inwerkingtreding </w:t>
      </w:r>
      <w:r>
        <w:t xml:space="preserve">van de Wet op de bezorgers (</w:t>
      </w:r>
      <w:r>
        <w:t xml:space="preserve">‘Ley </w:t>
      </w:r>
      <w:r w:rsidR="00A60485">
        <w:t xml:space="preserve">Rider’</w:t>
      </w:r>
      <w:r>
        <w:t xml:space="preserve">) in 2021 heeft aangetoond dat platforms juist na de invoering van de regelgeving massaal zijn overgestapt op een vlootsysteem. De richtlijn zal </w:t>
      </w:r>
      <w:r>
        <w:t xml:space="preserve">waarschijnlijk </w:t>
      </w:r>
      <w:r w:rsidR="00A60485">
        <w:t xml:space="preserve">een soortgelijke reactie </w:t>
      </w:r>
      <w:r>
        <w:t xml:space="preserve">teweegbrengen op plaatsen waar bemiddelingssystemen niet adequaat zijn gereguleerd.</w:t>
      </w:r>
    </w:p>
    <w:p w:rsidR="00D90A18" w:rsidP="00750824" w:rsidRDefault="00D90A18" w14:paraId="478A89E8" w14:textId="77777777">
      <w:pPr>
        <w:jc w:val="both"/>
      </w:pPr>
    </w:p>
    <w:p w:rsidR="00983F19" w:rsidP="00750824" w:rsidRDefault="00000000" w14:paraId="28D962D3" w14:textId="0E4A0B63">
      <w:pPr>
        <w:jc w:val="both"/>
      </w:pPr>
      <w:r>
        <w:rPr>
          <w:b/>
          <w:bCs/>
        </w:rPr>
        <w:t xml:space="preserve">Het verhuren van rekeningen in de grijze zone.</w:t>
      </w:r>
      <w:r>
        <w:t xml:space="preserve"> In de praktijk komt het voor dat de rekeninghouder bij het platform deze rekening aan een ander overlaat</w:t>
      </w:r>
      <w:r w:rsidR="00A60485">
        <w:t xml:space="preserve">, </w:t>
      </w:r>
      <w:r>
        <w:t xml:space="preserve">vaak aan </w:t>
      </w:r>
      <w:r w:rsidR="00A60485">
        <w:t xml:space="preserve">een </w:t>
      </w:r>
      <w:r w:rsidR="00A60485">
        <w:t xml:space="preserve">migrerende </w:t>
      </w:r>
      <w:r w:rsidR="00A60485">
        <w:t xml:space="preserve">werknemer </w:t>
      </w:r>
      <w:r>
        <w:t xml:space="preserve">zonder </w:t>
      </w:r>
      <w:r w:rsidR="00A60485">
        <w:t xml:space="preserve">geldige </w:t>
      </w:r>
      <w:r>
        <w:t xml:space="preserve">documenten. De deskundigengroep van de Europese Commissie heeft verduidelijkt </w:t>
      </w:r>
      <w:r w:rsidR="00A60485">
        <w:t xml:space="preserve">dat </w:t>
      </w:r>
      <w:r>
        <w:t xml:space="preserve">wanneer het doel van deze verhuur juist het verrichten </w:t>
      </w:r>
      <w:r>
        <w:t xml:space="preserve">van platformwerk</w:t>
      </w:r>
      <w:r>
        <w:t xml:space="preserve"> is </w:t>
      </w:r>
      <w:r>
        <w:t xml:space="preserve">en het platform hiervan op de hoogte is of dit toestaat, er sprake is van bemiddeling </w:t>
      </w:r>
      <w:r w:rsidR="00A60485">
        <w:t xml:space="preserve">zoals gedefinieerd in de richtlijn</w:t>
      </w:r>
      <w:r>
        <w:t xml:space="preserve">. Wanneer het platform echter niet op de hoogte is van de verhuur en deze niet toestaat, wordt de onderhuurder formeel niet beschouwd als een PPPW</w:t>
      </w:r>
      <w:r w:rsidR="00A60485">
        <w:t xml:space="preserve">, </w:t>
      </w:r>
      <w:r>
        <w:t xml:space="preserve">maar de richtlijn moedigt lidstaten aan om ook deze personen met eigen maatregelen te beschermen.</w:t>
      </w:r>
    </w:p>
    <w:p w:rsidR="00D90A18" w:rsidP="00750824" w:rsidRDefault="00D90A18" w14:paraId="36B0EE74" w14:textId="77777777">
      <w:pPr>
        <w:jc w:val="both"/>
      </w:pPr>
    </w:p>
    <w:p w:rsidR="00983F19" w:rsidP="00750824" w:rsidRDefault="00000000" w14:paraId="3CB89BA7" w14:textId="673BFC82">
      <w:pPr>
        <w:jc w:val="both"/>
      </w:pPr>
      <w:r>
        <w:t xml:space="preserve">Tijdens de tussentijdse conferentie van het SDDP-project in Ljubljana in mei 2025 was de gezamenlijke conclusie van alle partners </w:t>
      </w:r>
      <w:r w:rsidR="00A60485">
        <w:t xml:space="preserve">dat </w:t>
      </w:r>
      <w:r>
        <w:t xml:space="preserve">de definities in de richtlijn breed genoeg </w:t>
      </w:r>
      <w:r w:rsidR="00A60485">
        <w:t xml:space="preserve">zijn </w:t>
      </w:r>
      <w:r>
        <w:t xml:space="preserve">om alle relevante gevallen te omvatten, maar juist deze breedte vereist dat ze in de nationale wetgeving </w:t>
      </w:r>
      <w:r w:rsidR="00A60485">
        <w:t xml:space="preserve">nauwkeurig </w:t>
      </w:r>
      <w:r>
        <w:t xml:space="preserve">worden uitgewerkt</w:t>
      </w:r>
      <w:r w:rsidR="00A60485">
        <w:t xml:space="preserve">, </w:t>
      </w:r>
      <w:r>
        <w:t xml:space="preserve">anders zullen de platforms </w:t>
      </w:r>
      <w:r w:rsidR="00A60485">
        <w:t xml:space="preserve">de leemte </w:t>
      </w:r>
      <w:r>
        <w:t xml:space="preserve">opvullen met hun eigen interpretaties</w:t>
      </w:r>
      <w:r w:rsidR="00A60485">
        <w:t xml:space="preserve">, waarmee ze zullen proberen hun verantwoordelijkheid te ontlopen</w:t>
      </w:r>
      <w:r>
        <w:t xml:space="preserve">.</w:t>
      </w:r>
    </w:p>
    <w:p w:rsidR="00D90A18" w:rsidP="00750824" w:rsidRDefault="00D90A18" w14:paraId="11382266" w14:textId="77777777">
      <w:pPr>
        <w:jc w:val="both"/>
      </w:pPr>
    </w:p>
    <w:p w:rsidR="00983F19" w:rsidP="00750824" w:rsidRDefault="00000000" w14:paraId="318C5688" w14:textId="15F944CC">
      <w:pPr>
        <w:jc w:val="both"/>
      </w:pPr>
      <w:r>
        <w:t xml:space="preserve">Bijzondere aandacht verdient </w:t>
      </w:r>
      <w:r w:rsidR="00A60485">
        <w:t xml:space="preserve">ook </w:t>
      </w:r>
      <w:r>
        <w:t xml:space="preserve">de beweringen die de platforms zelf naar voren brengen in onderhandelingen </w:t>
      </w:r>
      <w:r w:rsidR="00A60485">
        <w:t xml:space="preserve">met de sociale partners </w:t>
      </w:r>
      <w:r>
        <w:t xml:space="preserve">en </w:t>
      </w:r>
      <w:r w:rsidR="00A60485">
        <w:t xml:space="preserve">in </w:t>
      </w:r>
      <w:r>
        <w:t xml:space="preserve">procedures voor nationale instanties. De besturen van sommige platforms – waaronder </w:t>
      </w:r>
      <w:r w:rsidR="00A60485">
        <w:t xml:space="preserve">bijvoorbeeld </w:t>
      </w:r>
      <w:r>
        <w:t xml:space="preserve">Wolt </w:t>
      </w:r>
      <w:r>
        <w:t xml:space="preserve">in de onderhandelingen met de Sloveense vakbonden – beweren regelmatig dat bepaalde verplichtingen uit de richtlijn niet op hen van toepassing zijn of dat bepaalde instanties niet bevoegd zijn om hun bedrijfsmodel te beoordelen. De richtlijn laat dergelijke argumenten niet toe: de bevoegdheid vloeit voort uit de plaats waar het werk wordt verricht, niet uit de plaats waar het platform is gevestigd.</w:t>
      </w:r>
    </w:p>
    <w:p w:rsidR="00D90A18" w:rsidP="00750824" w:rsidRDefault="00D90A18" w14:paraId="6FE07113" w14:textId="77777777">
      <w:pPr>
        <w:jc w:val="both"/>
      </w:pPr>
    </w:p>
    <w:p w:rsidR="00983F19" w:rsidP="00750824" w:rsidRDefault="00000000" w14:paraId="105EE5A9" w14:textId="007C3416">
      <w:pPr>
        <w:jc w:val="both"/>
      </w:pPr>
      <w:r>
        <w:t xml:space="preserve">Er blijft echter een leemte bestaan die de richtlijn niet aanpakt: wat gebeurt er als een Europees platform met twee maten meet</w:t>
      </w:r>
      <w:r w:rsidR="00A60485">
        <w:t xml:space="preserve">: </w:t>
      </w:r>
      <w:r>
        <w:t xml:space="preserve">binnen de EU houdt het zich aan de regels, daarbuiten niet? </w:t>
      </w:r>
      <w:r>
        <w:t xml:space="preserve">Glovo</w:t>
      </w:r>
      <w:r>
        <w:t xml:space="preserve">, waarvan </w:t>
      </w:r>
      <w:r>
        <w:t xml:space="preserve">Delivery </w:t>
      </w:r>
      <w:r>
        <w:t xml:space="preserve">Hero</w:t>
      </w:r>
      <w:r>
        <w:t xml:space="preserve">, met hoofdkantoor in Duitsland, </w:t>
      </w:r>
      <w:r>
        <w:t xml:space="preserve">de meerderheidsaandeelhouder is</w:t>
      </w:r>
      <w:r>
        <w:t xml:space="preserve">, is actief in verschillende ontwikkelingslanden: Marokko, Ghana, Kazachstan, Peru en elders. De arbeidsomstandigheden van de bezorgers daar blijven vaak ver achter bij de normen die de richtlijn in de EU zou voorschrijven. Aangezien het platform in Europese handen is en met Europees kapitaal wordt gefinancierd, rijst een vraag die de huidige richtlijn niet regelt: zou de EU ten minste minimumnormen moeten opleggen aan werknemers die buiten haar grondgebied voor Europese platforms werken? Dit is een bevoegdheid die </w:t>
      </w:r>
      <w:r w:rsidR="00A60485">
        <w:t xml:space="preserve">in </w:t>
      </w:r>
      <w:r>
        <w:t xml:space="preserve">de huidige richtlijn </w:t>
      </w:r>
      <w:r w:rsidR="00A60485">
        <w:t xml:space="preserve">niet is vastgelegd</w:t>
      </w:r>
      <w:r>
        <w:t xml:space="preserve">.</w:t>
      </w:r>
    </w:p>
    <w:p w:rsidR="00D90A18" w:rsidP="00750824" w:rsidRDefault="00D90A18" w14:paraId="239D2C55" w14:textId="77777777">
      <w:pPr>
        <w:jc w:val="both"/>
      </w:pPr>
    </w:p>
    <w:p w:rsidR="00983F19" w:rsidP="00750824" w:rsidRDefault="00000000" w14:paraId="5FBA8B99" w14:textId="77777777">
      <w:pPr>
        <w:pStyle w:val="Naslov2"/>
        <w:jc w:val="both"/>
      </w:pPr>
      <w:bookmarkStart w:name="_Toc233699483" w:id="9"/>
      <w:r>
        <w:t xml:space="preserve">2.3 Aanbevelingen</w:t>
      </w:r>
      <w:bookmarkEnd w:id="9"/>
    </w:p>
    <w:p w:rsidR="00983F19" w:rsidP="00750824" w:rsidRDefault="00000000" w14:paraId="128A5ACE" w14:textId="1BF77777">
      <w:pPr>
        <w:jc w:val="both"/>
      </w:pPr>
      <w:r>
        <w:t xml:space="preserve">De volgende aanbevelingen zijn gericht aan de ministeries </w:t>
      </w:r>
      <w:r w:rsidR="00A60485">
        <w:t xml:space="preserve">die bevoegd zijn voor de uitvoering </w:t>
      </w:r>
      <w:r w:rsidR="00A60485">
        <w:t xml:space="preserve">van de richtlijn, </w:t>
      </w:r>
      <w:r>
        <w:t xml:space="preserve">de </w:t>
      </w:r>
      <w:r>
        <w:t xml:space="preserve">EU-lidstaten en de sociale partners in het kader van de omzetting van de richtlijn. Ze vloeien voort uit de normatieve vereisten van de richtlijn en de ervaringen van de partnerlanden van het SDDP-project. Elke aanbeveling is voorzien van een ambitiegraden: [RICHTLIJN] betekent dat het gaat om een vereiste die de richtlijn oplegt en die in de wet moet worden omgezet; [OVERTREEDT HET MINIMUM] betekent dat de aanbeveling verder gaat dan de minimumvereisten van de richtlijn, maar juridisch toelaatbaar is op grond van artikel 26, lid 2;</w:t>
      </w:r>
      <w:r>
        <w:lastRenderedPageBreak/>
      </w:r>
      <w:r>
        <w:t xml:space="preserve"> [</w:t>
      </w:r>
      <w:r>
        <w:t xml:space="preserve">AMBITIEUS] betekent dat de aanbeveling het kader van de richtlijn overstijgt </w:t>
      </w:r>
      <w:r w:rsidR="00A60485">
        <w:t xml:space="preserve">om een nog hoger niveau van bescherming van werknemers te bereiken, </w:t>
      </w:r>
      <w:r w:rsidR="00A60485">
        <w:t xml:space="preserve">of dat </w:t>
      </w:r>
      <w:r>
        <w:t xml:space="preserve">zij gericht is op de herziening in 2029.</w:t>
      </w:r>
    </w:p>
    <w:p w:rsidR="00D90A18" w:rsidP="00750824" w:rsidRDefault="00D90A18" w14:paraId="60CA4BBA" w14:textId="77777777">
      <w:pPr>
        <w:jc w:val="both"/>
      </w:pPr>
    </w:p>
    <w:p w:rsidR="00983F19" w:rsidP="00750824" w:rsidRDefault="00000000" w14:paraId="4BC815EE" w14:textId="77777777">
      <w:pPr>
        <w:pStyle w:val="Naslov3"/>
        <w:jc w:val="both"/>
      </w:pPr>
      <w:r>
        <w:t xml:space="preserve">Aanbeveling 2.1 [RICHTLIJN]: Sectorneutrale definitie van een digitaal werkplatform</w:t>
      </w:r>
    </w:p>
    <w:p w:rsidR="00983F19" w:rsidP="00750824" w:rsidRDefault="00000000" w14:paraId="55FE32DC" w14:textId="3182B3FD">
      <w:pPr>
        <w:jc w:val="both"/>
      </w:pPr>
      <w:r>
        <w:t xml:space="preserve">Nationale wetten moeten de definitie van een digitaal werkplatform overnemen zonder sectorale uitzonderingen of beperkingen. Geen enkele sector – vervoer, bezorging, schoonmaak, IT, gezondheidszorg of </w:t>
      </w:r>
      <w:r>
        <w:t xml:space="preserve">microtaken </w:t>
      </w:r>
      <w:r>
        <w:t xml:space="preserve">– is of mag bij voorbaat worden uitgesloten. De beoordeling of een entiteit aan de definitie van een DLP voldoet, moet gebaseerd zijn op de concrete dienst en de rol daarvan bij de organisatie van het werk, en niet op de sectorale indeling in het handelsregister of de fiscale categorisering. Wij bevelen de ministeries aan om in de wet een uitdrukkelijke bepaling op te nemen die het verbiedt om de registratie-indeling aan te voeren als reden voor uitsluiting van het toepassingsgebied van de richtlijn. </w:t>
      </w:r>
    </w:p>
    <w:p w:rsidR="00792F1C" w:rsidP="00750824" w:rsidRDefault="00792F1C" w14:paraId="1D09979B" w14:textId="77777777">
      <w:pPr>
        <w:jc w:val="both"/>
      </w:pPr>
    </w:p>
    <w:p w:rsidR="00983F19" w:rsidP="00750824" w:rsidRDefault="00000000" w14:paraId="13F2153D" w14:textId="697CE53C">
      <w:pPr>
        <w:pStyle w:val="Blokbesedila"/>
      </w:pPr>
      <w:r>
        <w:t xml:space="preserve">Achtergrond: Het Belgische voorbeeld van Takeaway.com laat zien hoe de registratiecategorie van een advertentiebedrijf een excuus wordt om arbeidsrechtelijke verplichtingen te omzeilen. De deskundigengroep van de Europese Commissie heeft bevestigd: de beoordeling gebeurt altijd op basis van </w:t>
      </w:r>
      <w:r w:rsidR="00A60485">
        <w:t xml:space="preserve">de</w:t>
      </w:r>
      <w:r>
        <w:t xml:space="preserve"> dienst </w:t>
      </w:r>
      <w:r w:rsidR="00A60485">
        <w:t xml:space="preserve">die het bedrijf aanbiedt, </w:t>
      </w:r>
      <w:r>
        <w:t xml:space="preserve">niet op basis van de sector </w:t>
      </w:r>
      <w:r w:rsidR="00A60485">
        <w:t xml:space="preserve">waarin het officieel actief is</w:t>
      </w:r>
      <w:r>
        <w:t xml:space="preserve">.</w:t>
      </w:r>
    </w:p>
    <w:p w:rsidR="00D90A18" w:rsidP="00750824" w:rsidRDefault="00D90A18" w14:paraId="49258D8A" w14:textId="77777777">
      <w:pPr>
        <w:jc w:val="both"/>
      </w:pPr>
    </w:p>
    <w:p w:rsidR="00983F19" w:rsidP="00750824" w:rsidRDefault="00000000" w14:paraId="40B3D2CE" w14:textId="77777777">
      <w:pPr>
        <w:pStyle w:val="Naslov3"/>
        <w:jc w:val="both"/>
      </w:pPr>
      <w:r>
        <w:t xml:space="preserve">Aanbeveling 2.2 [RICHTLIJN]: Expliciete regeling van het fleet-systeem en bemiddelingsketens</w:t>
      </w:r>
    </w:p>
    <w:p w:rsidR="00983F19" w:rsidP="00750824" w:rsidRDefault="00000000" w14:paraId="4DAB0359" w14:textId="1C4B87AA">
      <w:pPr>
        <w:jc w:val="both"/>
      </w:pPr>
      <w:r>
        <w:t xml:space="preserve">Nationale wetgeving moet de definitie van tussenpersoon concretiseren, zodat deze uitdrukkelijk alle vormen van het flotta-systeem omvat, met inbegrip van meerlagige </w:t>
      </w:r>
      <w:r>
        <w:t xml:space="preserve">onderaannemersketens. De wet moet bepalen dat elke entiteit</w:t>
      </w:r>
      <w:r w:rsidR="00A60485">
        <w:t xml:space="preserve">, </w:t>
      </w:r>
      <w:r>
        <w:t xml:space="preserve">natuurlijke of rechtspersoon</w:t>
      </w:r>
      <w:r w:rsidR="00A60485">
        <w:t xml:space="preserve">, </w:t>
      </w:r>
      <w:r w:rsidR="00A60485">
        <w:t xml:space="preserve">die </w:t>
      </w:r>
      <w:r w:rsidR="00A60485">
        <w:t xml:space="preserve">tot</w:t>
      </w:r>
      <w:r>
        <w:t xml:space="preserve"> doel </w:t>
      </w:r>
      <w:r w:rsidR="00A60485">
        <w:t xml:space="preserve">heeft </w:t>
      </w:r>
      <w:r>
        <w:t xml:space="preserve">platformwerk</w:t>
      </w:r>
      <w:r>
        <w:t xml:space="preserve"> te organiseren of te bemiddelen</w:t>
      </w:r>
      <w:r>
        <w:t xml:space="preserve">, </w:t>
      </w:r>
      <w:r>
        <w:t xml:space="preserve">als </w:t>
      </w:r>
      <w:r>
        <w:t xml:space="preserve">tussenpersoon </w:t>
      </w:r>
      <w:r>
        <w:t xml:space="preserve">wordt beschouwd</w:t>
      </w:r>
      <w:r>
        <w:t xml:space="preserve">. Het verhuren van een account, dat door het platform wordt toegestaan of gedoogd, wordt beschouwd als bemiddeling. Wij bevelen de ministeries aan om een openbaar toegankelijk register op te zetten van bemiddelaars die namens platforms opereren.</w:t>
      </w:r>
    </w:p>
    <w:p w:rsidR="00D90A18" w:rsidP="00750824" w:rsidRDefault="00D90A18" w14:paraId="34AC575B" w14:textId="77777777">
      <w:pPr>
        <w:jc w:val="both"/>
      </w:pPr>
    </w:p>
    <w:p w:rsidR="00D90A18" w:rsidP="00750824" w:rsidRDefault="00000000" w14:paraId="52A018B9" w14:textId="5D50A1D9">
      <w:pPr>
        <w:pStyle w:val="Blokbesedila"/>
      </w:pPr>
      <w:r>
        <w:t xml:space="preserve">Achtergrond: Bij ten minste 41 van de 91 geanalyseerde platforms is sprake van een ‘vlootsysteem’. </w:t>
      </w:r>
      <w:r>
        <w:t xml:space="preserve">Uber </w:t>
      </w:r>
      <w:r>
        <w:t xml:space="preserve">Eats </w:t>
      </w:r>
      <w:r>
        <w:t xml:space="preserve">Duitsland, ervaringen met schijnbedrijven in Kroatië en Servië en de Spaanse ervaring met de wet op bezorgers (</w:t>
      </w:r>
      <w:r>
        <w:t xml:space="preserve">Ley </w:t>
      </w:r>
      <w:r>
        <w:t xml:space="preserve">Rider</w:t>
      </w:r>
      <w:r>
        <w:t xml:space="preserve">) zijn gedocumenteerde voorbeelden van hoe platforms met behulp van tussenpersonen het juridische risico afwentelen op werknemers </w:t>
      </w:r>
      <w:r w:rsidR="00A60485">
        <w:t xml:space="preserve">en/of op de bemiddelende bedrijven</w:t>
      </w:r>
      <w:r>
        <w:t xml:space="preserve">.</w:t>
      </w:r>
    </w:p>
    <w:p w:rsidR="00D90A18" w:rsidP="00750824" w:rsidRDefault="00D90A18" w14:paraId="62E142CD" w14:textId="77777777">
      <w:pPr>
        <w:jc w:val="both"/>
      </w:pPr>
    </w:p>
    <w:p w:rsidR="00983F19" w:rsidP="00750824" w:rsidRDefault="00000000" w14:paraId="76CCAB41" w14:textId="09B6CB43">
      <w:pPr>
        <w:pStyle w:val="Naslov3"/>
        <w:jc w:val="both"/>
      </w:pPr>
      <w:r>
        <w:t xml:space="preserve">Aanbeveling 2.3 [OVERTREEDT HET MINIMUM]: </w:t>
      </w:r>
      <w:r w:rsidR="00A25A76">
        <w:t xml:space="preserve">Solidaire </w:t>
      </w:r>
      <w:r>
        <w:t xml:space="preserve">aansprakelijkheid als wettelijke </w:t>
      </w:r>
      <w:r w:rsidR="00A60485">
        <w:t xml:space="preserve">vereiste</w:t>
      </w:r>
      <w:r>
        <w:t xml:space="preserve">, niet slechts als mogelijkheid</w:t>
      </w:r>
    </w:p>
    <w:p w:rsidR="00983F19" w:rsidP="00750824" w:rsidRDefault="00000000" w14:paraId="24D2D553" w14:textId="13267CCE">
      <w:pPr>
        <w:jc w:val="both"/>
      </w:pPr>
      <w:r>
        <w:t xml:space="preserve">Artikel 3 van de richtlijn schrijft voor dat werknemers </w:t>
      </w:r>
      <w:r w:rsidR="00A60485">
        <w:t xml:space="preserve">die </w:t>
      </w:r>
      <w:r>
        <w:t xml:space="preserve">via tussenpersonen </w:t>
      </w:r>
      <w:r w:rsidR="00A60485">
        <w:t xml:space="preserve">werken</w:t>
      </w:r>
      <w:r w:rsidR="00A60485">
        <w:t xml:space="preserve">, </w:t>
      </w:r>
      <w:r>
        <w:t xml:space="preserve">hetzelfde beschermingsniveau genieten. Om dit doel te bereiken, is </w:t>
      </w:r>
      <w:r>
        <w:t xml:space="preserve">de </w:t>
      </w:r>
      <w:r w:rsidR="00A25A76">
        <w:t xml:space="preserve">gezamenlijke </w:t>
      </w:r>
      <w:r>
        <w:t xml:space="preserve">aansprakelijkheid van het platform en de tussenpersoon </w:t>
      </w:r>
      <w:r w:rsidR="00A60485">
        <w:t xml:space="preserve">een onmisbaar instrument</w:t>
      </w:r>
      <w:r>
        <w:t xml:space="preserve">. De formulering </w:t>
      </w:r>
      <w:r>
        <w:t xml:space="preserve">„waar dit passend </w:t>
      </w:r>
      <w:r w:rsidR="00320506">
        <w:t xml:space="preserve">is“ </w:t>
      </w:r>
      <w:r>
        <w:t xml:space="preserve">vormt een minimumnorm </w:t>
      </w:r>
      <w:r w:rsidR="00320506">
        <w:t xml:space="preserve">en vormt geen </w:t>
      </w:r>
      <w:r>
        <w:t xml:space="preserve">belemmering voor strengere regelgeving. Wij bevelen de ministeries aan om </w:t>
      </w:r>
      <w:r>
        <w:t xml:space="preserve">de </w:t>
      </w:r>
      <w:r w:rsidR="00A25A76">
        <w:t xml:space="preserve">hoofdelijke </w:t>
      </w:r>
      <w:r>
        <w:t xml:space="preserve">aansprakelijkheid als een rechtsvermoeden in te voeren: het platform en de bemiddelaar zijn </w:t>
      </w:r>
      <w:r w:rsidR="00A25A76">
        <w:t xml:space="preserve">hoofdelijk </w:t>
      </w:r>
      <w:r>
        <w:t xml:space="preserve">aansprakelijk voor alle verplichtingen uit hoofde van de richtlijn, tenzij het platform aantoont dat het bestaan van een arbeidsverhouding buiten zijn invloedssfeer ligt. </w:t>
      </w:r>
      <w:r>
        <w:t xml:space="preserve">De</w:t>
      </w:r>
      <w:r w:rsidR="00320506">
        <w:t xml:space="preserve"> hoofdelijke </w:t>
      </w:r>
      <w:r>
        <w:t xml:space="preserve">aansprakelijkheid moet ten minste de loonbetaling, </w:t>
      </w:r>
      <w:r w:rsidR="00320506">
        <w:t xml:space="preserve">de uit het werk voortvloeiende </w:t>
      </w:r>
      <w:r>
        <w:t xml:space="preserve">premies </w:t>
      </w:r>
      <w:r>
        <w:t xml:space="preserve">en het recht op vakbondsvorming </w:t>
      </w:r>
      <w:r>
        <w:t xml:space="preserve">dekken</w:t>
      </w:r>
      <w:r>
        <w:t xml:space="preserve">.</w:t>
      </w:r>
    </w:p>
    <w:p w:rsidR="00D90A18" w:rsidP="00750824" w:rsidRDefault="00D90A18" w14:paraId="474E9C9B" w14:textId="77777777">
      <w:pPr>
        <w:jc w:val="both"/>
      </w:pPr>
    </w:p>
    <w:p w:rsidR="00983F19" w:rsidP="00750824" w:rsidRDefault="00000000" w14:paraId="2DDABCC7" w14:textId="44C2EF04">
      <w:pPr>
        <w:pStyle w:val="Blokbesedila"/>
      </w:pPr>
      <w:r>
        <w:lastRenderedPageBreak/>
      </w:r>
      <w:r>
        <w:t xml:space="preserve">Achtergrond: De deskundigengroep van de Europese Commissie heeft verduidelijkt dat </w:t>
      </w:r>
      <w:r w:rsidR="00A25A76">
        <w:t xml:space="preserve">hoofdelijke </w:t>
      </w:r>
      <w:r>
        <w:t xml:space="preserve">aansprakelijkheid niet in alle gevallen verplicht is, maar wel gepast is telkens wanneer een werknemer zonder deze aansprakelijkheid gedwongen zou zijn zijn rechten te doen gelden tegen een entiteit waarmee hij geen rechtstreekse overeenkomst heeft. Ervaringen met schijnbedrijven tonen aan dat werknemers bij het faillissement van een onderaannemer zonder enige bescherming komen te zitten. Het ontwerp van de collectieve arbeidsovereenkomst van ZSSS/Sindikat Mladi plus voor </w:t>
      </w:r>
      <w:r>
        <w:t xml:space="preserve">Wolt </w:t>
      </w:r>
      <w:r>
        <w:t xml:space="preserve">Slovenija bevat </w:t>
      </w:r>
      <w:r>
        <w:t xml:space="preserve">een contractueel-juridisch verbod op het ‘flot’-systeem met een boetebepaling van 5.000 EUR per werknemer – dit is een model dat normatief moet worden ondersteund.</w:t>
      </w:r>
    </w:p>
    <w:p w:rsidR="00983F19" w:rsidP="00750824" w:rsidRDefault="00000000" w14:paraId="3B88E94C" w14:textId="0AAD5ED6">
      <w:pPr>
        <w:pStyle w:val="Naslov3"/>
        <w:jc w:val="both"/>
      </w:pPr>
      <w:r>
        <w:t xml:space="preserve">Aanbeveling 2.4 [GAAT VERDER DAN HET MINIMUM]: </w:t>
      </w:r>
      <w:r w:rsidR="00FD0595">
        <w:t xml:space="preserve">Reële </w:t>
      </w:r>
      <w:r>
        <w:t xml:space="preserve">tijdscontrole van bemiddelingsketens via ELA</w:t>
      </w:r>
    </w:p>
    <w:p w:rsidR="00983F19" w:rsidP="00750824" w:rsidRDefault="00000000" w14:paraId="0E6ADBA2" w14:textId="496AC0C6">
      <w:pPr>
        <w:jc w:val="both"/>
      </w:pPr>
      <w:r>
        <w:t xml:space="preserve">In overeenstemming met het Protocol van de sociale partners van de SDDP bevelen wij aan dat de lidstaten de platforms verplichten digitale toegang te verlenen aan toezichthoudende instanties en de Europese Arbeidsautoriteit (</w:t>
      </w:r>
      <w:r>
        <w:t xml:space="preserve">„European </w:t>
      </w:r>
      <w:r>
        <w:t xml:space="preserve">Labour </w:t>
      </w:r>
      <w:r>
        <w:t xml:space="preserve">Authority </w:t>
      </w:r>
      <w:r w:rsidR="00FD0595">
        <w:t xml:space="preserve">(ELA)“</w:t>
      </w:r>
      <w:r>
        <w:t xml:space="preserve">), die in realtime en </w:t>
      </w:r>
      <w:r>
        <w:t xml:space="preserve">geanonimiseerd </w:t>
      </w:r>
      <w:r>
        <w:t xml:space="preserve">het aantal actieve werknemers, de aanwezige onderaannemers en geaggregeerde gegevens over de uitbetalingen weergeeft. Het platform </w:t>
      </w:r>
      <w:r w:rsidR="00FD0595">
        <w:t xml:space="preserve">dient </w:t>
      </w:r>
      <w:r>
        <w:t xml:space="preserve">binnen</w:t>
      </w:r>
      <w:r w:rsidR="00FD0595">
        <w:t xml:space="preserve"> 60 </w:t>
      </w:r>
      <w:r>
        <w:t xml:space="preserve">dagen na de inwerkingtreding van de omzettingswet </w:t>
      </w:r>
      <w:r>
        <w:t xml:space="preserve">een eerste register in te dienen </w:t>
      </w:r>
      <w:r>
        <w:t xml:space="preserve">en dit maandelijks bij te werken. De inspectiedienst </w:t>
      </w:r>
      <w:r w:rsidR="00FD0595">
        <w:t xml:space="preserve">moet </w:t>
      </w:r>
      <w:r>
        <w:t xml:space="preserve">de werking van de toegang binnen 15 dagen bevestigen; zonder bevestiging wordt het sociale certificaat ingehouden. De gegevens moeten anoniem zijn en in overeenstemming met de Algemene Verordening Gegevensbescherming (AVG). Het doel is niet het toezicht op individuele werknemers, maar het opsporen van verborgen </w:t>
      </w:r>
      <w:r>
        <w:t xml:space="preserve">onderaannemingsrelaties en </w:t>
      </w:r>
      <w:r>
        <w:t xml:space="preserve">het systematisch afwentelen van risico’s. </w:t>
      </w:r>
      <w:r>
        <w:t xml:space="preserve">Ook vakbonden </w:t>
      </w:r>
      <w:r w:rsidR="00FD0595">
        <w:t xml:space="preserve">moeten </w:t>
      </w:r>
      <w:r>
        <w:t xml:space="preserve">in het kader van collectieve onderhandelingen </w:t>
      </w:r>
      <w:r>
        <w:t xml:space="preserve">toegang </w:t>
      </w:r>
      <w:r>
        <w:t xml:space="preserve">hebben </w:t>
      </w:r>
      <w:r>
        <w:t xml:space="preserve">tot de geaggregeerde gegevens</w:t>
      </w:r>
      <w:r>
        <w:t xml:space="preserve">. De ELA </w:t>
      </w:r>
      <w:r w:rsidR="00FD0595">
        <w:t xml:space="preserve">moet </w:t>
      </w:r>
      <w:r>
        <w:t xml:space="preserve">optreden als bemiddelaar in grensoverschrijdende gevallen en gezamenlijke inspecties coördineren.</w:t>
      </w:r>
      <w:r>
        <w:rPr>
          <w:rStyle w:val="Sprotnaopomba-sklic"/>
        </w:rPr>
        <w:footnoteReference w:id="1"/>
      </w:r>
    </w:p>
    <w:p w:rsidR="00D90A18" w:rsidP="00750824" w:rsidRDefault="00D90A18" w14:paraId="34789338" w14:textId="77777777">
      <w:pPr>
        <w:jc w:val="both"/>
      </w:pPr>
    </w:p>
    <w:p w:rsidR="00983F19" w:rsidP="00750824" w:rsidRDefault="00000000" w14:paraId="10B49C1F" w14:textId="77777777">
      <w:pPr>
        <w:pStyle w:val="Blokbesedila"/>
      </w:pPr>
      <w:r>
        <w:t xml:space="preserve">Achtergrond: Het protocol van de sociale partners SDDP (derde pijler) voorziet in </w:t>
      </w:r>
      <w:r>
        <w:t xml:space="preserve">een realtime-register als instrument ter voorkoming van </w:t>
      </w:r>
      <w:r>
        <w:t xml:space="preserve">misbruik </w:t>
      </w:r>
      <w:r>
        <w:t xml:space="preserve">van onderaanneming</w:t>
      </w:r>
      <w:r>
        <w:t xml:space="preserve">. Zonder een onafhankelijke gegevensbron bevinden vakbonden en inspectiediensten zich bij onderhandelingen structureel in een zwakkere positie. De ELA beschikt al over bevoegdheden voor grensoverschrijdende informatie-uitwisseling – dit mechanisme zou haar rechtstreeks betrekken bij preventief toezicht.</w:t>
      </w:r>
    </w:p>
    <w:p w:rsidR="00D90A18" w:rsidP="00750824" w:rsidRDefault="00D90A18" w14:paraId="7BD5FD64" w14:textId="77777777">
      <w:pPr>
        <w:jc w:val="both"/>
      </w:pPr>
    </w:p>
    <w:p w:rsidR="00983F19" w:rsidP="00750824" w:rsidRDefault="00000000" w14:paraId="5B66E501" w14:textId="77777777">
      <w:pPr>
        <w:pStyle w:val="Naslov3"/>
        <w:jc w:val="both"/>
      </w:pPr>
      <w:r>
        <w:t xml:space="preserve">Aanbeveling 2.5 [RICHTLIJN]: Duidelijke regeling van de territoriale bevoegdheid</w:t>
      </w:r>
    </w:p>
    <w:p w:rsidR="00983F19" w:rsidP="00750824" w:rsidRDefault="00000000" w14:paraId="156C44FC" w14:textId="14D819C7">
      <w:pPr>
        <w:jc w:val="both"/>
      </w:pPr>
      <w:r>
        <w:t xml:space="preserve">De ministeries moeten in de omzettingswet een uitdrukkelijke bepaling opnemen die de arbeidsinspectie machtigt en verplicht om op te treden tegen elk platform dat werkzaamheden organiseert op het grondgebied van het land</w:t>
      </w:r>
      <w:r w:rsidR="00FD0595">
        <w:t xml:space="preserve">, </w:t>
      </w:r>
      <w:r>
        <w:t xml:space="preserve">ongeacht de vestigingsplaats van het platform of </w:t>
      </w:r>
      <w:r w:rsidR="00FD0595">
        <w:t xml:space="preserve">de toepassing van het rechtsstelsel dat in </w:t>
      </w:r>
      <w:r>
        <w:t xml:space="preserve">de contracten</w:t>
      </w:r>
      <w:r w:rsidR="00FD0595">
        <w:t xml:space="preserve"> is vastgelegd</w:t>
      </w:r>
      <w:r>
        <w:t xml:space="preserve">. Het beroep op een buitenlandse vestigingsplaats of de keuze voor buitenlands recht als reden voor onbevoegdheid is niet toegestaan. Platforms die geen vestigingsplaats in de EU hebben, moeten een vertegenwoordiger in de Unie hebben. Wij bevelen de ministeries aan om in de wet een uitdrukkelijk verbod op te nemen dat een platform in onderhandelingen of procedures voor autoriteiten een buitenlandse vestigingsplaats mag aanvoeren als reden om zijn aansprakelijkheid te beperken.</w:t>
      </w:r>
      <w:r>
        <w:rPr>
          <w:rStyle w:val="Sprotnaopomba-sklic"/>
        </w:rPr>
        <w:footnoteReference w:id="2"/>
      </w:r>
    </w:p>
    <w:p w:rsidR="00D90A18" w:rsidP="00750824" w:rsidRDefault="00D90A18" w14:paraId="759F476B" w14:textId="77777777">
      <w:pPr>
        <w:jc w:val="both"/>
      </w:pPr>
    </w:p>
    <w:p w:rsidR="00D90A18" w:rsidP="00750824" w:rsidRDefault="00000000" w14:paraId="7A83C5D5" w14:textId="011814CF">
      <w:pPr>
        <w:pStyle w:val="Blokbesedila"/>
      </w:pPr>
      <w:r>
        <w:t xml:space="preserve">Achtergrond: Artikel 1, lid 3, van de richtlijn vormt in combinatie met de Verordening Rome I een solide juridisch kader voor territoriale bevoegdheid. Beweringen </w:t>
      </w:r>
      <w:r w:rsidR="00FD0595">
        <w:t xml:space="preserve">van</w:t>
      </w:r>
      <w:r>
        <w:t xml:space="preserve"> sommige platforms </w:t>
      </w:r>
      <w:r>
        <w:t xml:space="preserve">dat bepaalde verplichtingen niet op hen van toepassing zijn</w:t>
      </w:r>
      <w:r>
        <w:lastRenderedPageBreak/>
      </w:r>
      <w:r>
        <w:t xml:space="preserve"> of dat bepaalde autoriteiten niet </w:t>
      </w:r>
      <w:r w:rsidR="00792F1C">
        <w:t xml:space="preserve">bevoegd</w:t>
      </w:r>
      <w:r>
        <w:t xml:space="preserve"> zijn</w:t>
      </w:r>
      <w:r w:rsidR="00FD0595">
        <w:t xml:space="preserve">, </w:t>
      </w:r>
      <w:r>
        <w:t xml:space="preserve">zijn in strijd met de richtlijn en moeten al in de tekst van de wet worden uitgesloten.</w:t>
      </w:r>
      <w:r>
        <w:rPr>
          <w:rStyle w:val="Sprotnaopomba-sklic"/>
        </w:rPr>
        <w:footnoteReference w:id="3"/>
      </w:r>
    </w:p>
    <w:p w:rsidR="00D90A18" w:rsidP="00750824" w:rsidRDefault="00D90A18" w14:paraId="2C498739" w14:textId="77777777">
      <w:pPr>
        <w:jc w:val="both"/>
      </w:pPr>
    </w:p>
    <w:p w:rsidR="00983F19" w:rsidP="00750824" w:rsidRDefault="00000000" w14:paraId="25DDBE1E" w14:textId="77777777">
      <w:pPr>
        <w:pStyle w:val="Naslov3"/>
        <w:jc w:val="both"/>
      </w:pPr>
      <w:r>
        <w:t xml:space="preserve">Aanbeveling 2.6 [GAAT VERDER DAN HET MINIMUM]: De sociale dialoog als instrument voor het vaststellen van het toepassingsgebied</w:t>
      </w:r>
    </w:p>
    <w:p w:rsidR="00983F19" w:rsidP="00750824" w:rsidRDefault="00000000" w14:paraId="46D33B99" w14:textId="77777777">
      <w:pPr>
        <w:jc w:val="both"/>
      </w:pPr>
      <w:r>
        <w:t xml:space="preserve">De ministeries dienen in de omzettingswet een mechanisme op te nemen dat de sociale partners in staat stelt een formeel verzoek in te dienen om vast te stellen of een bepaald bedrijfsmodel aan de DLP-criteria voldoet. In het kader van dit mechanisme dient de bevoegde instantie binnen een bepaalde termijn (bijvoorbeeld 60 dagen) een bindend standpunt in te nemen, dat de basis vormt voor verdere procedures. Dergelijke vaststellingen zijn gebaseerd op de sociale dialoog tussen het ministerie, de vakbonden en de werkgevers, en zijn sneller, goedkoper en rechtvaardiger dan individuele rechtszaken, die individuele werknemers vaak niet kunnen financieren.</w:t>
      </w:r>
    </w:p>
    <w:p w:rsidR="00FD0595" w:rsidP="00750824" w:rsidRDefault="00FD0595" w14:paraId="1BEA3115" w14:textId="77777777">
      <w:pPr>
        <w:jc w:val="both"/>
      </w:pPr>
    </w:p>
    <w:p w:rsidR="00983F19" w:rsidP="00750824" w:rsidRDefault="00000000" w14:paraId="30A226FD" w14:textId="77777777">
      <w:pPr>
        <w:pStyle w:val="Blokbesedila"/>
      </w:pPr>
      <w:r>
        <w:t xml:space="preserve">Achtergrond: De rode draad in dit document is dat de sociale dialoog de brug zal vormen die de kloof overbrugt tussen de goedkeuring van de richtlijn en de daadwerkelijke tenuitvoerlegging ervan. Een collectief mechanisme voor het oplossen van kwesties op dit gebied is effectiever dan individuele gerechtelijke procedures.</w:t>
      </w:r>
    </w:p>
    <w:p w:rsidR="00D90A18" w:rsidP="00750824" w:rsidRDefault="00D90A18" w14:paraId="57BE798C" w14:textId="77777777">
      <w:pPr>
        <w:jc w:val="both"/>
      </w:pPr>
    </w:p>
    <w:p w:rsidRPr="00D90A18" w:rsidR="00983F19" w:rsidP="00750824" w:rsidRDefault="00000000" w14:paraId="4149CE32" w14:textId="77777777">
      <w:pPr>
        <w:jc w:val="both"/>
        <w:rPr>
          <w:rStyle w:val="Neenpoudarek"/>
        </w:rPr>
      </w:pPr>
      <w:r>
        <w:rPr>
          <w:rStyle w:val="Neenpoudarek"/>
        </w:rPr>
        <w:t xml:space="preserve">Opmerking over de tenuitvoerlegging</w:t>
      </w:r>
    </w:p>
    <w:p w:rsidRPr="00D90A18" w:rsidR="00983F19" w:rsidP="00750824" w:rsidRDefault="00000000" w14:paraId="477821F1" w14:textId="4BED8176">
      <w:pPr>
        <w:jc w:val="both"/>
        <w:rPr>
          <w:rStyle w:val="Neenpoudarek"/>
        </w:rPr>
      </w:pPr>
      <w:r>
        <w:rPr>
          <w:rStyle w:val="Neenpoudarek"/>
        </w:rPr>
        <w:t xml:space="preserve">De definities in dit hoofdstuk vormen de basis waarop alle volgende hoofdstukken van dit document zijn gebaseerd. Het juridisch vermoeden van een dienstverband (</w:t>
      </w:r>
      <w:r>
        <w:rPr>
          <w:rStyle w:val="Neenpoudarek"/>
        </w:rPr>
        <w:t xml:space="preserve">hoofdstuk 4) zal alleen effectief zijn als het begrip DLP zonder sectorale lacunes wordt toegepast. Algoritmisch beheer (</w:t>
      </w:r>
      <w:r>
        <w:rPr>
          <w:rStyle w:val="Neenpoudarek"/>
        </w:rPr>
        <w:t xml:space="preserve">hoofdstuk 5) zal alleen bescherming bieden aan degenen die PPPW zijn in de zin van de richtlijn. Collectieve rechten (</w:t>
      </w:r>
      <w:r>
        <w:rPr>
          <w:rStyle w:val="Neenpoudarek"/>
        </w:rPr>
        <w:t xml:space="preserve">hoofdstuk 7) zullen alleen beschikbaar zijn als de keten van tussenpersonen duidelijk is geregeld. Nauwkeurigheid bij de omzetting van de artikelen 1–3 is geen formele vereiste – het is een voorwaarde voor alle overige bescherming </w:t>
      </w:r>
      <w:r w:rsidR="00FD0595">
        <w:rPr>
          <w:rStyle w:val="Neenpoudarek"/>
        </w:rPr>
        <w:t xml:space="preserve">die uit de richtlijn voortvloeit</w:t>
      </w:r>
      <w:r>
        <w:rPr>
          <w:rStyle w:val="Neenpoudarek"/>
        </w:rPr>
        <w:t xml:space="preserve">.</w:t>
      </w:r>
    </w:p>
    <w:p w:rsidR="00750824" w:rsidRDefault="00750824" w14:paraId="1079C305" w14:textId="77777777">
      <w:pPr>
        <w:rPr>
          <w:b/>
          <w:bCs/>
          <w:color w:val="1F3864"/>
          <w:sz w:val="36"/>
          <w:szCs w:val="36"/>
        </w:rPr>
      </w:pPr>
      <w:bookmarkStart w:name="X2ed98e4ec239b0ccf1f85db2f0674c03d64541e" w:id="10"/>
      <w:bookmarkEnd w:id="4"/>
      <w:r>
        <w:br w:type="page"/>
      </w:r>
    </w:p>
    <w:p w:rsidR="00983F19" w:rsidP="00750824" w:rsidRDefault="00000000" w14:paraId="66BAE2DB" w14:textId="646347CD">
      <w:pPr>
        <w:pStyle w:val="Naslov1"/>
        <w:jc w:val="both"/>
      </w:pPr>
      <w:bookmarkStart w:name="_Toc233699484" w:id="11"/>
      <w:r>
        <w:lastRenderedPageBreak/>
      </w:r>
      <w:r>
        <w:t xml:space="preserve">Hoofdstuk 3: Juridisch vermoeden </w:t>
      </w:r>
      <w:r w:rsidR="00CF3B80">
        <w:t xml:space="preserve">van een dienstverband </w:t>
      </w:r>
      <w:r>
        <w:t xml:space="preserve">en vaststelling van de arbeidsrechtelijke status</w:t>
      </w:r>
      <w:bookmarkEnd w:id="11"/>
    </w:p>
    <w:p w:rsidR="00983F19" w:rsidP="00750824" w:rsidRDefault="00000000" w14:paraId="2A9DD044" w14:textId="77777777">
      <w:pPr>
        <w:pStyle w:val="Naslov2"/>
        <w:jc w:val="both"/>
      </w:pPr>
      <w:bookmarkStart w:name="_Toc233699485" w:id="12"/>
      <w:bookmarkStart w:name="zahteve-direktive" w:id="13"/>
      <w:r>
        <w:t xml:space="preserve">3.1 Vereisten van de richtlijn</w:t>
      </w:r>
      <w:bookmarkEnd w:id="12"/>
    </w:p>
    <w:p w:rsidR="00983F19" w:rsidP="00750824" w:rsidRDefault="00000000" w14:paraId="034B78FA" w14:textId="75AB6398">
      <w:pPr>
        <w:jc w:val="both"/>
      </w:pPr>
      <w:r>
        <w:t xml:space="preserve">EU-richtlijn 2024/2831 inzake </w:t>
      </w:r>
      <w:r>
        <w:t xml:space="preserve">platformwerk </w:t>
      </w:r>
      <w:r w:rsidR="00C91807">
        <w:t xml:space="preserve">wijdt </w:t>
      </w:r>
      <w:r>
        <w:t xml:space="preserve">hoofdstuk II (artikelen 4–6) </w:t>
      </w:r>
      <w:r w:rsidR="00C91807">
        <w:t xml:space="preserve">aan </w:t>
      </w:r>
      <w:r>
        <w:t xml:space="preserve">de kwestie van de arbeidsstatus</w:t>
      </w:r>
      <w:r>
        <w:t xml:space="preserve">, dat in het rapport van de deskundigengroep van de Europese Commissie terecht wordt aangemerkt als het centrale onderdeel van de gehele richtlijn. Zonder een doeltreffende oplossing voor de vraag of een persoon die </w:t>
      </w:r>
      <w:r>
        <w:t xml:space="preserve">platformwerk</w:t>
      </w:r>
      <w:r>
        <w:t xml:space="preserve"> verricht </w:t>
      </w:r>
      <w:r>
        <w:t xml:space="preserve">een werknemer of een zelfstandige </w:t>
      </w:r>
      <w:r>
        <w:t xml:space="preserve">is</w:t>
      </w:r>
      <w:r>
        <w:t xml:space="preserve">, blijven alle overige bepalingen van de richtlijn vrijwel zinloos.</w:t>
      </w:r>
    </w:p>
    <w:p w:rsidR="00D90A18" w:rsidP="00750824" w:rsidRDefault="00D90A18" w14:paraId="016CD21C" w14:textId="77777777">
      <w:pPr>
        <w:jc w:val="both"/>
      </w:pPr>
    </w:p>
    <w:p w:rsidR="00983F19" w:rsidP="00750824" w:rsidRDefault="00000000" w14:paraId="46C533FF" w14:textId="24CB1F4A">
      <w:pPr>
        <w:jc w:val="both"/>
      </w:pPr>
      <w:r>
        <w:rPr>
          <w:b/>
          <w:bCs/>
        </w:rPr>
        <w:t xml:space="preserve">Het vaststellen van de juiste arbeidsstatus (artikel 4) </w:t>
      </w:r>
      <w:r>
        <w:t xml:space="preserve">vereist dat de lidstaten passende en doeltreffende procedures instellen om de juiste arbeidsrechtelijke status vast te stellen van personen die </w:t>
      </w:r>
      <w:r>
        <w:t xml:space="preserve">platformwerk</w:t>
      </w:r>
      <w:r>
        <w:t xml:space="preserve"> verrichten</w:t>
      </w:r>
      <w:r>
        <w:t xml:space="preserve">. Het artikel introduceert het beginsel </w:t>
      </w:r>
      <w:r>
        <w:rPr>
          <w:b/>
          <w:bCs/>
        </w:rPr>
        <w:t xml:space="preserve">van het primaat van de feiten </w:t>
      </w:r>
      <w:r>
        <w:t xml:space="preserve">(</w:t>
      </w:r>
      <w:r w:rsidRPr="00792F1C">
        <w:t xml:space="preserve">„primacy </w:t>
      </w:r>
      <w:r w:rsidRPr="00792F1C">
        <w:t xml:space="preserve">of </w:t>
      </w:r>
      <w:r w:rsidRPr="00792F1C" w:rsidR="000D74B6">
        <w:t xml:space="preserve">facts”</w:t>
      </w:r>
      <w:r>
        <w:t xml:space="preserve">): bij het vaststellen </w:t>
      </w:r>
      <w:r>
        <w:t xml:space="preserve">van</w:t>
      </w:r>
      <w:r>
        <w:t xml:space="preserve"> het bestaan </w:t>
      </w:r>
      <w:r w:rsidR="00CF3B80">
        <w:t xml:space="preserve">van een dienstverband </w:t>
      </w:r>
      <w:r>
        <w:t xml:space="preserve">moeten de feiten altijd prevaleren boven de wil van de partijen of de contractuele regeling van de relatie. Met andere woorden: een platform kan niet, door te verwijzen naar een overeenkomst die het zelf eenzijdig heeft opgesteld en ter ondertekening heeft aangeboden, het bestaan </w:t>
      </w:r>
      <w:r>
        <w:t xml:space="preserve">van</w:t>
      </w:r>
      <w:r w:rsidR="00CF3B80">
        <w:t xml:space="preserve"> een arbeidsverhouding</w:t>
      </w:r>
      <w:r>
        <w:t xml:space="preserve"> uitsluiten </w:t>
      </w:r>
      <w:r>
        <w:t xml:space="preserve">dat blijkt uit de feitelijke omstandigheden van het werk. Artikel 4 vereist ook een duidelijke identificatie van de werkgever, wat bijzonder lastig is in situaties waarin er een keten van tussenpersonen of onderaannemers tussen het platform en de werknemer staat.</w:t>
      </w:r>
    </w:p>
    <w:p w:rsidR="00D90A18" w:rsidP="00750824" w:rsidRDefault="00D90A18" w14:paraId="1668947A" w14:textId="77777777">
      <w:pPr>
        <w:jc w:val="both"/>
      </w:pPr>
    </w:p>
    <w:p w:rsidR="00983F19" w:rsidP="00750824" w:rsidRDefault="00000000" w14:paraId="4514C0B2" w14:textId="42C2910F">
      <w:pPr>
        <w:jc w:val="both"/>
      </w:pPr>
      <w:r>
        <w:rPr>
          <w:b/>
          <w:bCs/>
        </w:rPr>
        <w:t xml:space="preserve">Het juridisch vermoeden </w:t>
      </w:r>
      <w:r w:rsidR="00CF3B80">
        <w:rPr>
          <w:b/>
          <w:bCs/>
        </w:rPr>
        <w:t xml:space="preserve">van een arbeidsverhouding </w:t>
      </w:r>
      <w:r>
        <w:rPr>
          <w:b/>
          <w:bCs/>
        </w:rPr>
        <w:t xml:space="preserve">(artikel 5) </w:t>
      </w:r>
      <w:r>
        <w:t xml:space="preserve">is een cruciaal instrument van de richtlijn. Het stelt een weerlegbaar juridisch vermoeden vast dat de contractuele relatie tussen een digitaal werkplatform en de persoon die via dat platform werk verricht, </w:t>
      </w:r>
      <w:r w:rsidR="00CF3B80">
        <w:rPr>
          <w:b/>
          <w:bCs/>
        </w:rPr>
        <w:t xml:space="preserve">een dienstverband</w:t>
      </w:r>
      <w:r>
        <w:t xml:space="preserve"> is</w:t>
      </w:r>
      <w:r>
        <w:t xml:space="preserve">, wanneer er feiten zijn vastgesteld die wijzen op instructies en toezicht (</w:t>
      </w:r>
      <w:r w:rsidRPr="00792F1C">
        <w:t xml:space="preserve">„direction </w:t>
      </w:r>
      <w:r w:rsidRPr="00792F1C">
        <w:t xml:space="preserve">and </w:t>
      </w:r>
      <w:r w:rsidRPr="00792F1C" w:rsidR="000D74B6">
        <w:t xml:space="preserve">control“</w:t>
      </w:r>
      <w:r>
        <w:t xml:space="preserve">). De richtlijn hanteert een ruime interpretatie van dit begrip: het omvat niet alleen directe instructies, maar ook indirecte sturing van het gedrag via algoritmische systemen, sanctiepraktijken en </w:t>
      </w:r>
      <w:r w:rsidR="000D74B6">
        <w:t xml:space="preserve">druk </w:t>
      </w:r>
      <w:r>
        <w:t xml:space="preserve">(overweging 30). Bij de omzetting is het van cruciaal belang dat het nationale begrip </w:t>
      </w:r>
      <w:r>
        <w:t xml:space="preserve">‘aansturing en </w:t>
      </w:r>
      <w:r w:rsidR="000D74B6">
        <w:t xml:space="preserve">controle’ </w:t>
      </w:r>
      <w:r>
        <w:t xml:space="preserve">(bijvoorbeeld in de Sloveense ZDR-1, artikel 4) zodanig wordt uitgelegd dat het ook deze indirecte vormen </w:t>
      </w:r>
      <w:r w:rsidR="000D74B6">
        <w:t xml:space="preserve">van ondergeschiktheid</w:t>
      </w:r>
      <w:r>
        <w:t xml:space="preserve"> omvat</w:t>
      </w:r>
      <w:r>
        <w:t xml:space="preserve">.</w:t>
      </w:r>
    </w:p>
    <w:p w:rsidR="00D90A18" w:rsidP="00750824" w:rsidRDefault="00D90A18" w14:paraId="4831453B" w14:textId="77777777">
      <w:pPr>
        <w:jc w:val="both"/>
      </w:pPr>
    </w:p>
    <w:p w:rsidR="00983F19" w:rsidP="00750824" w:rsidRDefault="00000000" w14:paraId="2539B6BC" w14:textId="77DCA821">
      <w:pPr>
        <w:jc w:val="both"/>
      </w:pPr>
      <w:r>
        <w:t xml:space="preserve">De bewijslast (</w:t>
      </w:r>
      <w:r w:rsidRPr="00792F1C">
        <w:t xml:space="preserve">‘burden </w:t>
      </w:r>
      <w:r w:rsidRPr="00792F1C">
        <w:t xml:space="preserve">of </w:t>
      </w:r>
      <w:r w:rsidRPr="00792F1C" w:rsidR="000D74B6">
        <w:t xml:space="preserve">proof’</w:t>
      </w:r>
      <w:r>
        <w:t xml:space="preserve">) voor het weerleggen van dit vermoeden wordt overgedragen aan het platform. </w:t>
      </w:r>
      <w:r w:rsidR="000D74B6">
        <w:t xml:space="preserve">Indien </w:t>
      </w:r>
      <w:r>
        <w:t xml:space="preserve">het platform </w:t>
      </w:r>
      <w:r w:rsidR="000D74B6">
        <w:t xml:space="preserve">dit vermoeden niet aanvaardt, </w:t>
      </w:r>
      <w:r>
        <w:t xml:space="preserve">moet </w:t>
      </w:r>
      <w:r>
        <w:t xml:space="preserve">het </w:t>
      </w:r>
      <w:r>
        <w:t xml:space="preserve">aantonen dat de contractuele relatie geen </w:t>
      </w:r>
      <w:r w:rsidR="00CF3B80">
        <w:t xml:space="preserve">dienstverband</w:t>
      </w:r>
      <w:r>
        <w:t xml:space="preserve"> is</w:t>
      </w:r>
      <w:r>
        <w:t xml:space="preserve">. De richtlijn verscherpt deze norm niet met de eis van aanvullende criteria</w:t>
      </w:r>
      <w:r w:rsidR="000D74B6">
        <w:t xml:space="preserve">; </w:t>
      </w:r>
      <w:r>
        <w:t xml:space="preserve">zoals de deskundigengroep van de Europese Commissie heeft toegelicht, </w:t>
      </w:r>
      <w:r>
        <w:rPr>
          <w:b/>
          <w:bCs/>
        </w:rPr>
        <w:t xml:space="preserve">vereist </w:t>
      </w:r>
      <w:r>
        <w:t xml:space="preserve">artikel 5 </w:t>
      </w:r>
      <w:r>
        <w:rPr>
          <w:b/>
          <w:bCs/>
        </w:rPr>
        <w:t xml:space="preserve">niet dat de lidstaten in hun omzettingsmaatregelen criteria vaststellen</w:t>
      </w:r>
      <w:r w:rsidR="000D74B6">
        <w:t xml:space="preserve">. </w:t>
      </w:r>
      <w:r>
        <w:t xml:space="preserve">Het volstaat om feiten vast te stellen die wijzen op instructies en toezicht. De vereiste bewijsstandaard is vergelijkbaar met het </w:t>
      </w:r>
      <w:r>
        <w:rPr>
          <w:i/>
          <w:iCs/>
        </w:rPr>
        <w:t xml:space="preserve">prima facie-beginsel </w:t>
      </w:r>
      <w:r>
        <w:t xml:space="preserve">in de EU-wetgeving inzake het verbod op discriminatie: het volstaat dat de feiten ondergeschiktheid op zijn minst waarschijnlijk of mogelijk maken. De richtlijn vereist geen volledig bewijs.</w:t>
      </w:r>
    </w:p>
    <w:p w:rsidR="00D90A18" w:rsidP="00750824" w:rsidRDefault="00D90A18" w14:paraId="32241D05" w14:textId="77777777">
      <w:pPr>
        <w:jc w:val="both"/>
      </w:pPr>
    </w:p>
    <w:p w:rsidR="00983F19" w:rsidP="00750824" w:rsidRDefault="00000000" w14:paraId="2E7A10AD" w14:textId="5847BA8D">
      <w:pPr>
        <w:jc w:val="both"/>
      </w:pPr>
      <w:r>
        <w:t xml:space="preserve">De rechtsvermoeden moet in samenhang worden gelezen met overweging 30, waarin wordt benadrukt dat instructies en toezicht in </w:t>
      </w:r>
      <w:r>
        <w:t xml:space="preserve">platformwerk vaak niet direct zijn, maar indirect </w:t>
      </w:r>
      <w:r w:rsidR="00D7386B">
        <w:t xml:space="preserve">– </w:t>
      </w:r>
      <w:r>
        <w:t xml:space="preserve">via algoritmische systemen, sanctiepraktijken en druk die bepaald gedrag stimuleren. Platforms beschikken over alle gegevens over de aard van de relatie, met name over de algoritmen waarmee zij de werknemers aansturen. Juist dit rechtvaardigt de verschuiving van de bewijslast.</w:t>
      </w:r>
    </w:p>
    <w:p w:rsidR="00D90A18" w:rsidP="00750824" w:rsidRDefault="00D90A18" w14:paraId="1BDE77BE" w14:textId="77777777">
      <w:pPr>
        <w:jc w:val="both"/>
      </w:pPr>
    </w:p>
    <w:p w:rsidR="00983F19" w:rsidP="00750824" w:rsidRDefault="00000000" w14:paraId="40A48505" w14:textId="77777777">
      <w:pPr>
        <w:jc w:val="both"/>
      </w:pPr>
      <w:r>
        <w:t xml:space="preserve">De richtlijn bepaalt dat het rechtsvermoeden van toepassing is in alle relevante </w:t>
      </w:r>
      <w:r>
        <w:rPr>
          <w:b/>
          <w:bCs/>
        </w:rPr>
        <w:t xml:space="preserve">administratieve en gerechtelijke procedures </w:t>
      </w:r>
      <w:r>
        <w:t xml:space="preserve">ter vaststelling van de arbeidsstatus. Het geldt niet automatisch in fiscale,</w:t>
      </w:r>
      <w:r>
        <w:lastRenderedPageBreak/>
      </w:r>
      <w:r>
        <w:t xml:space="preserve"> strafrechtelijke en sociale zekerheidsprocedures, hoewel de lidstaten het daar ook op mogen uitbreiden. De toepassing van het vermoeden is niet met terugwerkende kracht: voor verhoudingen die vóór 2 december 2026 bestonden en op dat moment al waren aangegaan, worden de rechten die voortvloeien uit </w:t>
      </w:r>
      <w:r>
        <w:t xml:space="preserve">de</w:t>
      </w:r>
      <w:r>
        <w:t xml:space="preserve"> </w:t>
      </w:r>
      <w:r>
        <w:t xml:space="preserve">herdefinieerde </w:t>
      </w:r>
      <w:r>
        <w:t xml:space="preserve">status alleen erkend voor de periode na die datum.</w:t>
      </w:r>
    </w:p>
    <w:p w:rsidR="00D90A18" w:rsidP="00750824" w:rsidRDefault="00D90A18" w14:paraId="028FF839" w14:textId="77777777">
      <w:pPr>
        <w:jc w:val="both"/>
      </w:pPr>
    </w:p>
    <w:p w:rsidR="00983F19" w:rsidP="00750824" w:rsidRDefault="00000000" w14:paraId="6832494B" w14:textId="6E9DCF73">
      <w:pPr>
        <w:jc w:val="both"/>
      </w:pPr>
      <w:r>
        <w:t xml:space="preserve">Twee bepalingen inzake het inleiden van procedures zijn van bijzonder belang. Volgens artikel 5, lid 4, hebben </w:t>
      </w:r>
      <w:r>
        <w:t xml:space="preserve">werknemers en hun vertegenwoordigers </w:t>
      </w:r>
      <w:r>
        <w:rPr>
          <w:b/>
          <w:bCs/>
        </w:rPr>
        <w:t xml:space="preserve">het recht </w:t>
      </w:r>
      <w:r>
        <w:t xml:space="preserve">om een procedure in te leiden. Volgens artikel 5, lid 5</w:t>
      </w:r>
      <w:r>
        <w:t xml:space="preserve">,</w:t>
      </w:r>
      <w:r>
        <w:t xml:space="preserve"> zijn de bevoegde nationale autoriteiten </w:t>
      </w:r>
      <w:r>
        <w:rPr>
          <w:b/>
          <w:bCs/>
        </w:rPr>
        <w:t xml:space="preserve">verplicht </w:t>
      </w:r>
      <w:r>
        <w:t xml:space="preserve">passende maatregelen of procedures in te leiden wanneer zij van mening zijn dat een persoon mogelijk onjuist is ingedeeld </w:t>
      </w:r>
      <w:r w:rsidR="00D7386B">
        <w:t xml:space="preserve">– </w:t>
      </w:r>
      <w:r>
        <w:t xml:space="preserve">en dit </w:t>
      </w:r>
      <w:r>
        <w:rPr>
          <w:b/>
          <w:bCs/>
        </w:rPr>
        <w:t xml:space="preserve">ongeacht de instemming van de werknemer</w:t>
      </w:r>
      <w:r>
        <w:t xml:space="preserve">. Bovendien heeft de werknemersvertegenwoordiging krachtens artikel 19 van de richtlijn het recht om in procedures op te treden namens een of meer werknemers, wat de weg vrijmaakt voor collectieve uitoefening van rechten.</w:t>
      </w:r>
    </w:p>
    <w:p w:rsidR="00D90A18" w:rsidP="00750824" w:rsidRDefault="00D90A18" w14:paraId="6C32B0FD" w14:textId="77777777">
      <w:pPr>
        <w:jc w:val="both"/>
      </w:pPr>
    </w:p>
    <w:p w:rsidR="00983F19" w:rsidP="00750824" w:rsidRDefault="00000000" w14:paraId="6FBCDC95" w14:textId="476D66BA">
      <w:pPr>
        <w:jc w:val="both"/>
      </w:pPr>
      <w:r>
        <w:rPr>
          <w:b/>
          <w:bCs/>
        </w:rPr>
        <w:t xml:space="preserve">Het kader van ondersteunende maatregelen (artikel 6) </w:t>
      </w:r>
      <w:r>
        <w:t xml:space="preserve">verplicht de lidstaten om een alomvattend kader van maatregelen in te voeren voor een doeltreffende toepassing van het rechtsvermoeden. Dit kader moet het volgende omvatten: het opstellen van richtsnoeren en praktische aanbevelingen voor platforms, werknemers en sociale partners; het instellen van procedures waarmee de bevoegde autoriteiten proactief platforms identificeren, gericht aanpakken en vervolgen die de regels inzake de arbeidsstatus overtreden; doeltreffende controles en inspecties, met name van platforms waarbij </w:t>
      </w:r>
      <w:r>
        <w:t xml:space="preserve">reeds </w:t>
      </w:r>
      <w:r w:rsidR="00CF3B80">
        <w:t xml:space="preserve">een dienstverband is </w:t>
      </w:r>
      <w:r>
        <w:t xml:space="preserve">vastgesteld; en passende opleiding van inspectie-instanties, met inbegrip van technische expertise op het gebied van algoritmisch beheer.</w:t>
      </w:r>
    </w:p>
    <w:p w:rsidR="00983F19" w:rsidP="00750824" w:rsidRDefault="00000000" w14:paraId="3B6737F1" w14:textId="77777777">
      <w:pPr>
        <w:pStyle w:val="Naslov2"/>
        <w:jc w:val="both"/>
      </w:pPr>
      <w:bookmarkStart w:name="_Toc233699486" w:id="14"/>
      <w:bookmarkStart w:name="ugotovitve-iz-prakse" w:id="15"/>
      <w:bookmarkEnd w:id="13"/>
      <w:r>
        <w:t xml:space="preserve">3.2 Bevindingen uit de praktijk</w:t>
      </w:r>
      <w:bookmarkEnd w:id="14"/>
    </w:p>
    <w:p w:rsidR="00983F19" w:rsidP="00750824" w:rsidRDefault="00000000" w14:paraId="01D9DD1D" w14:textId="77777777">
      <w:pPr>
        <w:pStyle w:val="Naslov3"/>
        <w:jc w:val="both"/>
      </w:pPr>
      <w:bookmarkStart w:name="praznina-med-pravico-in-stvarnostjo" w:id="16"/>
      <w:r>
        <w:t xml:space="preserve">De kloof tussen recht en werkelijkheid</w:t>
      </w:r>
    </w:p>
    <w:p w:rsidR="00983F19" w:rsidP="00750824" w:rsidRDefault="00000000" w14:paraId="1E045CBB" w14:textId="58FAC5BB">
      <w:pPr>
        <w:jc w:val="both"/>
      </w:pPr>
      <w:r>
        <w:t xml:space="preserve">Ervaringen uit de partnerlanden van het SDDP-project tonen aan dat de kwestie van de rechtsvermoeden en de vaststelling van de arbeidsstatus het meest complexe en politiek meest gevoelige aspect van de uitvoering van de richtlijn is. Tegelijkertijd is het cruciaal voor alle overige rechten: zonder arbeidsstatus hebben vakbonden niet het recht om de werknemer te vertegenwoordigen, zonder arbeidsstatus is de collectieve arbeidsovereenkomst niet van toepassing op de werknemer, en zonder arbeidsstatus zijn er geen </w:t>
      </w:r>
      <w:r w:rsidR="000D74B6">
        <w:t xml:space="preserve">arbeids- en sociale </w:t>
      </w:r>
      <w:r>
        <w:t xml:space="preserve">rechten</w:t>
      </w:r>
      <w:r w:rsidR="000D74B6">
        <w:t xml:space="preserve">.</w:t>
      </w:r>
    </w:p>
    <w:p w:rsidR="000D74B6" w:rsidP="00750824" w:rsidRDefault="000D74B6" w14:paraId="2F2FEA86" w14:textId="77777777">
      <w:pPr>
        <w:jc w:val="both"/>
      </w:pPr>
    </w:p>
    <w:p w:rsidR="00983F19" w:rsidP="00750824" w:rsidRDefault="00000000" w14:paraId="28663872" w14:textId="77777777">
      <w:pPr>
        <w:jc w:val="both"/>
      </w:pPr>
      <w:r>
        <w:t xml:space="preserve">De tussentijdse conferentie van het SDDP-project (Ljubljana, mei 2025) heeft dit ondubbelzinnig bevestigd: zonder arbeidsstatus blijven alle overige rechten uit de richtlijn ontoegankelijk.</w:t>
      </w:r>
    </w:p>
    <w:p w:rsidR="00983F19" w:rsidP="00750824" w:rsidRDefault="00000000" w14:paraId="749034F8" w14:textId="77777777">
      <w:pPr>
        <w:pStyle w:val="Naslov3"/>
        <w:jc w:val="both"/>
      </w:pPr>
      <w:bookmarkStart w:name="Xb628c4a68f4dd592c51cb0fabb9c985081de79b" w:id="17"/>
      <w:bookmarkEnd w:id="16"/>
      <w:r>
        <w:t xml:space="preserve">Spanje: van het negeren van de wet tot de dreiging van een gevangenisstraf</w:t>
      </w:r>
    </w:p>
    <w:p w:rsidR="00983F19" w:rsidP="00750824" w:rsidRDefault="00000000" w14:paraId="5B4CF9D7" w14:textId="789C054D">
      <w:pPr>
        <w:jc w:val="both"/>
      </w:pPr>
      <w:r>
        <w:t xml:space="preserve">Spanje biedt </w:t>
      </w:r>
      <w:r>
        <w:t xml:space="preserve">de</w:t>
      </w:r>
      <w:r w:rsidR="000D74B6">
        <w:t xml:space="preserve"> meest veelomvattende </w:t>
      </w:r>
      <w:r>
        <w:t xml:space="preserve">ervaring </w:t>
      </w:r>
      <w:r w:rsidR="00D7386B">
        <w:t xml:space="preserve">– </w:t>
      </w:r>
      <w:r>
        <w:t xml:space="preserve">zowel wat betreft successen als gevaren. Na juridische overwinningen van de vakbonden heeft de Spaanse regering in 2021 </w:t>
      </w:r>
      <w:r>
        <w:t xml:space="preserve">de</w:t>
      </w:r>
      <w:r>
        <w:t xml:space="preserve"> zogenaamde </w:t>
      </w:r>
      <w:r>
        <w:t xml:space="preserve">Wet op de bezorgers (</w:t>
      </w:r>
      <w:r>
        <w:rPr>
          <w:i/>
          <w:iCs/>
        </w:rPr>
        <w:t xml:space="preserve">‘Ley </w:t>
      </w:r>
      <w:r w:rsidR="000D74B6">
        <w:rPr>
          <w:i/>
          <w:iCs/>
        </w:rPr>
        <w:t xml:space="preserve">Rider’</w:t>
      </w:r>
      <w:r>
        <w:t xml:space="preserve">) </w:t>
      </w:r>
      <w:r>
        <w:t xml:space="preserve">aangenomen</w:t>
      </w:r>
      <w:r>
        <w:t xml:space="preserve">, die voor de sector van de maaltijdbezorging een vermoeden </w:t>
      </w:r>
      <w:r w:rsidR="00CF3B80">
        <w:t xml:space="preserve">van dienstverband</w:t>
      </w:r>
      <w:r>
        <w:t xml:space="preserve"> instelt</w:t>
      </w:r>
      <w:r>
        <w:t xml:space="preserve">. De reactie van de platforms was veelzeggend en verliep in drie fasen.</w:t>
      </w:r>
    </w:p>
    <w:p w:rsidR="000D74B6" w:rsidP="00750824" w:rsidRDefault="000D74B6" w14:paraId="2F0C8863" w14:textId="77777777">
      <w:pPr>
        <w:jc w:val="both"/>
      </w:pPr>
    </w:p>
    <w:p w:rsidR="00983F19" w:rsidP="00750824" w:rsidRDefault="00000000" w14:paraId="33198EBD" w14:textId="4A6FB9E6">
      <w:pPr>
        <w:jc w:val="both"/>
      </w:pPr>
      <w:r>
        <w:t xml:space="preserve">In de eerste fase </w:t>
      </w:r>
      <w:r>
        <w:t xml:space="preserve">kondigde</w:t>
      </w:r>
      <w:r>
        <w:t xml:space="preserve"> </w:t>
      </w:r>
      <w:r>
        <w:t xml:space="preserve">Glovo </w:t>
      </w:r>
      <w:r w:rsidR="00D7386B">
        <w:t xml:space="preserve">– </w:t>
      </w:r>
      <w:r>
        <w:t xml:space="preserve">het grootste Spaanse platform met ongeveer 12.000 bezorgers </w:t>
      </w:r>
      <w:r w:rsidR="00D7386B">
        <w:t xml:space="preserve">– </w:t>
      </w:r>
      <w:r>
        <w:t xml:space="preserve">aan slechts ongeveer 2.000 personen (20 %) in dienst te nemen. De aangeboden arbeidsovereenkomsten waren opgesteld met een minimaal aantal uren per week en voorwaarden die aanzienlijk slechter waren dan het eerdere inkomen, waardoor de meeste bezorgers ze niet accepteerden. Tegelijkertijd </w:t>
      </w:r>
      <w:r>
        <w:t xml:space="preserve">paste</w:t>
      </w:r>
      <w:r>
        <w:t xml:space="preserve"> </w:t>
      </w:r>
      <w:r>
        <w:t xml:space="preserve">Glovo </w:t>
      </w:r>
      <w:r>
        <w:t xml:space="preserve">de algoritmische parameters aan om de schijn van autonomie te wekken </w:t>
      </w:r>
      <w:r w:rsidR="00D7386B">
        <w:t xml:space="preserve">– </w:t>
      </w:r>
      <w:r>
        <w:t xml:space="preserve">vrije aanmelding zonder tijdschema’s, de mogelijkheid om bestellingen te weigeren </w:t>
      </w:r>
      <w:r w:rsidR="00D7386B">
        <w:t xml:space="preserve">– </w:t>
      </w:r>
      <w:r>
        <w:t xml:space="preserve">waarmee het probeerde elementen </w:t>
      </w:r>
      <w:r w:rsidR="000D74B6">
        <w:t xml:space="preserve">van ondergeschiktheid van de werknemers </w:t>
      </w:r>
      <w:r>
        <w:t xml:space="preserve">te ondermijnen</w:t>
      </w:r>
      <w:r>
        <w:t xml:space="preserve">.</w:t>
      </w:r>
    </w:p>
    <w:p w:rsidR="000D74B6" w:rsidP="00750824" w:rsidRDefault="000D74B6" w14:paraId="6D06A04D" w14:textId="77777777">
      <w:pPr>
        <w:jc w:val="both"/>
      </w:pPr>
    </w:p>
    <w:p w:rsidR="00983F19" w:rsidP="00750824" w:rsidRDefault="00000000" w14:paraId="7685B622" w14:textId="51AC6A7F">
      <w:pPr>
        <w:jc w:val="both"/>
      </w:pPr>
      <w:r>
        <w:lastRenderedPageBreak/>
      </w:r>
      <w:r>
        <w:t xml:space="preserve">In de tweede fase volgden jaren van geschillen. De Spaanse arbeidsinspectie </w:t>
      </w:r>
      <w:r>
        <w:t xml:space="preserve">legde</w:t>
      </w:r>
      <w:r>
        <w:t xml:space="preserve"> </w:t>
      </w:r>
      <w:r w:rsidR="000D74B6">
        <w:t xml:space="preserve">Glovo </w:t>
      </w:r>
      <w:r>
        <w:t xml:space="preserve">een recordboete op van 79 miljoen euro, terwijl de sociale zekerheidsdienst in totaal ongeveer 450 miljoen euro aan boetes en achterstallige premies eiste. De rechtbanken oordeelden consequent in het voordeel van de werknemers. In 2022 wijzigde Spanje het wetboek van strafrecht, waardoor schijnzelfstandigheid een strafbaar feit werd.</w:t>
      </w:r>
    </w:p>
    <w:p w:rsidR="000D74B6" w:rsidP="00750824" w:rsidRDefault="000D74B6" w14:paraId="73B12AA2" w14:textId="77777777">
      <w:pPr>
        <w:jc w:val="both"/>
      </w:pPr>
    </w:p>
    <w:p w:rsidR="00983F19" w:rsidP="00750824" w:rsidRDefault="00000000" w14:paraId="02A92F84" w14:textId="71AF2FA0">
      <w:pPr>
        <w:jc w:val="both"/>
      </w:pPr>
      <w:r>
        <w:t xml:space="preserve">De doorslaggevende ommekeer kwam pas in de derde fase, toen </w:t>
      </w:r>
      <w:r>
        <w:t xml:space="preserve">Óscar </w:t>
      </w:r>
      <w:r>
        <w:t xml:space="preserve">Pierre, </w:t>
      </w:r>
      <w:r>
        <w:t xml:space="preserve">medeoprichter en uitvoerend directeur </w:t>
      </w:r>
      <w:r>
        <w:t xml:space="preserve">van</w:t>
      </w:r>
      <w:r>
        <w:t xml:space="preserve"> Glovo, </w:t>
      </w:r>
      <w:r>
        <w:t xml:space="preserve">strafrechtelijk </w:t>
      </w:r>
      <w:r>
        <w:t xml:space="preserve">werd </w:t>
      </w:r>
      <w:r>
        <w:t xml:space="preserve">vervolgd. De dag voor de zitting </w:t>
      </w:r>
      <w:r w:rsidR="00D7386B">
        <w:t xml:space="preserve">–</w:t>
      </w:r>
      <w:r>
        <w:t xml:space="preserve"> </w:t>
      </w:r>
      <w:r>
        <w:t xml:space="preserve">in december 2024 </w:t>
      </w:r>
      <w:r w:rsidR="00D7386B">
        <w:t xml:space="preserve">– </w:t>
      </w:r>
      <w:r>
        <w:t xml:space="preserve">kondigde</w:t>
      </w:r>
      <w:r>
        <w:t xml:space="preserve"> </w:t>
      </w:r>
      <w:r>
        <w:t xml:space="preserve">Glovo</w:t>
      </w:r>
      <w:r>
        <w:t xml:space="preserve"> </w:t>
      </w:r>
      <w:r>
        <w:t xml:space="preserve">aan dat </w:t>
      </w:r>
      <w:r>
        <w:t xml:space="preserve">alle bezorgers </w:t>
      </w:r>
      <w:r w:rsidR="000D74B6">
        <w:t xml:space="preserve">in dienst </w:t>
      </w:r>
      <w:r w:rsidR="000D74B6">
        <w:t xml:space="preserve">zouden </w:t>
      </w:r>
      <w:r w:rsidR="000D74B6">
        <w:t xml:space="preserve">worden genomen</w:t>
      </w:r>
      <w:r>
        <w:t xml:space="preserve">. Deze ervaring toont onomstotelijk aan dat een duidelijke wettelijke bepaling inzake het vermoeden </w:t>
      </w:r>
      <w:r w:rsidR="00CF3B80">
        <w:t xml:space="preserve">van een dienstverband </w:t>
      </w:r>
      <w:r>
        <w:t xml:space="preserve">op zich niet volstaat </w:t>
      </w:r>
      <w:r w:rsidR="00D7386B">
        <w:t xml:space="preserve">– </w:t>
      </w:r>
      <w:r>
        <w:t xml:space="preserve">er is </w:t>
      </w:r>
      <w:r w:rsidR="000D74B6">
        <w:t xml:space="preserve">een effectieve handhaving </w:t>
      </w:r>
      <w:r w:rsidR="000D74B6">
        <w:t xml:space="preserve">nodig </w:t>
      </w:r>
      <w:r>
        <w:t xml:space="preserve">die verder gaat dan louter financiële sancties en die strafrechtelijke aansprakelijkheid van de verantwoordelijke personen omvat.</w:t>
      </w:r>
    </w:p>
    <w:p w:rsidR="000D74B6" w:rsidP="00750824" w:rsidRDefault="000D74B6" w14:paraId="7C98E11A" w14:textId="77777777">
      <w:pPr>
        <w:jc w:val="both"/>
      </w:pPr>
    </w:p>
    <w:p w:rsidR="00983F19" w:rsidP="00750824" w:rsidRDefault="00000000" w14:paraId="2F90837E" w14:textId="6BB51443">
      <w:pPr>
        <w:jc w:val="both"/>
      </w:pPr>
      <w:r>
        <w:t xml:space="preserve">Tegelijkertijd </w:t>
      </w:r>
      <w:r>
        <w:t xml:space="preserve">brengt de</w:t>
      </w:r>
      <w:r w:rsidR="000D74B6">
        <w:t xml:space="preserve"> Spaanse </w:t>
      </w:r>
      <w:r>
        <w:t xml:space="preserve">ervaring een structurele beperking aan het licht: de wet inzake bezorgers geldt alleen voor de bezorging van maaltijden, en niet voor alle </w:t>
      </w:r>
      <w:r>
        <w:t xml:space="preserve">platformwerkers. </w:t>
      </w:r>
      <w:r>
        <w:t xml:space="preserve">Na de goedkeuring van de wet heeft </w:t>
      </w:r>
      <w:r>
        <w:t xml:space="preserve">Uber </w:t>
      </w:r>
      <w:r>
        <w:t xml:space="preserve">Eats </w:t>
      </w:r>
      <w:r>
        <w:t xml:space="preserve">zijn volledige bedrijfsmodel geherstructureerd naar </w:t>
      </w:r>
      <w:r>
        <w:t xml:space="preserve">een</w:t>
      </w:r>
      <w:r>
        <w:t xml:space="preserve"> systeem </w:t>
      </w:r>
      <w:r>
        <w:t xml:space="preserve">dat </w:t>
      </w:r>
      <w:r>
        <w:t xml:space="preserve">uitsluitend uit onderaannemers bestaat</w:t>
      </w:r>
      <w:r w:rsidR="000D74B6">
        <w:t xml:space="preserve">, </w:t>
      </w:r>
      <w:r>
        <w:t xml:space="preserve">het</w:t>
      </w:r>
      <w:r w:rsidR="000D74B6">
        <w:t xml:space="preserve"> zogenaamde </w:t>
      </w:r>
      <w:r w:rsidRPr="00792F1C">
        <w:t xml:space="preserve">‘fleet </w:t>
      </w:r>
      <w:r>
        <w:t xml:space="preserve">system’</w:t>
      </w:r>
      <w:r w:rsidR="000D74B6">
        <w:t xml:space="preserve">, </w:t>
      </w:r>
      <w:r>
        <w:t xml:space="preserve">en zo formeel voldaan aan de eis van een dienstverband, maar via tussenpersonen </w:t>
      </w:r>
      <w:r>
        <w:t xml:space="preserve">de onzekere arbeidsomstandigheden</w:t>
      </w:r>
      <w:r>
        <w:t xml:space="preserve"> in stand gehouden</w:t>
      </w:r>
      <w:r>
        <w:t xml:space="preserve">. Dit toont aan dat elke sectorgebonden regelgeving </w:t>
      </w:r>
      <w:r w:rsidR="000D74B6">
        <w:t xml:space="preserve">ineffectief</w:t>
      </w:r>
      <w:r>
        <w:t xml:space="preserve"> is</w:t>
      </w:r>
      <w:r>
        <w:t xml:space="preserve">.</w:t>
      </w:r>
    </w:p>
    <w:p w:rsidR="00983F19" w:rsidP="00750824" w:rsidRDefault="00000000" w14:paraId="56113684" w14:textId="77777777">
      <w:pPr>
        <w:pStyle w:val="Naslov3"/>
        <w:jc w:val="both"/>
      </w:pPr>
      <w:bookmarkStart w:name="belgija-domneva-brez-izvršbe" w:id="18"/>
      <w:bookmarkEnd w:id="17"/>
      <w:r>
        <w:t xml:space="preserve">België: vermoeden zonder handhaving</w:t>
      </w:r>
    </w:p>
    <w:p w:rsidR="00983F19" w:rsidP="00750824" w:rsidRDefault="00000000" w14:paraId="6D654A34" w14:textId="7244F666">
      <w:pPr>
        <w:jc w:val="both"/>
      </w:pPr>
      <w:r w:rsidR="00792F1C">
        <w:t xml:space="preserve">De Belgische ervaring </w:t>
      </w:r>
      <w:r w:rsidR="000D74B6">
        <w:t xml:space="preserve">laat </w:t>
      </w:r>
      <w:r>
        <w:t xml:space="preserve">een verontrustend patroon </w:t>
      </w:r>
      <w:r w:rsidR="000D74B6">
        <w:t xml:space="preserve">zien</w:t>
      </w:r>
      <w:r>
        <w:t xml:space="preserve">. De Belgische wetgeving bevat een variant op het rechtsvermoeden </w:t>
      </w:r>
      <w:r w:rsidR="00CF3B80">
        <w:t xml:space="preserve">van een dienstverband</w:t>
      </w:r>
      <w:r>
        <w:t xml:space="preserve">, maar in de praktijk heeft dit niets veranderd. Tijdens een conferentie in Ljubljana verklaarde een Belgische vakbondsvertegenwoordiger dat het bestaan van een wettelijke bepaling inzake het vermoeden zonder de nodige inspectiecapaciteit en sancties neerkomt </w:t>
      </w:r>
      <w:r w:rsidR="000D74B6">
        <w:t xml:space="preserve">op</w:t>
      </w:r>
      <w:r>
        <w:t xml:space="preserve"> een dode letter </w:t>
      </w:r>
      <w:r w:rsidR="000D74B6">
        <w:t xml:space="preserve">op papier</w:t>
      </w:r>
      <w:r>
        <w:t xml:space="preserve">: </w:t>
      </w:r>
      <w:r>
        <w:rPr>
          <w:i/>
          <w:iCs/>
        </w:rPr>
        <w:t xml:space="preserve">„België heeft een lijst met criteria voor een arbeidsverhouding, maar </w:t>
      </w:r>
      <w:r w:rsidR="000D74B6">
        <w:rPr>
          <w:i/>
          <w:iCs/>
        </w:rPr>
        <w:t xml:space="preserve">er is geen handhaving van de wet</w:t>
      </w:r>
      <w:r>
        <w:rPr>
          <w:i/>
          <w:iCs/>
        </w:rPr>
        <w:t xml:space="preserve">.“</w:t>
      </w:r>
      <w:r>
        <w:t xml:space="preserve"> Het voorbeeld </w:t>
      </w:r>
      <w:r>
        <w:t xml:space="preserve">van Takeaway</w:t>
      </w:r>
      <w:r>
        <w:t xml:space="preserve">, dat als reclamebureau is geregistreerd om de beter betaalde sectorale cao’s in de transportsector te omzeilen, illustreert dat platforms elke juridische maas in de wet uitbuiten </w:t>
      </w:r>
      <w:r w:rsidR="00D7386B">
        <w:t xml:space="preserve">– </w:t>
      </w:r>
      <w:r>
        <w:t xml:space="preserve">van de contractvorm tot de sectorale classificatie.</w:t>
      </w:r>
    </w:p>
    <w:p w:rsidR="00983F19" w:rsidP="00750824" w:rsidRDefault="00000000" w14:paraId="61DCAE71" w14:textId="77777777">
      <w:pPr>
        <w:pStyle w:val="Naslov3"/>
        <w:jc w:val="both"/>
      </w:pPr>
      <w:bookmarkStart w:name="italija-tretji-status-kot-past" w:id="19"/>
      <w:bookmarkEnd w:id="18"/>
      <w:r>
        <w:t xml:space="preserve">Italië: de derde status als valstrik</w:t>
      </w:r>
    </w:p>
    <w:p w:rsidR="00983F19" w:rsidP="00750824" w:rsidRDefault="00000000" w14:paraId="6A1D0123" w14:textId="1A771B3B">
      <w:pPr>
        <w:jc w:val="both"/>
      </w:pPr>
      <w:r>
        <w:t xml:space="preserve">Italië staat voor een bijzondere uitdaging: naast het klassieke onderscheid tussen werknemer en zelfstandige bestaan er twee tussencategorieën. Vakbonden </w:t>
      </w:r>
      <w:r w:rsidR="006928D1">
        <w:t xml:space="preserve">waarschuwen </w:t>
      </w:r>
      <w:r>
        <w:t xml:space="preserve">dat de richtlijn, indien onzorgvuldig geïmplementeerd, </w:t>
      </w:r>
      <w:r w:rsidRPr="00792F1C">
        <w:t xml:space="preserve">de </w:t>
      </w:r>
      <w:r>
        <w:t xml:space="preserve">derde status (</w:t>
      </w:r>
      <w:r w:rsidRPr="00792F1C">
        <w:t xml:space="preserve">‘para-subordinate </w:t>
      </w:r>
      <w:r w:rsidR="006928D1">
        <w:t xml:space="preserve">workers’</w:t>
      </w:r>
      <w:r>
        <w:t xml:space="preserve">) </w:t>
      </w:r>
      <w:r>
        <w:t xml:space="preserve">zou </w:t>
      </w:r>
      <w:r w:rsidR="006928D1">
        <w:t xml:space="preserve">legaliseren</w:t>
      </w:r>
      <w:r>
        <w:t xml:space="preserve">, die door platforms als </w:t>
      </w:r>
      <w:r>
        <w:t xml:space="preserve">‘oplossing’</w:t>
      </w:r>
      <w:r>
        <w:t xml:space="preserve"> wordt voorgesteld</w:t>
      </w:r>
      <w:r w:rsidR="006928D1">
        <w:t xml:space="preserve">. </w:t>
      </w:r>
      <w:r>
        <w:t xml:space="preserve">De ervaring </w:t>
      </w:r>
      <w:r>
        <w:t xml:space="preserve">van JustEat</w:t>
      </w:r>
      <w:r>
        <w:t xml:space="preserve">, dat als enige van de grote platforms daadwerkelijke arbeidsovereenkomsten heeft gesloten, toont aan dat dit mogelijk is </w:t>
      </w:r>
      <w:r w:rsidR="00D7386B">
        <w:t xml:space="preserve">– </w:t>
      </w:r>
      <w:r>
        <w:t xml:space="preserve">maar de politieke context </w:t>
      </w:r>
      <w:r>
        <w:t xml:space="preserve">van de extreemrechtse regering blokkeert de implementatie van de richtlijn. De vakbonden richten zich daarom op regionale overeenkomsten en collectieve onderhandelingen.</w:t>
      </w:r>
    </w:p>
    <w:p w:rsidR="00983F19" w:rsidP="00750824" w:rsidRDefault="00000000" w14:paraId="75C17E9E" w14:textId="77777777">
      <w:pPr>
        <w:pStyle w:val="Naslov3"/>
        <w:jc w:val="both"/>
      </w:pPr>
      <w:bookmarkStart w:name="slovenija-čakanje-na-ministrstvo" w:id="20"/>
      <w:bookmarkEnd w:id="19"/>
      <w:r>
        <w:t xml:space="preserve">Slovenië: wachten op het ministerie</w:t>
      </w:r>
    </w:p>
    <w:p w:rsidR="00983F19" w:rsidP="00750824" w:rsidRDefault="00000000" w14:paraId="1B236A9D" w14:textId="3D37079A">
      <w:pPr>
        <w:jc w:val="both"/>
      </w:pPr>
      <w:r>
        <w:t xml:space="preserve">In Slovenië </w:t>
      </w:r>
      <w:r>
        <w:t xml:space="preserve">domineert </w:t>
      </w:r>
      <w:r>
        <w:t xml:space="preserve">Wolt </w:t>
      </w:r>
      <w:r>
        <w:t xml:space="preserve">de markt </w:t>
      </w:r>
      <w:r>
        <w:t xml:space="preserve">voor platformbezorging met een model van zelfstandigen. De vakbonden werden geconfronteerd met ambivalentie onder de werknemers zelf: werknemers erkennen hun ondergeschiktheid aan het platform, maar verwachten tegelijkertijd dat het ministerie het probleem zal oplossen </w:t>
      </w:r>
      <w:r w:rsidR="00D7386B">
        <w:t xml:space="preserve">– en </w:t>
      </w:r>
      <w:r>
        <w:t xml:space="preserve">niet via collectieve onderhandelingen. </w:t>
      </w:r>
      <w:r w:rsidR="006928D1">
        <w:t xml:space="preserve">Na de parlementsverkiezingen </w:t>
      </w:r>
      <w:r>
        <w:t xml:space="preserve">in maart 2026 is de politieke wil voor een ambitieuze implementatie van de richtlijn onzeker. Slovenië wacht traditioneel tot het laatste moment bij de omzetting van Europese richtlijnen. Tegelijkertijd stelt de ZSSS in haar richtlijnen voor de implementatie in april 2025 voor dat Slovenië de richtlijn gebruikt om</w:t>
      </w:r>
      <w:r>
        <w:lastRenderedPageBreak/>
      </w:r>
      <w:r>
        <w:t xml:space="preserve"> een systeemverandering </w:t>
      </w:r>
      <w:r>
        <w:t xml:space="preserve">door te voeren</w:t>
      </w:r>
      <w:r>
        <w:t xml:space="preserve">: het instellen van </w:t>
      </w:r>
      <w:r>
        <w:rPr>
          <w:b/>
          <w:bCs/>
        </w:rPr>
        <w:t xml:space="preserve">een algemeen vermoeden </w:t>
      </w:r>
      <w:r w:rsidR="00CF3B80">
        <w:rPr>
          <w:b/>
          <w:bCs/>
        </w:rPr>
        <w:t xml:space="preserve">van een arbeidsverhouding of dienstverband </w:t>
      </w:r>
      <w:r>
        <w:rPr>
          <w:b/>
          <w:bCs/>
        </w:rPr>
        <w:t xml:space="preserve">voor alle werkzaamheden in </w:t>
      </w:r>
      <w:r w:rsidR="006928D1">
        <w:rPr>
          <w:b/>
          <w:bCs/>
        </w:rPr>
        <w:t xml:space="preserve">Slovenië</w:t>
      </w:r>
      <w:r w:rsidR="006928D1">
        <w:t xml:space="preserve">, </w:t>
      </w:r>
      <w:r>
        <w:t xml:space="preserve">niet alleen voor </w:t>
      </w:r>
      <w:r>
        <w:t xml:space="preserve">platformwerk.</w:t>
      </w:r>
    </w:p>
    <w:p w:rsidR="00983F19" w:rsidP="00750824" w:rsidRDefault="00000000" w14:paraId="38BDBC36" w14:textId="77777777">
      <w:pPr>
        <w:pStyle w:val="Naslov3"/>
        <w:jc w:val="both"/>
      </w:pPr>
      <w:bookmarkStart w:name="problem-podizvajalcev" w:id="21"/>
      <w:bookmarkEnd w:id="20"/>
      <w:r>
        <w:t xml:space="preserve">Het probleem van onderaannemers</w:t>
      </w:r>
    </w:p>
    <w:p w:rsidR="00983F19" w:rsidP="00750824" w:rsidRDefault="00000000" w14:paraId="61EA3FC7" w14:textId="60717B63">
      <w:pPr>
        <w:jc w:val="both"/>
      </w:pPr>
      <w:bookmarkStart w:name="X1bf507dade63a3b9248d91b10533f96b3456f6d" w:id="22"/>
      <w:bookmarkEnd w:id="21"/>
      <w:r>
        <w:t xml:space="preserve">De gezamenlijke conclusie van alle partnerlanden is dat </w:t>
      </w:r>
      <w:r>
        <w:t xml:space="preserve">uitbesteding </w:t>
      </w:r>
      <w:r>
        <w:t xml:space="preserve">(</w:t>
      </w:r>
      <w:r w:rsidR="006928D1">
        <w:t xml:space="preserve">‘subcontracting’</w:t>
      </w:r>
      <w:r>
        <w:t xml:space="preserve">) in </w:t>
      </w:r>
      <w:r>
        <w:t xml:space="preserve">toenemende mate </w:t>
      </w:r>
      <w:r>
        <w:t xml:space="preserve">het meest gebruikte mechanisme wordt om de wettelijke veronderstelling </w:t>
      </w:r>
      <w:r w:rsidR="00CF3B80">
        <w:t xml:space="preserve">van een dienstverband </w:t>
      </w:r>
      <w:r w:rsidR="006928D1">
        <w:t xml:space="preserve">en de aansprakelijkheid </w:t>
      </w:r>
      <w:r w:rsidR="006928D1">
        <w:t xml:space="preserve">van platforms </w:t>
      </w:r>
      <w:r w:rsidR="006928D1">
        <w:t xml:space="preserve">in het algemeen </w:t>
      </w:r>
      <w:r>
        <w:t xml:space="preserve">te omzeilen</w:t>
      </w:r>
      <w:r>
        <w:t xml:space="preserve">. In Duitsland </w:t>
      </w:r>
      <w:r>
        <w:t xml:space="preserve">constateren </w:t>
      </w:r>
      <w:r>
        <w:t xml:space="preserve">de vakbonden op basis van ervaringen met de wetgeving in de postsector (beperking </w:t>
      </w:r>
      <w:r>
        <w:t xml:space="preserve">van onderaannemingsketens bij de bezorging van pakketten) dat platforms in versneld tempo overschakelen op modellen met onderaannemingsketens, waarbij werknemers formeel niet in dienst zijn bij het platform. In Spanje zijn platforms zoals </w:t>
      </w:r>
      <w:r>
        <w:t xml:space="preserve">Glovo</w:t>
      </w:r>
      <w:r>
        <w:t xml:space="preserve">, </w:t>
      </w:r>
      <w:r>
        <w:t xml:space="preserve">Uber </w:t>
      </w:r>
      <w:r>
        <w:t xml:space="preserve">Eats </w:t>
      </w:r>
      <w:r>
        <w:t xml:space="preserve">en Just </w:t>
      </w:r>
      <w:r>
        <w:t xml:space="preserve">Eat </w:t>
      </w:r>
      <w:r>
        <w:t xml:space="preserve">na de inwerkingtreding </w:t>
      </w:r>
      <w:r>
        <w:rPr>
          <w:i/>
          <w:iCs/>
        </w:rPr>
        <w:t xml:space="preserve">van de Ley Rider-wet </w:t>
      </w:r>
      <w:r>
        <w:t xml:space="preserve">overgestapt op </w:t>
      </w:r>
      <w:r>
        <w:t xml:space="preserve">onderaannemingsmodellen, waardoor vakbonden vaak helemaal niet weten wie de daadwerkelijke werkgever van de werknemer is.</w:t>
      </w:r>
    </w:p>
    <w:p w:rsidR="00D90A18" w:rsidP="00750824" w:rsidRDefault="00D90A18" w14:paraId="729D9F2A" w14:textId="77777777">
      <w:pPr>
        <w:jc w:val="both"/>
      </w:pPr>
    </w:p>
    <w:p w:rsidR="00983F19" w:rsidP="00750824" w:rsidRDefault="00000000" w14:paraId="23F0015A" w14:textId="77777777">
      <w:pPr>
        <w:jc w:val="both"/>
      </w:pPr>
      <w:bookmarkStart w:name="X464365a3056fb9d1594f024ef98aa7e37f41722" w:id="23"/>
      <w:bookmarkEnd w:id="22"/>
      <w:r>
        <w:t xml:space="preserve">De richtlijn inzake </w:t>
      </w:r>
      <w:r>
        <w:t xml:space="preserve">platformwerk pakt dit probleem aan in artikel 3, dat vereist dat werknemers die via tussenpersonen werken, hetzelfde beschermingsniveau genieten als degenen die een directe relatie met het platform hebben, inclusief mechanismen voor hoofdelijke aansprakelijkheid. De daadwerkelijke uitvoering van deze bepaling zal echter een cruciale test zijn.</w:t>
      </w:r>
    </w:p>
    <w:p w:rsidR="00983F19" w:rsidP="00750824" w:rsidRDefault="00000000" w14:paraId="49708D2C" w14:textId="77777777">
      <w:pPr>
        <w:pStyle w:val="Naslov3"/>
        <w:jc w:val="both"/>
      </w:pPr>
      <w:bookmarkStart w:name="Xb9c5b4a731a8b417512c018455fc5f559bc3d6e" w:id="24"/>
      <w:bookmarkEnd w:id="23"/>
      <w:r>
        <w:t xml:space="preserve">Algemene structurele vaststelling: wie zal de procedure in gang zetten?</w:t>
      </w:r>
    </w:p>
    <w:p w:rsidR="00983F19" w:rsidP="00750824" w:rsidRDefault="00000000" w14:paraId="7DE4A2A7" w14:textId="5D09F7E6">
      <w:pPr>
        <w:jc w:val="both"/>
      </w:pPr>
      <w:r>
        <w:t xml:space="preserve">Tijdens de conferentie benadrukte Tea Jarc (ETUC) de belangrijkste praktische uitdaging: om de rechtsvermoeden te doen gelden, moet iemand de procedure in gang zetten. Werknemers doen dit vaak niet uit angst voor inkomensverlies. Rechtbanken zijn traag en duur. Daarom legt het ETUC de nadruk op </w:t>
      </w:r>
      <w:r>
        <w:rPr>
          <w:b/>
          <w:bCs/>
        </w:rPr>
        <w:t xml:space="preserve">administratieve procedures </w:t>
      </w:r>
      <w:r>
        <w:t xml:space="preserve">en arbeidsinspecties, die </w:t>
      </w:r>
      <w:r>
        <w:rPr>
          <w:b/>
          <w:bCs/>
        </w:rPr>
        <w:t xml:space="preserve">verplicht</w:t>
      </w:r>
      <w:r>
        <w:t xml:space="preserve"> zijn </w:t>
      </w:r>
      <w:r>
        <w:t xml:space="preserve">een procedure in te leiden wanneer zij aanwijzingen voor een onjuiste indeling constateren </w:t>
      </w:r>
      <w:r>
        <w:rPr>
          <w:b/>
          <w:bCs/>
        </w:rPr>
        <w:t xml:space="preserve">zonder toestemming van de werknemer</w:t>
      </w:r>
      <w:r>
        <w:t xml:space="preserve">. De richtlijn bevat deze verplichting in artikel 5, lid 5, maar voor een doeltreffende tenuitvoerlegging ervan is het noodzakelijk dat de arbeidsinspecties over voldoende personeel en deskundigheid beschikken.</w:t>
      </w:r>
    </w:p>
    <w:p w:rsidR="00983F19" w:rsidP="00750824" w:rsidRDefault="00000000" w14:paraId="4740E06C" w14:textId="77777777">
      <w:pPr>
        <w:pStyle w:val="Naslov2"/>
        <w:jc w:val="both"/>
      </w:pPr>
      <w:bookmarkStart w:name="_Toc233699487" w:id="25"/>
      <w:bookmarkStart w:name="priporočila" w:id="26"/>
      <w:bookmarkEnd w:id="15"/>
      <w:bookmarkEnd w:id="24"/>
      <w:r>
        <w:t xml:space="preserve">3.3 Aanbevelingen</w:t>
      </w:r>
      <w:bookmarkEnd w:id="25"/>
    </w:p>
    <w:p w:rsidR="00983F19" w:rsidP="00750824" w:rsidRDefault="00000000" w14:paraId="1EEE5D89" w14:textId="77777777">
      <w:pPr>
        <w:jc w:val="both"/>
      </w:pPr>
      <w:r>
        <w:t xml:space="preserve">Op basis van een analyse van de vereisten van de richtlijn, praktijkervaringen en discussies binnen de deskundigengroep van de Europese Commissie formuleren wij de volgende aanbevelingen voor de lidstaten bij de omzetting van hoofdstuk II van de richtlijn.</w:t>
      </w:r>
    </w:p>
    <w:p w:rsidR="00D90A18" w:rsidP="00750824" w:rsidRDefault="00D90A18" w14:paraId="3987237E" w14:textId="77777777">
      <w:pPr>
        <w:jc w:val="both"/>
      </w:pPr>
    </w:p>
    <w:p w:rsidR="00D90A18" w:rsidP="00750824" w:rsidRDefault="00000000" w14:paraId="106960A2" w14:textId="63A00551">
      <w:pPr>
        <w:pStyle w:val="Naslov3"/>
        <w:jc w:val="both"/>
      </w:pPr>
      <w:r>
        <w:t xml:space="preserve">Aanbeveling 3.1 [RICHTLIJN]: Juridisch vermoeden </w:t>
      </w:r>
      <w:r w:rsidR="00CF3B80">
        <w:t xml:space="preserve">van een dienstverband </w:t>
      </w:r>
      <w:r>
        <w:t xml:space="preserve">zonder aanvullende criteria</w:t>
      </w:r>
    </w:p>
    <w:p w:rsidR="00D90A18" w:rsidP="00750824" w:rsidRDefault="00000000" w14:paraId="35ACE1BF" w14:textId="64747BBE">
      <w:pPr>
        <w:jc w:val="both"/>
      </w:pPr>
      <w:r>
        <w:t xml:space="preserve">De lidstaten dienen bij de omzetting van artikel 5 geen aanvullende criteria of lijsten met indicatoren in te voeren waaraan moet worden voldaan voordat de rechtsvermoeden </w:t>
      </w:r>
      <w:r w:rsidR="00CF3B80">
        <w:t xml:space="preserve">van een dienstverband</w:t>
      </w:r>
      <w:r>
        <w:t xml:space="preserve"> </w:t>
      </w:r>
      <w:r>
        <w:t xml:space="preserve">in werking treedt. De deskundigengroep van de Europese Commissie heeft dit ondubbelzinnig verduidelijkt: de richtlijn vereist geen criteria, maar alleen de vaststelling van feiten die wijzen op instructies en toezicht, volgens een norm die vergelijkbaar is met het </w:t>
      </w:r>
      <w:r>
        <w:rPr>
          <w:i/>
          <w:iCs/>
        </w:rPr>
        <w:t xml:space="preserve">prima facie-beginsel </w:t>
      </w:r>
      <w:r>
        <w:t xml:space="preserve">in </w:t>
      </w:r>
      <w:r>
        <w:t xml:space="preserve">de antidiscriminatiewetgeving van de EU. Het volstaat dat de feiten </w:t>
      </w:r>
      <w:r w:rsidR="006B029C">
        <w:t xml:space="preserve">erop wijzen dat ondergeschiktheid mogelijk is; </w:t>
      </w:r>
      <w:r>
        <w:t xml:space="preserve">er </w:t>
      </w:r>
      <w:r w:rsidR="006B029C">
        <w:t xml:space="preserve">is</w:t>
      </w:r>
      <w:r>
        <w:t xml:space="preserve"> geen </w:t>
      </w:r>
      <w:r w:rsidR="006B029C">
        <w:t xml:space="preserve">onomstotelijk </w:t>
      </w:r>
      <w:r w:rsidR="006B029C">
        <w:t xml:space="preserve">bewijs </w:t>
      </w:r>
      <w:r w:rsidR="006B029C">
        <w:t xml:space="preserve">vereist</w:t>
      </w:r>
      <w:r>
        <w:t xml:space="preserve">. De Belgische ervaring </w:t>
      </w:r>
      <w:r w:rsidR="006B029C">
        <w:t xml:space="preserve">leert </w:t>
      </w:r>
      <w:r>
        <w:t xml:space="preserve">dat lange lijsten met criteria in het voordeel zijn van de platforms, niet van de werknemers: de platforms passen de contracten en de werkorganisatie eenvoudigweg zo aan dat formeel aan geen van de criteria wordt voldaan</w:t>
      </w:r>
      <w:r w:rsidR="006B029C">
        <w:t xml:space="preserve">, of dat er te weinig aan wordt voldaan</w:t>
      </w:r>
      <w:r>
        <w:t xml:space="preserve">.</w:t>
      </w:r>
    </w:p>
    <w:p w:rsidR="005418CA" w:rsidP="00750824" w:rsidRDefault="005418CA" w14:paraId="528984B3" w14:textId="77777777">
      <w:pPr>
        <w:jc w:val="both"/>
      </w:pPr>
    </w:p>
    <w:p w:rsidR="00D90A18" w:rsidP="00750824" w:rsidRDefault="00000000" w14:paraId="445D2D62" w14:textId="2A3B60B3">
      <w:pPr>
        <w:pStyle w:val="Naslov3"/>
        <w:jc w:val="both"/>
      </w:pPr>
      <w:r>
        <w:t xml:space="preserve">Aanbeveling 3.2 [RICHTLIJN]: Administratieve procedures als primaire weg naar vaststelling van de status</w:t>
      </w:r>
    </w:p>
    <w:p w:rsidR="00983F19" w:rsidP="00750824" w:rsidRDefault="00000000" w14:paraId="45A2F001" w14:textId="3908CFB5">
      <w:pPr>
        <w:jc w:val="both"/>
      </w:pPr>
      <w:r>
        <w:lastRenderedPageBreak/>
      </w:r>
      <w:r>
        <w:t xml:space="preserve">De lidstaten dienen bij de uitvoering </w:t>
      </w:r>
      <w:r>
        <w:rPr>
          <w:b/>
          <w:bCs/>
        </w:rPr>
        <w:t xml:space="preserve">van</w:t>
      </w:r>
      <w:r>
        <w:t xml:space="preserve"> artikel 5 </w:t>
      </w:r>
      <w:r>
        <w:rPr>
          <w:b/>
          <w:bCs/>
        </w:rPr>
        <w:t xml:space="preserve">administratieve procedures bij de arbeidsinspecties </w:t>
      </w:r>
      <w:r>
        <w:t xml:space="preserve">in te voeren of te versterken </w:t>
      </w:r>
      <w:r>
        <w:t xml:space="preserve">als primaire weg voor het vaststellen van de arbeidsrechtelijke status </w:t>
      </w:r>
      <w:r>
        <w:t xml:space="preserve">van platformwerkers, parallel aan gerechtelijke procedures. Administratieve procedures zijn sneller, goedkoper en toegankelijker voor werknemers in </w:t>
      </w:r>
      <w:r>
        <w:t xml:space="preserve">een </w:t>
      </w:r>
      <w:r>
        <w:t xml:space="preserve">kwetsbare </w:t>
      </w:r>
      <w:r>
        <w:t xml:space="preserve">positie. De praktijk leert dat het vaak </w:t>
      </w:r>
      <w:r w:rsidR="006B029C">
        <w:t xml:space="preserve">onmogelijk</w:t>
      </w:r>
      <w:r>
        <w:t xml:space="preserve"> is </w:t>
      </w:r>
      <w:r>
        <w:t xml:space="preserve">om</w:t>
      </w:r>
      <w:r>
        <w:t xml:space="preserve"> van een werknemer toestemming voor een gerechtelijke procedure </w:t>
      </w:r>
      <w:r>
        <w:t xml:space="preserve">te verwachten </w:t>
      </w:r>
      <w:r w:rsidR="00D7386B">
        <w:t xml:space="preserve">– </w:t>
      </w:r>
      <w:r>
        <w:t xml:space="preserve">werknemers zijn bang dat ze de toegang tot het platform </w:t>
      </w:r>
      <w:r w:rsidR="006B029C">
        <w:t xml:space="preserve">of hun inkomen </w:t>
      </w:r>
      <w:r>
        <w:t xml:space="preserve">zullen verliezen</w:t>
      </w:r>
      <w:r w:rsidR="006B029C">
        <w:t xml:space="preserve">; daarom is het van cruciaal belang dat de procedures zonder hun toestemming kunnen worden gestart</w:t>
      </w:r>
      <w:r>
        <w:t xml:space="preserve">. Volgens artikel 5, lid 5, van de richtlijn is de arbeidsinspectie verplicht een procedure in te leiden zonder toestemming van de werknemer wanneer zij aanwijzingen constateert dat </w:t>
      </w:r>
      <w:r w:rsidR="006B029C">
        <w:t xml:space="preserve">de arbeidsrechtelijke status van werknemers onjuist is</w:t>
      </w:r>
      <w:r>
        <w:t xml:space="preserve">. Deze verplichting moet uitdrukkelijk worden opgenomen in </w:t>
      </w:r>
      <w:r w:rsidR="006B029C">
        <w:t xml:space="preserve">de</w:t>
      </w:r>
      <w:r>
        <w:t xml:space="preserve"> nationale </w:t>
      </w:r>
      <w:r w:rsidR="006B029C">
        <w:t xml:space="preserve">omzettingswetgeving</w:t>
      </w:r>
      <w:r>
        <w:t xml:space="preserve">.</w:t>
      </w:r>
    </w:p>
    <w:p w:rsidR="00D90A18" w:rsidP="00750824" w:rsidRDefault="00D90A18" w14:paraId="16DE2351" w14:textId="77777777">
      <w:pPr>
        <w:jc w:val="both"/>
      </w:pPr>
    </w:p>
    <w:p w:rsidR="00D90A18" w:rsidP="00750824" w:rsidRDefault="00000000" w14:paraId="62FDA2CE" w14:textId="2022511F">
      <w:pPr>
        <w:pStyle w:val="Naslov3"/>
        <w:jc w:val="both"/>
      </w:pPr>
      <w:r>
        <w:t xml:space="preserve">Aanbeveling 3.3 [GAAT VERDER DAN HET MINIMUM]: Versterking van de arbeidsinspectie met personeel en algoritmische expertise</w:t>
      </w:r>
    </w:p>
    <w:p w:rsidR="00D90A18" w:rsidP="00750824" w:rsidRDefault="00000000" w14:paraId="375BA482" w14:textId="09351655">
      <w:pPr>
        <w:jc w:val="both"/>
      </w:pPr>
      <w:r>
        <w:t xml:space="preserve">Artikel 6 van de richtlijn schrijft doeltreffende </w:t>
      </w:r>
      <w:r>
        <w:t xml:space="preserve">inspecties</w:t>
      </w:r>
      <w:r>
        <w:t xml:space="preserve"> voor</w:t>
      </w:r>
      <w:r>
        <w:t xml:space="preserve">, evenals voldoende deskundigheid van de bevoegde autoriteiten op het gebied van algoritmisch beheer. Alle partnerlanden melden dat de inspectiediensten noch over voldoende personeel, noch over de technische kennis beschikken om </w:t>
      </w:r>
      <w:r>
        <w:t xml:space="preserve">algoritmisch gestuurde toezichtpraktijken </w:t>
      </w:r>
      <w:r w:rsidR="00352350">
        <w:t xml:space="preserve">te begrijpen en </w:t>
      </w:r>
      <w:r>
        <w:t xml:space="preserve">te beoordelen. Wij bevelen aan dat de regeringen bij de omzetting van de richtlijn concrete begrotingsmiddelen uittrekken voor: het aanwerven van nieuwe inspecteurs die gespecialiseerd zijn in digitale bedrijfsmodellen, het opzetten of uitbreiden </w:t>
      </w:r>
      <w:r w:rsidR="00352350">
        <w:t xml:space="preserve">van</w:t>
      </w:r>
      <w:r>
        <w:t xml:space="preserve"> zogenaamde </w:t>
      </w:r>
      <w:r w:rsidR="00352350">
        <w:t xml:space="preserve">„platformeconomie-</w:t>
      </w:r>
      <w:r w:rsidR="00352350">
        <w:t xml:space="preserve">eenheden“ </w:t>
      </w:r>
      <w:r>
        <w:t xml:space="preserve">binnen de bestaande inspectiediensten, en het waarborgen van toegang tot technische deskundigen op het gebied van algoritmisch beheer voor specifieke gevallen. Het Spaanse voorbeeld laat zien dat intensieve inspectieactiviteiten in combinatie met de dreiging van strafrechtelijke aansprakelijkheid </w:t>
      </w:r>
      <w:r w:rsidR="00D7386B">
        <w:t xml:space="preserve">– </w:t>
      </w:r>
      <w:r>
        <w:t xml:space="preserve">niet alleen financiële sancties </w:t>
      </w:r>
      <w:r w:rsidR="00D7386B">
        <w:t xml:space="preserve">– </w:t>
      </w:r>
      <w:r>
        <w:t xml:space="preserve">een beslissende ommekeer teweegbrengen in het gedrag van platforms.</w:t>
      </w:r>
    </w:p>
    <w:p w:rsidR="006B029C" w:rsidP="00750824" w:rsidRDefault="006B029C" w14:paraId="0AEE926B" w14:textId="77777777">
      <w:pPr>
        <w:jc w:val="both"/>
      </w:pPr>
    </w:p>
    <w:p w:rsidR="00D90A18" w:rsidP="00750824" w:rsidRDefault="00000000" w14:paraId="51C2E9BD" w14:textId="06788943">
      <w:pPr>
        <w:pStyle w:val="Naslov3"/>
        <w:jc w:val="both"/>
      </w:pPr>
      <w:r>
        <w:t xml:space="preserve">Aanbeveling 3.4 [GAAT VERDER DAN HET MINIMUM]: </w:t>
      </w:r>
      <w:r w:rsidR="00A25A76">
        <w:t xml:space="preserve">Solidaire </w:t>
      </w:r>
      <w:r>
        <w:t xml:space="preserve">aansprakelijkheid van </w:t>
      </w:r>
      <w:r>
        <w:t xml:space="preserve">de gehele keten van tussenpersonen</w:t>
      </w:r>
    </w:p>
    <w:p w:rsidR="00D90A18" w:rsidP="00750824" w:rsidRDefault="00000000" w14:paraId="3D8DE1AF" w14:textId="6F0F5E56">
      <w:pPr>
        <w:jc w:val="both"/>
      </w:pPr>
      <w:r>
        <w:t xml:space="preserve">Zie in zijn geheel Aanbeveling 2.3. In de context van het juridisch vermoeden </w:t>
      </w:r>
      <w:r w:rsidR="00CF3B80">
        <w:t xml:space="preserve">van een dienstverband </w:t>
      </w:r>
      <w:r>
        <w:t xml:space="preserve">benadrukken wij: </w:t>
      </w:r>
      <w:r>
        <w:t xml:space="preserve">onderaanneming </w:t>
      </w:r>
      <w:r>
        <w:t xml:space="preserve">is het meest voorkomende mechanisme geworden om het juridisch vermoeden te omzeilen. Zonder verplichte </w:t>
      </w:r>
      <w:r w:rsidR="00A25A76">
        <w:t xml:space="preserve">hoofdelijke </w:t>
      </w:r>
      <w:r>
        <w:t xml:space="preserve">aansprakelijkheid zal elke rechtsvermoeden </w:t>
      </w:r>
      <w:r w:rsidR="00CF3B80">
        <w:t xml:space="preserve">van een dienstverband </w:t>
      </w:r>
      <w:r>
        <w:t xml:space="preserve">worden omzeild door simpelweg </w:t>
      </w:r>
      <w:r>
        <w:t xml:space="preserve">een onderaannemer tussen het platform en de werknemer </w:t>
      </w:r>
      <w:r w:rsidR="00352350">
        <w:t xml:space="preserve">te plaatsen</w:t>
      </w:r>
      <w:r>
        <w:t xml:space="preserve">.</w:t>
      </w:r>
    </w:p>
    <w:p w:rsidR="005418CA" w:rsidP="00750824" w:rsidRDefault="005418CA" w14:paraId="69123DCA" w14:textId="77777777">
      <w:pPr>
        <w:jc w:val="both"/>
      </w:pPr>
    </w:p>
    <w:p w:rsidR="00D90A18" w:rsidP="00750824" w:rsidRDefault="00000000" w14:paraId="0717D13E" w14:textId="65383591">
      <w:pPr>
        <w:pStyle w:val="Naslov3"/>
        <w:jc w:val="both"/>
      </w:pPr>
      <w:r>
        <w:t xml:space="preserve">Aanbeveling 3.5 [RICHTLIJN]: Collectieve handhaving van de rechtsvermoeden door vakbonden</w:t>
      </w:r>
    </w:p>
    <w:p w:rsidR="00983F19" w:rsidP="00750824" w:rsidRDefault="00000000" w14:paraId="37C2E2C2" w14:textId="18A8E766">
      <w:pPr>
        <w:jc w:val="both"/>
      </w:pPr>
      <w:r>
        <w:t xml:space="preserve">Artikel 19 van de richtlijn waarborgt werknemersvertegenwoordigers het recht om namens één of meer werknemers op te treden in procedures. De lidstaten moeten dit mechanisme versterken door duidelijke procedurele regels vast te stellen die vakbonden in staat stellen collectieve of groepsprocedures in te leiden om </w:t>
      </w:r>
      <w:r>
        <w:t xml:space="preserve">de</w:t>
      </w:r>
      <w:r w:rsidR="00352350">
        <w:t xml:space="preserve"> arbeidsrechtelijke </w:t>
      </w:r>
      <w:r>
        <w:t xml:space="preserve">status </w:t>
      </w:r>
      <w:r>
        <w:t xml:space="preserve">vast te stellen, </w:t>
      </w:r>
      <w:r>
        <w:t xml:space="preserve">zonder dat daarvoor </w:t>
      </w:r>
      <w:r w:rsidR="00352350">
        <w:t xml:space="preserve">de individuele toestemming </w:t>
      </w:r>
      <w:r>
        <w:t xml:space="preserve">van </w:t>
      </w:r>
      <w:r>
        <w:t xml:space="preserve">elke werknemer afzonderlijk </w:t>
      </w:r>
      <w:r>
        <w:t xml:space="preserve">nodig is</w:t>
      </w:r>
      <w:r>
        <w:t xml:space="preserve">. Tijdens de conferentie in Ljubljana </w:t>
      </w:r>
      <w:r w:rsidR="00352350">
        <w:t xml:space="preserve">in het kader van het SDDP-project </w:t>
      </w:r>
      <w:r>
        <w:t xml:space="preserve">was dit een gezamenlijke eis van alle partnervakbondsorganisaties, die </w:t>
      </w:r>
      <w:r w:rsidR="00352350">
        <w:t xml:space="preserve">ook </w:t>
      </w:r>
      <w:r>
        <w:t xml:space="preserve">door </w:t>
      </w:r>
      <w:r>
        <w:t xml:space="preserve">het EVV</w:t>
      </w:r>
      <w:r w:rsidR="00352350">
        <w:t xml:space="preserve"> wordt ondersteund</w:t>
      </w:r>
      <w:r>
        <w:t xml:space="preserve">. In landen waar collectieve rechtszaken niet mogelijk zijn (bijv. Duitsland, Slovenië), is de wettelijke invoering van deze mogelijkheid een voorwaarde voor een doeltreffende tenuitvoerlegging van de richtlijn.</w:t>
      </w:r>
    </w:p>
    <w:p w:rsidR="00D90A18" w:rsidP="00750824" w:rsidRDefault="00D90A18" w14:paraId="4A81FEE6" w14:textId="77777777">
      <w:pPr>
        <w:jc w:val="both"/>
      </w:pPr>
    </w:p>
    <w:p w:rsidR="00D90A18" w:rsidP="00750824" w:rsidRDefault="00000000" w14:paraId="781C8FE6" w14:textId="47EC77EB">
      <w:pPr>
        <w:pStyle w:val="Naslov3"/>
        <w:jc w:val="both"/>
      </w:pPr>
      <w:r>
        <w:lastRenderedPageBreak/>
      </w:r>
      <w:r>
        <w:t xml:space="preserve">Aanbeveling 3.6 [GAAT VERDER DAN HET MINIMUM]: Sociale dialoog als parallel traject </w:t>
      </w:r>
      <w:r w:rsidR="00D7386B">
        <w:t xml:space="preserve">– </w:t>
      </w:r>
      <w:r>
        <w:t xml:space="preserve">vaststelling van de status zonder te wachten op de rechtbank</w:t>
      </w:r>
    </w:p>
    <w:p w:rsidR="00983F19" w:rsidP="00750824" w:rsidRDefault="00000000" w14:paraId="7AC95C4B" w14:textId="2E3E2CBC">
      <w:pPr>
        <w:jc w:val="both"/>
      </w:pPr>
      <w:r>
        <w:t xml:space="preserve">De richtlijn biedt in artikel 29, leden 3 en 4, de mogelijkheid dat de sociale partners de bepalingen van de richtlijn via collectieve arbeidsovereenkomsten ten uitvoer leggen, waarbij de algemene doelstellingen van de richtlijn gewaarborgd moeten zijn. Dit biedt de mogelijkheid </w:t>
      </w:r>
      <w:r w:rsidR="001B1A93">
        <w:t xml:space="preserve">om </w:t>
      </w:r>
      <w:r>
        <w:t xml:space="preserve">bestaande collectieve arbeidsovereenkomsten in verwante sectoren (bijvoorbeeld de postsector, de transportsector) uit te breiden naar platformwerkers die vergelijkbaar werk verrichten. </w:t>
      </w:r>
      <w:r>
        <w:t xml:space="preserve">Een</w:t>
      </w:r>
      <w:r>
        <w:t xml:space="preserve"> dergelijk model </w:t>
      </w:r>
      <w:r>
        <w:t xml:space="preserve">van ‘collectieve arbeidsovereenkomsten als </w:t>
      </w:r>
      <w:r w:rsidR="001B1A93">
        <w:t xml:space="preserve">brug’ </w:t>
      </w:r>
      <w:r>
        <w:t xml:space="preserve">vormt een fundamenteel element van dit document: de sociale dialoog wacht niet op </w:t>
      </w:r>
      <w:r>
        <w:t xml:space="preserve">een </w:t>
      </w:r>
      <w:r w:rsidR="00827187">
        <w:t xml:space="preserve">mogelijk </w:t>
      </w:r>
      <w:r>
        <w:t xml:space="preserve">langdurige rechterlijke uitspraak die de status juridisch zal vastleggen, maar garandeert de werknemers onmiddellijk concrete rechten. De regering moet dergelijke overeenkomsten actief stimuleren via bemiddelingsmechanismen en financiële prikkels voor platforms die vrijwillig deelnemen aan collectieve onderhandelingen.</w:t>
      </w:r>
    </w:p>
    <w:p w:rsidR="00D90A18" w:rsidP="00750824" w:rsidRDefault="00D90A18" w14:paraId="19E69F43" w14:textId="77777777">
      <w:pPr>
        <w:jc w:val="both"/>
      </w:pPr>
    </w:p>
    <w:p w:rsidR="00D90A18" w:rsidP="00750824" w:rsidRDefault="00000000" w14:paraId="3F78841D" w14:textId="2BFBC407">
      <w:pPr>
        <w:pStyle w:val="Naslov3"/>
        <w:jc w:val="both"/>
      </w:pPr>
      <w:r>
        <w:t xml:space="preserve">Aanbeveling 3.7 [AMBITIEUS]: Algemene vermoedens </w:t>
      </w:r>
      <w:r w:rsidR="00CF3B80">
        <w:t xml:space="preserve">van een arbeidsverhouding </w:t>
      </w:r>
      <w:r>
        <w:t xml:space="preserve">voor alle werkzaamheden</w:t>
      </w:r>
    </w:p>
    <w:p w:rsidR="00983F19" w:rsidP="00750824" w:rsidRDefault="00000000" w14:paraId="0D711DE9" w14:textId="13F86F4A">
      <w:pPr>
        <w:jc w:val="both"/>
      </w:pPr>
      <w:r>
        <w:t xml:space="preserve">De lidstaten moeten </w:t>
      </w:r>
      <w:r w:rsidR="00F2754C">
        <w:t xml:space="preserve">de richtlijn aangrijpen als een kans </w:t>
      </w:r>
      <w:r>
        <w:t xml:space="preserve">voor een structurele verandering </w:t>
      </w:r>
      <w:r w:rsidR="00F2754C">
        <w:t xml:space="preserve">om de verspreiding </w:t>
      </w:r>
      <w:r w:rsidR="00F2754C">
        <w:t xml:space="preserve">van onzekere </w:t>
      </w:r>
      <w:r w:rsidR="00F2754C">
        <w:t xml:space="preserve">arbeidsverhoudingen op de arbeidsmarkt </w:t>
      </w:r>
      <w:r w:rsidR="00F2754C">
        <w:t xml:space="preserve">in te dammen</w:t>
      </w:r>
      <w:r>
        <w:t xml:space="preserve">: het instellen van een algemeen juridisch vermoeden dat elk werk wordt verricht op basis van een arbeidsverhouding </w:t>
      </w:r>
      <w:r w:rsidR="00CF3B80">
        <w:t xml:space="preserve">of dienstverband</w:t>
      </w:r>
      <w:r>
        <w:t xml:space="preserve">, tenzij de werkgever </w:t>
      </w:r>
      <w:r w:rsidRPr="005418CA">
        <w:rPr>
          <w:b/>
          <w:bCs/>
        </w:rPr>
        <w:t xml:space="preserve">vooraf </w:t>
      </w:r>
      <w:r>
        <w:t xml:space="preserve">aantoont dat er in het specifieke geval geen elementen van een arbeidsverhouding </w:t>
      </w:r>
      <w:r w:rsidR="00615F18">
        <w:t xml:space="preserve">of dienstverband </w:t>
      </w:r>
      <w:r>
        <w:t xml:space="preserve">aanwezig zijn</w:t>
      </w:r>
      <w:r>
        <w:t xml:space="preserve">. De ZSSS stelt in haar richtsnoeren voor de implementatie van de richtlijn (april 2025) deze aanpak voor Slovenië voor</w:t>
      </w:r>
      <w:r w:rsidR="00F2754C">
        <w:t xml:space="preserve">; </w:t>
      </w:r>
      <w:r>
        <w:t xml:space="preserve">als voorbeeld van goede praktijken bevelen wij deze ook aan andere EU-lidstaten aan, aangezien dit een omgekeerde bewijslast met zich meebrengt voor alle atypische arbeidsvormen, niet alleen voor </w:t>
      </w:r>
      <w:r>
        <w:t xml:space="preserve">platformwerk.</w:t>
      </w:r>
    </w:p>
    <w:p w:rsidR="005418CA" w:rsidP="00750824" w:rsidRDefault="005418CA" w14:paraId="577A9F2D" w14:textId="77777777">
      <w:pPr>
        <w:jc w:val="both"/>
      </w:pPr>
    </w:p>
    <w:p w:rsidR="00983F19" w:rsidP="00750824" w:rsidRDefault="00000000" w14:paraId="47953129" w14:textId="5AEB9B22">
      <w:pPr>
        <w:jc w:val="both"/>
      </w:pPr>
      <w:r>
        <w:t xml:space="preserve">Tegelijkertijd </w:t>
      </w:r>
      <w:r w:rsidR="00F2754C">
        <w:t xml:space="preserve">moet er </w:t>
      </w:r>
      <w:r>
        <w:t xml:space="preserve">een register van atypische arbeidsvormen </w:t>
      </w:r>
      <w:r w:rsidR="00F2754C">
        <w:t xml:space="preserve">worden </w:t>
      </w:r>
      <w:r>
        <w:t xml:space="preserve">opgezet</w:t>
      </w:r>
      <w:r w:rsidR="00F2754C">
        <w:t xml:space="preserve">,</w:t>
      </w:r>
      <w:r>
        <w:t xml:space="preserve"> waarin de redenen worden vermeld </w:t>
      </w:r>
      <w:r w:rsidR="00F2754C">
        <w:t xml:space="preserve">die elementen </w:t>
      </w:r>
      <w:r>
        <w:t xml:space="preserve">van een arbeidsverhouding </w:t>
      </w:r>
      <w:r w:rsidR="00615F18">
        <w:t xml:space="preserve">of dienstverband</w:t>
      </w:r>
      <w:r>
        <w:t xml:space="preserve">, waardoor toezichthoudende instanties systematisch toezicht zouden kunnen uitoefenen en de bevoegdheid zouden krijgen om het bestaan van arbeidsverhoudingen vast te stellen door middel van een besluit dat de directe grondslag zou vormen voor inschrijving bij de sociale verzekeringen </w:t>
      </w:r>
      <w:r w:rsidR="00F2754C">
        <w:t xml:space="preserve">of voor het aangaan van een arbeidsverhouding</w:t>
      </w:r>
      <w:r>
        <w:t xml:space="preserve">. Een dergelijke aanpak zou de fundamentele tekortkoming van de huidige regeling wegnemen </w:t>
      </w:r>
      <w:r w:rsidR="00D7386B">
        <w:t xml:space="preserve">– </w:t>
      </w:r>
      <w:r>
        <w:t xml:space="preserve">de werknemer draagt vandaag de dag de volledige bewijslast en loopt het risico op een langdurige gerechtelijke procedure, </w:t>
      </w:r>
      <w:r>
        <w:rPr>
          <w:b/>
          <w:bCs/>
        </w:rPr>
        <w:t xml:space="preserve">terwijl de werkgever, die een dergelijke relatie tot stand heeft gebracht, rustig afwacht</w:t>
      </w:r>
      <w:r>
        <w:t xml:space="preserve">. De richtlijn staat een dergelijke ambitieuzere aanpak niet alleen toe, maar moedigt deze uitdrukkelijk aan in de geest van artikel 26 en artikel 6 (kader van ondersteunende maatregelen).</w:t>
      </w:r>
    </w:p>
    <w:p w:rsidR="00D90A18" w:rsidP="00750824" w:rsidRDefault="00D90A18" w14:paraId="418BD09B" w14:textId="77777777">
      <w:pPr>
        <w:jc w:val="both"/>
      </w:pPr>
    </w:p>
    <w:p w:rsidR="00983F19" w:rsidP="00750824" w:rsidRDefault="00000000" w14:paraId="2BCE9490" w14:textId="77777777">
      <w:pPr>
        <w:jc w:val="both"/>
      </w:pPr>
      <w:r>
        <w:rPr>
          <w:i/>
          <w:iCs/>
        </w:rPr>
        <w:t xml:space="preserve">Bronnen: Verslag van de deskundigengroep voor de omzetting van Richtlijn (EU) 2024/2831 (januari 2026); Notulen van de tussentijdse conferentie van de SDDP, Ljubljana, mei 2025; Richtlijnen van de ZSSS voor de implementatie van Richtlijn EU 2024/2831 (april 2025, aangenomen tijdens de 13e vergadering van het presidium van de ZSSS).</w:t>
      </w:r>
    </w:p>
    <w:p w:rsidR="00750824" w:rsidRDefault="00750824" w14:paraId="756DEE11" w14:textId="77777777">
      <w:pPr>
        <w:rPr>
          <w:b/>
          <w:bCs/>
          <w:color w:val="1F3864"/>
          <w:sz w:val="36"/>
          <w:szCs w:val="36"/>
        </w:rPr>
      </w:pPr>
      <w:bookmarkStart w:name="X8e939e3967694a792ac80ce4c2e3272ea45726e" w:id="27"/>
      <w:bookmarkEnd w:id="10"/>
      <w:bookmarkEnd w:id="26"/>
      <w:r>
        <w:br w:type="page"/>
      </w:r>
    </w:p>
    <w:p w:rsidR="00983F19" w:rsidP="00750824" w:rsidRDefault="00000000" w14:paraId="2F263261" w14:textId="42F96A40">
      <w:pPr>
        <w:pStyle w:val="Naslov1"/>
        <w:jc w:val="both"/>
      </w:pPr>
      <w:bookmarkStart w:name="_Toc233699488" w:id="28"/>
      <w:r>
        <w:lastRenderedPageBreak/>
      </w:r>
      <w:r>
        <w:t xml:space="preserve">Hoofdstuk 4: Algoritmisch beheer en menselijk toezicht</w:t>
      </w:r>
      <w:bookmarkEnd w:id="28"/>
    </w:p>
    <w:p w:rsidR="00983F19" w:rsidP="00750824" w:rsidRDefault="00000000" w14:paraId="67677373" w14:textId="77777777">
      <w:pPr>
        <w:pStyle w:val="Naslov2"/>
        <w:jc w:val="both"/>
      </w:pPr>
      <w:bookmarkStart w:name="_Toc233699489" w:id="29"/>
      <w:bookmarkStart w:name="zahteve-direktive-1" w:id="30"/>
      <w:r>
        <w:t xml:space="preserve">4.1 Eisen van de richtlijn</w:t>
      </w:r>
      <w:bookmarkEnd w:id="29"/>
    </w:p>
    <w:p w:rsidR="00983F19" w:rsidP="00750824" w:rsidRDefault="00000000" w14:paraId="06C4F62C" w14:textId="3B67F9E5">
      <w:pPr>
        <w:jc w:val="both"/>
      </w:pPr>
      <w:r>
        <w:t xml:space="preserve">De richtlijn </w:t>
      </w:r>
      <w:r>
        <w:t xml:space="preserve">wijdt het gehele hoofdstuk III (artikelen 7–15) aan</w:t>
      </w:r>
      <w:r w:rsidR="00557445">
        <w:t xml:space="preserve"> algoritmisch beheer</w:t>
      </w:r>
      <w:r>
        <w:t xml:space="preserve">, wat </w:t>
      </w:r>
      <w:r w:rsidR="0069475D">
        <w:t xml:space="preserve">het besef</w:t>
      </w:r>
      <w:r>
        <w:t xml:space="preserve"> weerspiegelt </w:t>
      </w:r>
      <w:r>
        <w:t xml:space="preserve">dat geautomatiseerde aansturing van werknemers een centraal kenmerk is </w:t>
      </w:r>
      <w:r>
        <w:t xml:space="preserve">van platformwerk en tegelijkertijd een van de grootste uitdagingen ervan vormt. De richtlijn stelt drie pijlers vast voor de regulering van algoritmisch beheer: beperkingen op de verwerking van persoonsgegevens, transparantievereisten en het recht op menselijk toezicht en inzage in beslissingen.</w:t>
      </w:r>
    </w:p>
    <w:p w:rsidR="00D90A18" w:rsidP="00750824" w:rsidRDefault="00D90A18" w14:paraId="4D249EF8" w14:textId="77777777">
      <w:pPr>
        <w:jc w:val="both"/>
      </w:pPr>
    </w:p>
    <w:p w:rsidR="00983F19" w:rsidP="00750824" w:rsidRDefault="00000000" w14:paraId="10F377A6" w14:textId="77777777">
      <w:pPr>
        <w:jc w:val="both"/>
      </w:pPr>
      <w:r>
        <w:rPr>
          <w:b/>
          <w:bCs/>
        </w:rPr>
        <w:t xml:space="preserve">De beperkingen op de gegevensverwerking (artikel 7) </w:t>
      </w:r>
      <w:r>
        <w:t xml:space="preserve">vormen absolute verboden die platforms in geen geval mogen overtreden. Het is platforms uitdrukkelijk verboden:</w:t>
      </w:r>
    </w:p>
    <w:p w:rsidR="00D90A18" w:rsidP="00750824" w:rsidRDefault="00D90A18" w14:paraId="6741CFD4" w14:textId="77777777">
      <w:pPr>
        <w:jc w:val="both"/>
      </w:pPr>
    </w:p>
    <w:p w:rsidR="00983F19" w:rsidP="00750824" w:rsidRDefault="00000000" w14:paraId="62CEDE84" w14:textId="77777777">
      <w:pPr>
        <w:numPr>
          <w:ilvl w:val="0"/>
          <w:numId w:val="3"/>
        </w:numPr>
        <w:jc w:val="both"/>
      </w:pPr>
      <w:r>
        <w:t xml:space="preserve">het geautomatiseerd verwerken van gegevens over de emotionele of psychologische toestand van werknemers,</w:t>
      </w:r>
    </w:p>
    <w:p w:rsidR="00983F19" w:rsidP="00750824" w:rsidRDefault="00000000" w14:paraId="353B5A60" w14:textId="77777777">
      <w:pPr>
        <w:numPr>
          <w:ilvl w:val="0"/>
          <w:numId w:val="3"/>
        </w:numPr>
        <w:jc w:val="both"/>
      </w:pPr>
      <w:r>
        <w:t xml:space="preserve">toegang te verkrijgen tot privégesprekken tussen werknemers onderling of tussen werknemers en hun vertegenwoordigers,</w:t>
      </w:r>
    </w:p>
    <w:p w:rsidR="00983F19" w:rsidP="00750824" w:rsidRDefault="00000000" w14:paraId="4106E858" w14:textId="77777777">
      <w:pPr>
        <w:numPr>
          <w:ilvl w:val="0"/>
          <w:numId w:val="3"/>
        </w:numPr>
        <w:jc w:val="both"/>
      </w:pPr>
      <w:r>
        <w:t xml:space="preserve">het verzamelen van persoonsgegevens buiten de werktijd (wanneer de werknemer geen werk aanbiedt of verricht),</w:t>
      </w:r>
    </w:p>
    <w:p w:rsidR="00983F19" w:rsidP="00750824" w:rsidRDefault="00000000" w14:paraId="410C5F25" w14:textId="77777777">
      <w:pPr>
        <w:numPr>
          <w:ilvl w:val="0"/>
          <w:numId w:val="3"/>
        </w:numPr>
        <w:jc w:val="both"/>
      </w:pPr>
      <w:r>
        <w:t xml:space="preserve">gegevens te verwerken om het uitoefenen van grondrechten (waaronder vakbondsvorming en staking) te voorspellen, en op basis van andere persoonsgegevens conclusies te trekken over ras of etnische afkomst, gezondheidstoestand, vakbondslidmaatschap of andere bijzondere categorieën gegevens.</w:t>
      </w:r>
    </w:p>
    <w:p w:rsidR="00D90A18" w:rsidP="00750824" w:rsidRDefault="00D90A18" w14:paraId="12AAECDB" w14:textId="77777777">
      <w:pPr>
        <w:ind w:start="720"/>
        <w:jc w:val="both"/>
      </w:pPr>
    </w:p>
    <w:p w:rsidR="00983F19" w:rsidP="00750824" w:rsidRDefault="00000000" w14:paraId="424D3BF0" w14:textId="234A481F">
      <w:pPr>
        <w:jc w:val="both"/>
      </w:pPr>
      <w:r>
        <w:t xml:space="preserve">Zoals de deskundigengroep </w:t>
      </w:r>
      <w:r w:rsidR="0069475D">
        <w:t xml:space="preserve">van de Europese Commissie </w:t>
      </w:r>
      <w:r>
        <w:t xml:space="preserve">voor de omzetting van de richtlijn </w:t>
      </w:r>
      <w:r>
        <w:t xml:space="preserve">heeft toegelicht</w:t>
      </w:r>
      <w:r>
        <w:t xml:space="preserve">, gelden deze verboden ruimer dan de Algemene Verordening Gegevensbescherming (AVG) en ruimer dan de wet inzake kunstmatige intelligentie (</w:t>
      </w:r>
      <w:r w:rsidR="005418CA">
        <w:t xml:space="preserve">‘AI-wet’</w:t>
      </w:r>
      <w:r w:rsidR="0069475D">
        <w:t xml:space="preserve">).</w:t>
      </w:r>
      <w:r>
        <w:t xml:space="preserve"> </w:t>
      </w:r>
      <w:r>
        <w:t xml:space="preserve">Ze hebben betrekking op alle geautomatiseerde systemen, niet alleen op systemen voor kunstmatige intelligentie, en laten geen uitzonderingen toe op basis van de toestemming van de werknemer, aangezien toestemming in de context van de machtsverhouding tussen het platform en de werknemer niet vrijwillig kan zijn.</w:t>
      </w:r>
    </w:p>
    <w:p w:rsidR="00D90A18" w:rsidP="00750824" w:rsidRDefault="00D90A18" w14:paraId="280150BD" w14:textId="77777777">
      <w:pPr>
        <w:jc w:val="both"/>
      </w:pPr>
    </w:p>
    <w:p w:rsidR="00983F19" w:rsidP="00750824" w:rsidRDefault="00BB574B" w14:paraId="55832160" w14:textId="14EF0076">
      <w:pPr>
        <w:jc w:val="both"/>
      </w:pPr>
      <w:r>
        <w:rPr>
          <w:b/>
          <w:bCs/>
        </w:rPr>
        <w:t xml:space="preserve">Artikel 9 (Transparantie) </w:t>
      </w:r>
      <w:r>
        <w:t xml:space="preserve">vereist dat platforms aan werknemers, hun vertegenwoordigers en de bevoegde autoriteiten gedetailleerde informatie verstrekken over de werking van geautomatiseerde toezicht- en besluitvormingssystemen. Dit omvat de categorieën gegevens die door de systemen worden verwerkt, de parameters die van invloed zijn op de beslissingen en het relatieve gewicht van de afzonderlijke parameters. Van bijzonder belang is de eis om de redenen bekend te maken voor beslissingen over het beperken, tijdelijk opschorten of beëindigen van het account van een werknemer, alsmede voor het weigeren van betaling voor verricht werk. De informatie moet in duidelijke en begrijpelijke taal worden verstrekt en moet uiterlijk op de eerste werkdag en vóór elke wijziging die van invloed is op de arbeidsvoorwaarden aan de werknemers worden verstrekt.</w:t>
      </w:r>
    </w:p>
    <w:p w:rsidR="00D90A18" w:rsidP="00750824" w:rsidRDefault="00D90A18" w14:paraId="22A43AFD" w14:textId="77777777">
      <w:pPr>
        <w:jc w:val="both"/>
      </w:pPr>
    </w:p>
    <w:p w:rsidR="00983F19" w:rsidP="00750824" w:rsidRDefault="00BB574B" w14:paraId="1177D0F5" w14:textId="1AD19168">
      <w:pPr>
        <w:jc w:val="both"/>
      </w:pPr>
      <w:r>
        <w:rPr>
          <w:b/>
          <w:bCs/>
        </w:rPr>
        <w:t xml:space="preserve">Artikel 10 (Toezicht door mensen) </w:t>
      </w:r>
      <w:r>
        <w:t xml:space="preserve">verplicht de lidstaten om te zorgen voor regelmatig toezicht op en evaluatie van de gevolgen van geautomatiseerde systemen voor de arbeidsvoorwaarden, met inbegrip van een beoordeling van het risico op discriminatie. Platforms moeten zorgen voor voldoende personele middelen voor toezicht, waarbij de personen die het toezicht uitoefenen over de juiste kwalificaties en bevoegdheden moeten beschikken om geautomatiseerde beslissingen ongedaan te maken. Elke beslissing over het beperken of opheffen van een account moet door een mens worden bevestigd.</w:t>
      </w:r>
    </w:p>
    <w:p w:rsidR="00D90A18" w:rsidP="00750824" w:rsidRDefault="00D90A18" w14:paraId="3C9800B3" w14:textId="77777777">
      <w:pPr>
        <w:jc w:val="both"/>
      </w:pPr>
    </w:p>
    <w:p w:rsidR="00983F19" w:rsidP="00750824" w:rsidRDefault="00BB574B" w14:paraId="2E5FA79F" w14:textId="1732E3A8">
      <w:pPr>
        <w:jc w:val="both"/>
      </w:pPr>
      <w:r>
        <w:rPr>
          <w:b/>
          <w:bCs/>
        </w:rPr>
        <w:lastRenderedPageBreak/>
      </w:r>
      <w:r>
        <w:rPr>
          <w:b/>
          <w:bCs/>
        </w:rPr>
        <w:t xml:space="preserve">Artikel 11 (Recht op menselijke toetsing) </w:t>
      </w:r>
      <w:r>
        <w:t xml:space="preserve">geeft werknemers het recht op een toelichting en toetsing van elk besluit van een geautomatiseerd systeem dat wezenlijke gevolgen heeft voor hun arbeidsvoorwaarden. Het platform moet zonder onnodig uitstel, uiterlijk op de dag waarop het besluit van kracht wordt, een toelichting verstrekken. Een werknemer of zijn vertegenwoordigers kunnen verzoeken om een herziening van de beslissing door een mens, en het platform moet hierop zonder onnodige vertraging reageren met een gemotiveerde beslissing.</w:t>
      </w:r>
    </w:p>
    <w:p w:rsidR="00D90A18" w:rsidP="00750824" w:rsidRDefault="00D90A18" w14:paraId="26AE5B60" w14:textId="77777777">
      <w:pPr>
        <w:jc w:val="both"/>
      </w:pPr>
    </w:p>
    <w:p w:rsidR="00983F19" w:rsidP="00750824" w:rsidRDefault="00BB574B" w14:paraId="09F438D6" w14:textId="15EAB0FB">
      <w:pPr>
        <w:jc w:val="both"/>
      </w:pPr>
      <w:r>
        <w:rPr>
          <w:b/>
          <w:bCs/>
        </w:rPr>
        <w:t xml:space="preserve">Artikel 12 (Veiligheid en gezondheid) </w:t>
      </w:r>
      <w:r>
        <w:t xml:space="preserve">verbiedt uitdrukkelijk het gebruik van algoritmen die onevenredige druk op werknemers uitoefenen of hun lichamelijke of geestelijke gezondheid in gevaar brengen. Dit omvat een verbod op systemen die gevaarlijk gedrag aanmoedigen (bijvoorbeeld te hard rijden door bezorgers) of noodzakelijke pauzes verhinderen.</w:t>
      </w:r>
    </w:p>
    <w:p w:rsidR="00983F19" w:rsidP="00750824" w:rsidRDefault="00000000" w14:paraId="79351DBD" w14:textId="77777777">
      <w:pPr>
        <w:pStyle w:val="Naslov2"/>
        <w:jc w:val="both"/>
      </w:pPr>
      <w:bookmarkStart w:name="_Toc233699490" w:id="31"/>
      <w:bookmarkStart w:name="ugotovitve-iz-prakse-1" w:id="32"/>
      <w:bookmarkEnd w:id="30"/>
      <w:r>
        <w:t xml:space="preserve">4.2 Bevindingen uit de praktijk</w:t>
      </w:r>
      <w:bookmarkEnd w:id="31"/>
    </w:p>
    <w:p w:rsidR="00983F19" w:rsidP="00750824" w:rsidRDefault="00000000" w14:paraId="05C2DE1D" w14:textId="77777777">
      <w:pPr>
        <w:pStyle w:val="Naslov3"/>
        <w:jc w:val="both"/>
      </w:pPr>
      <w:bookmarkStart w:name="algoritem-kot-šef-v-stroju" w:id="33"/>
      <w:r>
        <w:t xml:space="preserve">Het algoritme als „baas in de machine“</w:t>
      </w:r>
    </w:p>
    <w:p w:rsidR="00983F19" w:rsidP="00750824" w:rsidRDefault="00000000" w14:paraId="1FCFBB28" w14:textId="72E72BD0">
      <w:pPr>
        <w:jc w:val="both"/>
      </w:pPr>
      <w:r>
        <w:t xml:space="preserve">De praktijk </w:t>
      </w:r>
      <w:r>
        <w:t xml:space="preserve">van platformwerk laat zien dat algoritmisch beheer niet alleen een technisch hulpmiddel is voor de organisatie van het werk, maar een alomvattend controlesysteem dat alle klassieke leidinggevende functies overneemt </w:t>
      </w:r>
      <w:r w:rsidR="00D7386B">
        <w:t xml:space="preserve">– </w:t>
      </w:r>
      <w:r>
        <w:t xml:space="preserve">het toewijzen van taken, het beoordelen van prestaties, het toezicht houden, </w:t>
      </w:r>
      <w:r w:rsidR="00944A43">
        <w:t xml:space="preserve">sancties opleggen </w:t>
      </w:r>
      <w:r>
        <w:t xml:space="preserve">en ontslaan </w:t>
      </w:r>
      <w:r w:rsidR="00D7386B">
        <w:t xml:space="preserve">– </w:t>
      </w:r>
      <w:r>
        <w:t xml:space="preserve">vaak zonder enige menselijke tussenkomst.</w:t>
      </w:r>
    </w:p>
    <w:p w:rsidR="00D90A18" w:rsidP="00750824" w:rsidRDefault="00D90A18" w14:paraId="7F4B9EFB" w14:textId="77777777">
      <w:pPr>
        <w:jc w:val="both"/>
      </w:pPr>
    </w:p>
    <w:p w:rsidR="00983F19" w:rsidP="00750824" w:rsidRDefault="00000000" w14:paraId="131EFEE5" w14:textId="0BC879B3">
      <w:pPr>
        <w:jc w:val="both"/>
      </w:pPr>
      <w:r w:rsidR="00944A43">
        <w:t xml:space="preserve">Het</w:t>
      </w:r>
      <w:r>
        <w:t xml:space="preserve"> Oostenrijkse </w:t>
      </w:r>
      <w:r w:rsidR="00944A43">
        <w:t xml:space="preserve">voorbeeld </w:t>
      </w:r>
      <w:r>
        <w:t xml:space="preserve">beschrijft het mechanisme van dit toezicht op drie niveaus: op het eerste, </w:t>
      </w:r>
      <w:r>
        <w:rPr>
          <w:b/>
          <w:bCs/>
        </w:rPr>
        <w:t xml:space="preserve">het gegevensniveau</w:t>
      </w:r>
      <w:r>
        <w:t xml:space="preserve">, registreert het platform via de smartphone continu gegevens die een menselijke leidinggevende nooit zou kunnen volgen: GPS-locatie, versnelling, inactiviteitstijd, reactiesnelheid op opdrachten </w:t>
      </w:r>
      <w:r w:rsidR="00944A43">
        <w:t xml:space="preserve">…</w:t>
      </w:r>
    </w:p>
    <w:p w:rsidR="00D90A18" w:rsidP="00750824" w:rsidRDefault="00D90A18" w14:paraId="27254679" w14:textId="77777777">
      <w:pPr>
        <w:jc w:val="both"/>
      </w:pPr>
    </w:p>
    <w:p w:rsidR="00983F19" w:rsidP="00750824" w:rsidRDefault="00000000" w14:paraId="5C0D5B09" w14:textId="2ECE3FAC">
      <w:pPr>
        <w:jc w:val="both"/>
      </w:pPr>
      <w:r>
        <w:t xml:space="preserve">Op </w:t>
      </w:r>
      <w:r>
        <w:rPr>
          <w:b/>
          <w:bCs/>
        </w:rPr>
        <w:t xml:space="preserve">het</w:t>
      </w:r>
      <w:r>
        <w:t xml:space="preserve"> tweede, </w:t>
      </w:r>
      <w:r>
        <w:rPr>
          <w:b/>
          <w:bCs/>
        </w:rPr>
        <w:t xml:space="preserve">procesniveau</w:t>
      </w:r>
      <w:r>
        <w:t xml:space="preserve">, worden deze gegevens omgezet in </w:t>
      </w:r>
      <w:r>
        <w:t xml:space="preserve">ondoorzichtige </w:t>
      </w:r>
      <w:r>
        <w:t xml:space="preserve">prestatiemaatstaven die bepalend zijn voor het voortbestaan van de werknemer op het platform. Een typisch voorbeeld is </w:t>
      </w:r>
      <w:r>
        <w:t xml:space="preserve">de</w:t>
      </w:r>
      <w:r>
        <w:t xml:space="preserve"> zogenaamde </w:t>
      </w:r>
      <w:r w:rsidR="00A275F6">
        <w:t xml:space="preserve">‘</w:t>
      </w:r>
      <w:r>
        <w:t xml:space="preserve">excellence </w:t>
      </w:r>
      <w:r w:rsidR="00A275F6">
        <w:t xml:space="preserve">score’, </w:t>
      </w:r>
      <w:r>
        <w:t xml:space="preserve">die bijvoorbeeld door </w:t>
      </w:r>
      <w:r>
        <w:t xml:space="preserve">Foodora</w:t>
      </w:r>
      <w:r>
        <w:t xml:space="preserve"> wordt gebruikt </w:t>
      </w:r>
      <w:r w:rsidR="00D7386B">
        <w:t xml:space="preserve">– </w:t>
      </w:r>
      <w:r>
        <w:t xml:space="preserve">een gamificatie-indicator van 0 tot 100, berekend op basis van klantbeoordelingen, efficiëntie en beschikbaarheid tijdens piekuren. Een hogere score geeft voorrang bij het toewijzen van dienstroosters en lucratieve diensten</w:t>
      </w:r>
      <w:r w:rsidR="00A275F6">
        <w:t xml:space="preserve">, terwijl </w:t>
      </w:r>
      <w:r>
        <w:t xml:space="preserve">een lagere score de werknemer in feite bestraft voor het gebruik van zijn vrije tijd.</w:t>
      </w:r>
    </w:p>
    <w:p w:rsidR="00D90A18" w:rsidP="00750824" w:rsidRDefault="00D90A18" w14:paraId="076A4243" w14:textId="77777777">
      <w:pPr>
        <w:jc w:val="both"/>
      </w:pPr>
    </w:p>
    <w:p w:rsidR="00983F19" w:rsidP="00750824" w:rsidRDefault="00000000" w14:paraId="127CBD97" w14:textId="7110B01F">
      <w:pPr>
        <w:jc w:val="both"/>
      </w:pPr>
      <w:r>
        <w:t xml:space="preserve">Op het derde, </w:t>
      </w:r>
      <w:r>
        <w:rPr>
          <w:b/>
          <w:bCs/>
        </w:rPr>
        <w:t xml:space="preserve">uitvoerende niveau </w:t>
      </w:r>
      <w:r>
        <w:t xml:space="preserve">doet het systeem niet alleen aanbevelingen, maar voert het ook zelfstandig beslissingen uit </w:t>
      </w:r>
      <w:r w:rsidR="00D7386B">
        <w:t xml:space="preserve">– </w:t>
      </w:r>
      <w:r>
        <w:t xml:space="preserve">inclusief </w:t>
      </w:r>
      <w:r>
        <w:t xml:space="preserve">het</w:t>
      </w:r>
      <w:r>
        <w:t xml:space="preserve"> zogenaamde </w:t>
      </w:r>
      <w:r w:rsidR="00A275F6">
        <w:t xml:space="preserve">‘robotontslag’ </w:t>
      </w:r>
      <w:r>
        <w:t xml:space="preserve">(</w:t>
      </w:r>
      <w:r w:rsidR="00A275F6">
        <w:t xml:space="preserve">'robo-firing</w:t>
      </w:r>
      <w:r>
        <w:t xml:space="preserve">'), waarbij het account van een werknemer automatisch wordt </w:t>
      </w:r>
      <w:r>
        <w:t xml:space="preserve">gedeactiveerd </w:t>
      </w:r>
      <w:r>
        <w:t xml:space="preserve">als zijn prestatiecijfers onder een vooraf vastgestelde drempel komen (bijvoorbeeld een annuleringspercentage van 20 procent bij </w:t>
      </w:r>
      <w:r>
        <w:t xml:space="preserve">Uber</w:t>
      </w:r>
      <w:r>
        <w:t xml:space="preserve">), vaak zonder enige menselijke controle of mogelijkheid tot uitleg. Dit systeem creëert een omgeving van voortdurende </w:t>
      </w:r>
      <w:r w:rsidR="00A275F6">
        <w:t xml:space="preserve">‘technostress’, </w:t>
      </w:r>
      <w:r>
        <w:t xml:space="preserve">waarin de angst voor het algoritme gevaarlijke gedragspatronen in de hand werkt </w:t>
      </w:r>
      <w:r w:rsidR="00A275F6">
        <w:t xml:space="preserve">– </w:t>
      </w:r>
      <w:r>
        <w:t xml:space="preserve">van te hard rijden bij </w:t>
      </w:r>
      <w:r w:rsidR="00A275F6">
        <w:t xml:space="preserve">bezorgers </w:t>
      </w:r>
      <w:r>
        <w:t xml:space="preserve">tot het overslaan van pauzes </w:t>
      </w:r>
      <w:r w:rsidR="00A275F6">
        <w:t xml:space="preserve">– </w:t>
      </w:r>
      <w:r>
        <w:t xml:space="preserve">en leidt tot chronische angst bij werknemers.</w:t>
      </w:r>
    </w:p>
    <w:p w:rsidR="00983F19" w:rsidP="00750824" w:rsidRDefault="00000000" w14:paraId="5681F4A3" w14:textId="77777777">
      <w:pPr>
        <w:pStyle w:val="Naslov3"/>
        <w:jc w:val="both"/>
      </w:pPr>
      <w:bookmarkStart w:name="izkušnje-iz-držav-partneric-projekta" w:id="34"/>
      <w:bookmarkEnd w:id="33"/>
      <w:r>
        <w:t xml:space="preserve">Ervaringen uit de partnerlanden van het project</w:t>
      </w:r>
    </w:p>
    <w:p w:rsidR="00983F19" w:rsidP="00750824" w:rsidRDefault="00000000" w14:paraId="5293068D" w14:textId="0693E896">
      <w:pPr>
        <w:jc w:val="both"/>
      </w:pPr>
      <w:r>
        <w:rPr>
          <w:b/>
          <w:bCs/>
        </w:rPr>
        <w:t xml:space="preserve">In Oostenrijk </w:t>
      </w:r>
      <w:r>
        <w:t xml:space="preserve">werd in 2020 de eerste sectorale collectieve arbeidsovereenkomst voor </w:t>
      </w:r>
      <w:r>
        <w:t xml:space="preserve">platformbezorgers</w:t>
      </w:r>
      <w:r>
        <w:t xml:space="preserve"> ondertekend</w:t>
      </w:r>
      <w:r>
        <w:t xml:space="preserve">, gesloten tussen de vakbond </w:t>
      </w:r>
      <w:r w:rsidR="00A275F6">
        <w:t xml:space="preserve">VIDA </w:t>
      </w:r>
      <w:r>
        <w:t xml:space="preserve">en werkgeversorganisaties. De overeenkomst garandeerde minimumlonen (tot 2023 meer dan 1.730 </w:t>
      </w:r>
      <w:r w:rsidR="00A275F6">
        <w:t xml:space="preserve">euro</w:t>
      </w:r>
      <w:r>
        <w:t xml:space="preserve">) en vergoedingen voor uitrusting, maar was aanzienlijk minder succesvol in het reguleren van het algoritme zelf </w:t>
      </w:r>
      <w:r w:rsidR="00D7386B">
        <w:t xml:space="preserve">– </w:t>
      </w:r>
      <w:r>
        <w:t xml:space="preserve">de overeenkomst </w:t>
      </w:r>
      <w:r>
        <w:t xml:space="preserve">bevat namelijk geen vergelijkbare bepalingen inzake datatransparantie, zoals die wel voorkomen in de overeenkomsten </w:t>
      </w:r>
      <w:r>
        <w:t xml:space="preserve">in</w:t>
      </w:r>
      <w:r>
        <w:lastRenderedPageBreak/>
      </w:r>
      <w:r>
        <w:t xml:space="preserve"> Spanje of Denemarken. Het belangrijkste conflict op de Oostenrijkse arbeidsmarkt blijft de status </w:t>
      </w:r>
      <w:r>
        <w:t xml:space="preserve">van ‘vrije </w:t>
      </w:r>
      <w:r w:rsidR="00A275F6">
        <w:t xml:space="preserve">contractant’ </w:t>
      </w:r>
      <w:r>
        <w:t xml:space="preserve">(</w:t>
      </w:r>
      <w:r>
        <w:t xml:space="preserve">‘Freier </w:t>
      </w:r>
      <w:r w:rsidR="00A275F6">
        <w:t xml:space="preserve">Dienstnehmer’</w:t>
      </w:r>
      <w:r>
        <w:t xml:space="preserve">), een hybride status tussen werknemer en zelfstandige, waarvan platforms als </w:t>
      </w:r>
      <w:r>
        <w:t xml:space="preserve">Foodora </w:t>
      </w:r>
      <w:r>
        <w:t xml:space="preserve">en </w:t>
      </w:r>
      <w:r>
        <w:t xml:space="preserve">Lieferando </w:t>
      </w:r>
      <w:r>
        <w:t xml:space="preserve">agressief misbruik maken. De hervorming, die in januari 2026 van kracht wordt, voorziet in wettelijke opzegtermijnen en de mogelijkheid om vrije contractanten op te nemen in collectieve arbeidsovereenkomsten</w:t>
      </w:r>
      <w:r w:rsidR="003A5607">
        <w:t xml:space="preserve">, </w:t>
      </w:r>
      <w:r>
        <w:t xml:space="preserve">wat de deur opent voor onderhandelingen over algoritmische beschermingsmaatregelen ook voor deze categorie </w:t>
      </w:r>
      <w:r w:rsidR="003A5607">
        <w:t xml:space="preserve">werknemers</w:t>
      </w:r>
      <w:r>
        <w:t xml:space="preserve">.</w:t>
      </w:r>
    </w:p>
    <w:p w:rsidR="00D90A18" w:rsidP="00750824" w:rsidRDefault="00D90A18" w14:paraId="6D6F3A4B" w14:textId="77777777">
      <w:pPr>
        <w:jc w:val="both"/>
      </w:pPr>
    </w:p>
    <w:p w:rsidR="00983F19" w:rsidP="00750824" w:rsidRDefault="00000000" w14:paraId="5F1C3EBD" w14:textId="363F28E3">
      <w:pPr>
        <w:jc w:val="both"/>
      </w:pPr>
      <w:r>
        <w:t xml:space="preserve">Een structurele uitdaging in Oostenrijk blijft de definitie </w:t>
      </w:r>
      <w:r>
        <w:t xml:space="preserve">van een </w:t>
      </w:r>
      <w:r w:rsidR="003A5607">
        <w:t xml:space="preserve">‘werkplek’ </w:t>
      </w:r>
      <w:r>
        <w:t xml:space="preserve">(</w:t>
      </w:r>
      <w:r w:rsidR="003A5607">
        <w:t xml:space="preserve">‘Betrieb’</w:t>
      </w:r>
      <w:r>
        <w:t xml:space="preserve">): de Oostenrijkse wetgeving vereist een fysieke vestiging voor de oprichting van een werknemersraad, waardoor platforms die centraal vanuit Berlijn of elders worden beheerd, medezeggenschap van werknemers kunnen omzeilen. Terwijl de bezorgers </w:t>
      </w:r>
      <w:r>
        <w:t xml:space="preserve">van Foodora </w:t>
      </w:r>
      <w:r>
        <w:t xml:space="preserve">met succes een werknemersraad </w:t>
      </w:r>
      <w:r>
        <w:t xml:space="preserve">hebben </w:t>
      </w:r>
      <w:r>
        <w:t xml:space="preserve">opgericht, heeft </w:t>
      </w:r>
      <w:r>
        <w:t xml:space="preserve">Lieferando </w:t>
      </w:r>
      <w:r>
        <w:t xml:space="preserve">soortgelijke pogingen juridisch aangevochten.</w:t>
      </w:r>
    </w:p>
    <w:p w:rsidR="00D90A18" w:rsidP="00750824" w:rsidRDefault="00D90A18" w14:paraId="599FBD4A" w14:textId="77777777">
      <w:pPr>
        <w:jc w:val="both"/>
      </w:pPr>
    </w:p>
    <w:p w:rsidR="00983F19" w:rsidP="00750824" w:rsidRDefault="00000000" w14:paraId="602D978C" w14:textId="1838B825">
      <w:pPr>
        <w:jc w:val="both"/>
      </w:pPr>
      <w:r>
        <w:rPr>
          <w:b/>
          <w:bCs/>
        </w:rPr>
        <w:t xml:space="preserve">In Slovenië </w:t>
      </w:r>
      <w:r>
        <w:t xml:space="preserve">is er sprake van een uitgesproken dominantie van één platform, </w:t>
      </w:r>
      <w:r>
        <w:t xml:space="preserve">Wolt</w:t>
      </w:r>
      <w:r>
        <w:t xml:space="preserve">, waarbij werknemers als zelfstandigen werken zonder toegang tot informatie over de werking van het algoritme. Uit de conferentiediscussie bleek dat werknemers vaak niet eens beseffen dat het algoritme hun arbeidsvoorwaarden bepaalt </w:t>
      </w:r>
      <w:r w:rsidR="00D7386B">
        <w:t xml:space="preserve">– </w:t>
      </w:r>
      <w:r>
        <w:t xml:space="preserve">van de toewijzing van opdrachten tot hun daadwerkelijke inkomen. Organisatie wordt extra bemoeilijkt doordat een groot deel van de werknemers bestaat uit migranten die met een studentenvisum werken, hun rechten niet kennen en zich in </w:t>
      </w:r>
      <w:r>
        <w:t xml:space="preserve">een </w:t>
      </w:r>
      <w:r>
        <w:t xml:space="preserve">nog </w:t>
      </w:r>
      <w:r>
        <w:t xml:space="preserve">precairdere </w:t>
      </w:r>
      <w:r>
        <w:t xml:space="preserve">situatie </w:t>
      </w:r>
      <w:r>
        <w:t xml:space="preserve">bevinden</w:t>
      </w:r>
      <w:r>
        <w:t xml:space="preserve">. Een belangrijke conclusie voor Slovenië </w:t>
      </w:r>
      <w:r w:rsidR="003A5607">
        <w:t xml:space="preserve">is dat </w:t>
      </w:r>
      <w:r>
        <w:t xml:space="preserve">veel werknemers verwachten dat hun problemen worden opgelost door het ministerie of de concurrentie, en niet via collectieve onderhandelingen, wat ook wijst op een gebrek aan bewustzijn over de rol van de sociale dialoog bij de regulering van algoritmisch beheer.</w:t>
      </w:r>
    </w:p>
    <w:p w:rsidR="00D90A18" w:rsidP="00750824" w:rsidRDefault="00D90A18" w14:paraId="501BC3A1" w14:textId="77777777">
      <w:pPr>
        <w:jc w:val="both"/>
      </w:pPr>
    </w:p>
    <w:p w:rsidR="00983F19" w:rsidP="00750824" w:rsidRDefault="00000000" w14:paraId="542CD54C" w14:textId="3BFB7244">
      <w:pPr>
        <w:jc w:val="both"/>
      </w:pPr>
      <w:r>
        <w:rPr>
          <w:b/>
          <w:bCs/>
        </w:rPr>
        <w:t xml:space="preserve">Italië </w:t>
      </w:r>
      <w:r>
        <w:t xml:space="preserve">onderscheidt zich door de ervaring met een collectieve arbeidsovereenkomst met </w:t>
      </w:r>
      <w:r>
        <w:t xml:space="preserve">JustEat</w:t>
      </w:r>
      <w:r>
        <w:t xml:space="preserve">, die de druk van het algoritme beperkt door </w:t>
      </w:r>
      <w:r>
        <w:t xml:space="preserve">een maximum </w:t>
      </w:r>
      <w:r w:rsidR="003A5607">
        <w:t xml:space="preserve">van </w:t>
      </w:r>
      <w:r>
        <w:t xml:space="preserve">vier </w:t>
      </w:r>
      <w:r>
        <w:t xml:space="preserve">bezorgingen </w:t>
      </w:r>
      <w:r>
        <w:t xml:space="preserve">per uur </w:t>
      </w:r>
      <w:r w:rsidR="003A5607">
        <w:t xml:space="preserve">vast te stellen</w:t>
      </w:r>
      <w:r>
        <w:t xml:space="preserve">. Deze aanpak geeft voorrang aan de veiligheid van de mens boven algoritmische optimalisatie en zorgt ervoor dat het streven naar efficiëntie de fysieke beperkingen van de werknemer niet overschaduwt.</w:t>
      </w:r>
    </w:p>
    <w:p w:rsidR="00D90A18" w:rsidP="00750824" w:rsidRDefault="00D90A18" w14:paraId="56FFAE55" w14:textId="77777777">
      <w:pPr>
        <w:jc w:val="both"/>
      </w:pPr>
    </w:p>
    <w:p w:rsidR="00983F19" w:rsidP="00750824" w:rsidRDefault="00000000" w14:paraId="29CFD809" w14:textId="4A63BC91">
      <w:pPr>
        <w:jc w:val="both"/>
      </w:pPr>
      <w:r>
        <w:rPr>
          <w:b/>
          <w:bCs/>
        </w:rPr>
        <w:t xml:space="preserve">Spanje </w:t>
      </w:r>
      <w:r>
        <w:t xml:space="preserve">is een toonaangevend voorbeeld van zowel successen als valkuilen. Na de goedkeuring van de wet inzake bezorgers hebben de vakbonden CCOO en UGT een collectieve arbeidsovereenkomst gesloten met </w:t>
      </w:r>
      <w:r>
        <w:t xml:space="preserve">JustEat </w:t>
      </w:r>
      <w:r>
        <w:t xml:space="preserve">España</w:t>
      </w:r>
      <w:r>
        <w:t xml:space="preserve">, die niet alleen de lonen regelt, maar ook een gezamenlijke commissie instelt voor het toezicht op het algoritme </w:t>
      </w:r>
      <w:r w:rsidR="00D7386B">
        <w:t xml:space="preserve">– </w:t>
      </w:r>
      <w:r>
        <w:t xml:space="preserve">een orgaan dat regelmatig bijeenkomt om de rechtvaardigheid van de algoritmische parameters te toetsen, inclusief de vraag of het toewijzingsalgoritme bepaalde gebieden of demografische groepen discrimineert. De Spaanse ervaring legt echter ook een cruciale valkuil bloot: de wet vereist toegang tot de algoritmische parameters, maar </w:t>
      </w:r>
      <w:r w:rsidRPr="005418CA">
        <w:t xml:space="preserve">voorziet niet in sancties bij het niet naleven van deze eis</w:t>
      </w:r>
      <w:r w:rsidRPr="00873676">
        <w:t xml:space="preserve">.</w:t>
      </w:r>
    </w:p>
    <w:p w:rsidR="00D90A18" w:rsidP="00750824" w:rsidRDefault="00D90A18" w14:paraId="259F8CFD" w14:textId="77777777">
      <w:pPr>
        <w:jc w:val="both"/>
      </w:pPr>
    </w:p>
    <w:p w:rsidR="00983F19" w:rsidP="00750824" w:rsidRDefault="00000000" w14:paraId="74F096D4" w14:textId="5DA98B40">
      <w:pPr>
        <w:jc w:val="both"/>
      </w:pPr>
      <w:r>
        <w:t xml:space="preserve">Na de goedkeuring van de wet heeft </w:t>
      </w:r>
      <w:r>
        <w:t xml:space="preserve">Glovo </w:t>
      </w:r>
      <w:r>
        <w:t xml:space="preserve">zijn volledige bedrijfsmodel geherstructureerd</w:t>
      </w:r>
      <w:r w:rsidR="00873676">
        <w:t xml:space="preserve">. </w:t>
      </w:r>
      <w:r>
        <w:t xml:space="preserve">In plaats van de meeste bezorgers in dienst te nemen, bood het alleen minimale contracten aan met een laag aantal wekelijkse uren, die de meesten niet accepteerden, terwijl het tegelijkertijd de algoritmische parameters zodanig aanpaste dat de schijn van autonomie werd gewekt. Pas de dreiging van strafrechtelijke aansprakelijkheid </w:t>
      </w:r>
      <w:r w:rsidR="00D7386B">
        <w:t xml:space="preserve">– en </w:t>
      </w:r>
      <w:r>
        <w:t xml:space="preserve">niet de eis tot transparantie </w:t>
      </w:r>
      <w:r w:rsidR="00D7386B">
        <w:t xml:space="preserve">– </w:t>
      </w:r>
      <w:r>
        <w:t xml:space="preserve">dwong het platform tot naleving </w:t>
      </w:r>
      <w:r w:rsidR="00873676">
        <w:t xml:space="preserve">van de wet</w:t>
      </w:r>
      <w:r>
        <w:t xml:space="preserve">. </w:t>
      </w:r>
    </w:p>
    <w:p w:rsidR="00D90A18" w:rsidP="00750824" w:rsidRDefault="00D90A18" w14:paraId="4CD749D0" w14:textId="77777777">
      <w:pPr>
        <w:jc w:val="both"/>
      </w:pPr>
    </w:p>
    <w:p w:rsidR="00983F19" w:rsidP="00750824" w:rsidRDefault="00000000" w14:paraId="7A3781B5" w14:textId="776D3D41">
      <w:pPr>
        <w:jc w:val="both"/>
      </w:pPr>
      <w:r>
        <w:rPr>
          <w:b/>
          <w:bCs/>
        </w:rPr>
        <w:t xml:space="preserve">Denemarken </w:t>
      </w:r>
      <w:r>
        <w:t xml:space="preserve">biedt een innovatief aansprakelijkheidsmodel: een overeenkomst tussen de vakbond 3F en het schoonmaakplatform </w:t>
      </w:r>
      <w:r>
        <w:t xml:space="preserve">Hilfr </w:t>
      </w:r>
      <w:r>
        <w:t xml:space="preserve">bepaalt dat het platform juridisch aansprakelijk blijft voor elke geautomatiseerde beslissing. Cruciaal </w:t>
      </w:r>
      <w:r w:rsidR="00873676">
        <w:t xml:space="preserve">is dat </w:t>
      </w:r>
      <w:r>
        <w:t xml:space="preserve">de bewijslast </w:t>
      </w:r>
      <w:r>
        <w:t xml:space="preserve">naar het platform </w:t>
      </w:r>
      <w:r w:rsidR="00873676">
        <w:t xml:space="preserve">wordt </w:t>
      </w:r>
      <w:r>
        <w:t xml:space="preserve">verschoven</w:t>
      </w:r>
      <w:r w:rsidR="00873676">
        <w:t xml:space="preserve">: </w:t>
      </w:r>
      <w:r>
        <w:t xml:space="preserve">als het algoritme </w:t>
      </w:r>
      <w:r>
        <w:t xml:space="preserve">een werknemer </w:t>
      </w:r>
      <w:r>
        <w:t xml:space="preserve">deactiveert </w:t>
      </w:r>
      <w:r>
        <w:t xml:space="preserve">of zijn profiel verbergt en het platform niet in begrijpelijke taal kan uitleggen waarom, is de beslissing automatisch ongeldig. Dit verbiedt in feite </w:t>
      </w:r>
      <w:r w:rsidR="00873676">
        <w:t xml:space="preserve">ongerechtvaardigde sancties.</w:t>
      </w:r>
    </w:p>
    <w:p w:rsidR="00983F19" w:rsidP="00750824" w:rsidRDefault="00000000" w14:paraId="3E77F218" w14:textId="77777777">
      <w:pPr>
        <w:pStyle w:val="Naslov3"/>
        <w:jc w:val="both"/>
      </w:pPr>
      <w:bookmarkStart w:name="skupne-ugotovitve" w:id="35"/>
      <w:bookmarkEnd w:id="34"/>
      <w:r>
        <w:lastRenderedPageBreak/>
      </w:r>
      <w:r>
        <w:t xml:space="preserve">Algemene bevindingen</w:t>
      </w:r>
    </w:p>
    <w:p w:rsidR="00983F19" w:rsidP="00750824" w:rsidRDefault="00000000" w14:paraId="1A8F4795" w14:textId="77777777">
      <w:pPr>
        <w:jc w:val="both"/>
      </w:pPr>
      <w:r>
        <w:t xml:space="preserve">Uit de vergelijkende analyse komen drie belangrijke patronen naar voren:</w:t>
      </w:r>
    </w:p>
    <w:p w:rsidR="00D90A18" w:rsidP="00750824" w:rsidRDefault="00D90A18" w14:paraId="05B9CFD6" w14:textId="77777777">
      <w:pPr>
        <w:jc w:val="both"/>
      </w:pPr>
    </w:p>
    <w:p w:rsidR="00983F19" w:rsidP="00750824" w:rsidRDefault="00000000" w14:paraId="4466FAC4" w14:textId="77777777">
      <w:pPr>
        <w:jc w:val="both"/>
      </w:pPr>
      <w:r>
        <w:t xml:space="preserve">Ten eerste </w:t>
      </w:r>
      <w:r>
        <w:t xml:space="preserve">blijft </w:t>
      </w:r>
      <w:r>
        <w:rPr>
          <w:b/>
          <w:bCs/>
        </w:rPr>
        <w:t xml:space="preserve">informatieasymmetrie </w:t>
      </w:r>
      <w:r>
        <w:t xml:space="preserve">een fundamenteel probleem. Platformen beschikken over alle gegevens, terwijl werknemers worden geleid door een systeem waarin zij geen </w:t>
      </w:r>
      <w:r>
        <w:t xml:space="preserve">inzicht</w:t>
      </w:r>
      <w:r>
        <w:t xml:space="preserve"> hebben</w:t>
      </w:r>
      <w:r>
        <w:t xml:space="preserve">. Zonder toegang tot de gegevens is het onmogelijk om overtredingen te herkennen of erover te onderhandelen.</w:t>
      </w:r>
    </w:p>
    <w:p w:rsidR="00D90A18" w:rsidP="00750824" w:rsidRDefault="00D90A18" w14:paraId="3DAF099E" w14:textId="77777777">
      <w:pPr>
        <w:jc w:val="both"/>
      </w:pPr>
    </w:p>
    <w:p w:rsidR="00983F19" w:rsidP="00750824" w:rsidRDefault="00000000" w14:paraId="7F10D91F" w14:textId="77777777">
      <w:pPr>
        <w:jc w:val="both"/>
      </w:pPr>
      <w:r>
        <w:t xml:space="preserve">Ten tweede </w:t>
      </w:r>
      <w:r>
        <w:rPr>
          <w:b/>
          <w:bCs/>
        </w:rPr>
        <w:t xml:space="preserve">is transparantie zonder sancties ondoeltreffend</w:t>
      </w:r>
      <w:r>
        <w:t xml:space="preserve">. De Spaanse ervaring bewijst dit onomstotelijk: de wettelijke verplichting tot openbaarmaking van algoritmische parameters zonder voorzienbare gevolgen bij overtreding stelt platforms in staat de verplichting eenvoudigweg te negeren.</w:t>
      </w:r>
    </w:p>
    <w:p w:rsidR="00D90A18" w:rsidP="00750824" w:rsidRDefault="00D90A18" w14:paraId="44667B97" w14:textId="77777777">
      <w:pPr>
        <w:jc w:val="both"/>
      </w:pPr>
    </w:p>
    <w:p w:rsidR="00983F19" w:rsidP="00750824" w:rsidRDefault="00000000" w14:paraId="2AA0171D" w14:textId="2E4F4808">
      <w:pPr>
        <w:jc w:val="both"/>
      </w:pPr>
      <w:r>
        <w:t xml:space="preserve">Ten derde </w:t>
      </w:r>
      <w:r>
        <w:rPr>
          <w:b/>
          <w:bCs/>
        </w:rPr>
        <w:t xml:space="preserve">reikt algoritmisch beheer verder </w:t>
      </w:r>
      <w:r>
        <w:rPr>
          <w:b/>
          <w:bCs/>
        </w:rPr>
        <w:t xml:space="preserve">dan </w:t>
      </w:r>
      <w:r>
        <w:rPr>
          <w:b/>
          <w:bCs/>
        </w:rPr>
        <w:t xml:space="preserve">platformwerk</w:t>
      </w:r>
      <w:r>
        <w:t xml:space="preserve">. Zoals de Oostenrijkse bijdrage benadrukt, </w:t>
      </w:r>
      <w:r>
        <w:t xml:space="preserve">verspreiden </w:t>
      </w:r>
      <w:r>
        <w:t xml:space="preserve">praktijken </w:t>
      </w:r>
      <w:r>
        <w:t xml:space="preserve">van</w:t>
      </w:r>
      <w:r>
        <w:t xml:space="preserve"> digitaal </w:t>
      </w:r>
      <w:r>
        <w:t xml:space="preserve">taylorisme</w:t>
      </w:r>
      <w:r>
        <w:t xml:space="preserve"> zich </w:t>
      </w:r>
      <w:r>
        <w:t xml:space="preserve">snel naar klassieke werkomgevingen </w:t>
      </w:r>
      <w:r w:rsidR="00D7386B">
        <w:t xml:space="preserve">– </w:t>
      </w:r>
      <w:r>
        <w:t xml:space="preserve">logistiek, detailhandel, horeca, gezondheidszorg. Regelgeving die zich uitsluitend tot platforms beperkt, zal binnen enkele jaren achterhaald zijn.</w:t>
      </w:r>
    </w:p>
    <w:p w:rsidR="00983F19" w:rsidP="00750824" w:rsidRDefault="00000000" w14:paraId="5AA38368" w14:textId="77777777">
      <w:pPr>
        <w:pStyle w:val="Naslov2"/>
        <w:jc w:val="both"/>
      </w:pPr>
      <w:bookmarkStart w:name="_Toc233699491" w:id="36"/>
      <w:bookmarkStart w:name="priporočila-1" w:id="37"/>
      <w:bookmarkEnd w:id="32"/>
      <w:bookmarkEnd w:id="35"/>
      <w:r>
        <w:t xml:space="preserve">4.3 Aanbevelingen</w:t>
      </w:r>
      <w:bookmarkEnd w:id="36"/>
    </w:p>
    <w:p w:rsidR="00983F19" w:rsidP="00750824" w:rsidRDefault="00000000" w14:paraId="4DF51EBF" w14:textId="77777777">
      <w:pPr>
        <w:jc w:val="both"/>
      </w:pPr>
      <w:r>
        <w:t xml:space="preserve">Op basis van de analyse van de vereisten van de richtlijn, praktijkervaringen en de discussies van de deskundigengroep van de Europese Commissie formuleren wij de volgende aanbevelingen voor de lidstaten bij de omzetting van hoofdstuk III van de richtlijn in nationale wetgeving.</w:t>
      </w:r>
    </w:p>
    <w:p w:rsidR="00D90A18" w:rsidP="00750824" w:rsidRDefault="00D90A18" w14:paraId="4FA969CA" w14:textId="77777777">
      <w:pPr>
        <w:jc w:val="both"/>
      </w:pPr>
    </w:p>
    <w:p w:rsidR="00D90A18" w:rsidP="00750824" w:rsidRDefault="00000000" w14:paraId="3CB79453" w14:textId="29A95505">
      <w:pPr>
        <w:pStyle w:val="Naslov3"/>
        <w:jc w:val="both"/>
      </w:pPr>
      <w:r>
        <w:t xml:space="preserve">Aanbeveling 4.1 [GAAT VERDER DAN HET MINIMUM]: Automatische ongeldigheid van niet-toegelichte algoritmische beslissingen</w:t>
      </w:r>
    </w:p>
    <w:p w:rsidR="00983F19" w:rsidP="00750824" w:rsidRDefault="00000000" w14:paraId="69C20213" w14:textId="6F319C59">
      <w:pPr>
        <w:jc w:val="both"/>
      </w:pPr>
      <w:r>
        <w:t xml:space="preserve">Ter versterking van de transparantie stellen wij voor een mechanisme in te voeren waarbij elke algoritmische beslissing (bijvoorbeeld over het blokkeren van een account of het verlagen van een vergoeding) die het platform niet in begrijpelijke taal kan toelichten, </w:t>
      </w:r>
      <w:r>
        <w:rPr>
          <w:b/>
          <w:bCs/>
        </w:rPr>
        <w:t xml:space="preserve">automatisch ongeldig </w:t>
      </w:r>
      <w:r>
        <w:t xml:space="preserve">wordt</w:t>
      </w:r>
      <w:r>
        <w:t xml:space="preserve">. Deze aanpak, die het Deense model volgt, keert de </w:t>
      </w:r>
      <w:r w:rsidR="00844626">
        <w:t xml:space="preserve">bewijslast</w:t>
      </w:r>
      <w:r>
        <w:t xml:space="preserve"> om</w:t>
      </w:r>
      <w:r>
        <w:t xml:space="preserve">: in plaats van dat de werknemer de onjuistheid moet aantonen, moet het platform de begrijpelijkheid en rechtmatigheid van de beslissing aantonen, anders wordt deze ongeldig verklaard.</w:t>
      </w:r>
    </w:p>
    <w:p w:rsidR="00D90A18" w:rsidP="00750824" w:rsidRDefault="00D90A18" w14:paraId="52D68F82" w14:textId="77777777">
      <w:pPr>
        <w:jc w:val="both"/>
      </w:pPr>
    </w:p>
    <w:p w:rsidR="00D90A18" w:rsidP="00750824" w:rsidRDefault="00000000" w14:paraId="0C4C4AB1" w14:textId="2610BF6C">
      <w:pPr>
        <w:pStyle w:val="Naslov3"/>
        <w:jc w:val="both"/>
      </w:pPr>
      <w:r>
        <w:t xml:space="preserve">Aanbeveling 4.2 [GAAT VERDER DAN HET MINIMUM]: Algoritmische </w:t>
      </w:r>
      <w:r>
        <w:t xml:space="preserve">medezeggenschap </w:t>
      </w:r>
      <w:r>
        <w:t xml:space="preserve">via raden van werknemers en vakbonden </w:t>
      </w:r>
      <w:r w:rsidR="00D7386B">
        <w:t xml:space="preserve">– </w:t>
      </w:r>
      <w:r>
        <w:t xml:space="preserve">gezamenlijke commissies</w:t>
      </w:r>
    </w:p>
    <w:p w:rsidR="00D90A18" w:rsidP="00750824" w:rsidRDefault="00000000" w14:paraId="65DA2152" w14:textId="3D276E36">
      <w:pPr>
        <w:jc w:val="both"/>
      </w:pPr>
      <w:r>
        <w:t xml:space="preserve">Transparantie is slechts een eerste stap</w:t>
      </w:r>
      <w:r w:rsidR="00844626">
        <w:t xml:space="preserve">; de koppeling </w:t>
      </w:r>
      <w:r>
        <w:t xml:space="preserve">met actieve medezeggenschap </w:t>
      </w:r>
      <w:r w:rsidR="00C60A82">
        <w:t xml:space="preserve">moet effectief zijn</w:t>
      </w:r>
      <w:r>
        <w:t xml:space="preserve">. Wij bevelen aan dat de lidstaten de rechten van werknemersraden en vakbondsvertegenwoordigers uitbreiden, zodat deze het recht op instemming (of ten minste het recht op raadpleging met opschortende werking) omvatten vóór de invoering of wezenlijke wijziging van algoritmische parameters die van invloed zijn op de beloning, de arbeidsintensiteit of de toewijzing van taken. Het Oostenrijkse voorstel voor een vetorecht met betrekking tot algoritmische parameters </w:t>
      </w:r>
      <w:r w:rsidR="00D7386B">
        <w:t xml:space="preserve">– </w:t>
      </w:r>
      <w:r>
        <w:t xml:space="preserve">naar analogie met de bestaande vereiste van instemming voor de invoering van videobewaking </w:t>
      </w:r>
      <w:r w:rsidR="00D7386B">
        <w:t xml:space="preserve">– </w:t>
      </w:r>
      <w:r>
        <w:t xml:space="preserve">vormt een concreet model voor de omzetting van artikel 13 van de richtlijn in een effectieve praktijk van medezeggenschap.</w:t>
      </w:r>
    </w:p>
    <w:p w:rsidR="005418CA" w:rsidP="00750824" w:rsidRDefault="005418CA" w14:paraId="1500E6F4" w14:textId="77777777">
      <w:pPr>
        <w:jc w:val="both"/>
      </w:pPr>
    </w:p>
    <w:p w:rsidR="00D90A18" w:rsidP="00750824" w:rsidRDefault="00000000" w14:paraId="66376D91" w14:textId="57A86EEE">
      <w:pPr>
        <w:pStyle w:val="Naslov3"/>
        <w:jc w:val="both"/>
      </w:pPr>
      <w:r>
        <w:t xml:space="preserve">Aanbeveling 4.3 [RICHTLIJN]: Classificatie van algoritmische druk als psychosociaal risico</w:t>
      </w:r>
    </w:p>
    <w:p w:rsidR="00983F19" w:rsidP="00750824" w:rsidRDefault="00000000" w14:paraId="77732E56" w14:textId="24918187">
      <w:pPr>
        <w:jc w:val="both"/>
      </w:pPr>
      <w:r>
        <w:lastRenderedPageBreak/>
      </w:r>
      <w:r>
        <w:t xml:space="preserve">Artikel 12 van de richtlijn verbiedt uitdrukkelijk het gebruik van algoritmen die onevenredige druk op werknemers uitoefenen. Wij bevelen aan dat de lidstaten in hun nationale wetgeving inzake veiligheid en gezondheid op het werk algoritmische druk </w:t>
      </w:r>
      <w:r w:rsidR="00D7386B">
        <w:t xml:space="preserve">– </w:t>
      </w:r>
      <w:r>
        <w:t xml:space="preserve">met inbegrip van </w:t>
      </w:r>
      <w:r>
        <w:t xml:space="preserve">gamificatie, afteltimers, voortdurend digitaal toezicht en systemen die noodzakelijke pauzes verhinderen </w:t>
      </w:r>
      <w:r w:rsidR="00D7386B">
        <w:t xml:space="preserve">– </w:t>
      </w:r>
      <w:r>
        <w:t xml:space="preserve">uitdrukkelijk definiëren </w:t>
      </w:r>
      <w:r>
        <w:t xml:space="preserve">als </w:t>
      </w:r>
      <w:r w:rsidRPr="005418CA">
        <w:rPr>
          <w:b/>
          <w:bCs/>
        </w:rPr>
        <w:t xml:space="preserve">een psychosociaal risico</w:t>
      </w:r>
      <w:r>
        <w:t xml:space="preserve">. Dit zou arbeidsinspecties in staat stellen om </w:t>
      </w:r>
      <w:r w:rsidR="008A4BD4">
        <w:t xml:space="preserve">een schadelijk algoritme </w:t>
      </w:r>
      <w:r>
        <w:t xml:space="preserve">met dezelfde strengheid aan te pakken als een fysiek gevaar op de werkplek, inclusief het opleggen van boetes en bevelen tot stopzetting van het gebruik van het systeem. </w:t>
      </w:r>
      <w:r w:rsidR="008A4BD4">
        <w:t xml:space="preserve">Een dergelijke werking van het algoritme vormt namelijk een fysiek gevaar op de werkplek. </w:t>
      </w:r>
    </w:p>
    <w:p w:rsidR="00D90A18" w:rsidP="00750824" w:rsidRDefault="00D90A18" w14:paraId="18C59135" w14:textId="77777777">
      <w:pPr>
        <w:jc w:val="both"/>
      </w:pPr>
    </w:p>
    <w:p w:rsidR="00D90A18" w:rsidP="00750824" w:rsidRDefault="00000000" w14:paraId="7F129147" w14:textId="41EDB068">
      <w:pPr>
        <w:pStyle w:val="Naslov3"/>
        <w:jc w:val="both"/>
      </w:pPr>
      <w:r>
        <w:t xml:space="preserve">Aanbeveling 4.4 [GAAT VERDER DAN HET MINIMUM]: Collectieve toegang tot gegevens voor vakbonden</w:t>
      </w:r>
    </w:p>
    <w:p w:rsidR="00D90A18" w:rsidP="00750824" w:rsidRDefault="00000000" w14:paraId="065C3E6B" w14:textId="77777777">
      <w:pPr>
        <w:jc w:val="both"/>
      </w:pPr>
      <w:r>
        <w:t xml:space="preserve">Individuele verzoeken om toegang tot gegevens (op grond van artikel 15 van de AVG) zijn ineffectief, omdat ze slechts een fractie van het totaalbeeld onthullen en voor de individuele werknemer een te grote belasting vormen. Wij bevelen aan dat de lidstaten bij de omzetting van de rechten uit de artikelen 9 en 15 van de richtlijn een wettelijk recht voor vakbonden instellen op collectieve toegang tot geaggregeerde gegevens over de werking van algoritmische systemen. </w:t>
      </w:r>
    </w:p>
    <w:p w:rsidR="00D90A18" w:rsidP="00750824" w:rsidRDefault="00D90A18" w14:paraId="1BD33875" w14:textId="77777777">
      <w:pPr>
        <w:jc w:val="both"/>
      </w:pPr>
    </w:p>
    <w:p w:rsidR="00983F19" w:rsidP="00750824" w:rsidRDefault="00000000" w14:paraId="1129B314" w14:textId="2252D104">
      <w:pPr>
        <w:jc w:val="both"/>
      </w:pPr>
      <w:r>
        <w:t xml:space="preserve">De financiering van onafhankelijke deskundigen die vakbonden helpen bij het analyseren van deze gegevens, moet worden gewaarborgd uit het nationale fonds voor onafhankelijke toetsing van algoritmen (zie aanbeveling 6.1). Dit zou vakbonden in staat stellen om, door </w:t>
      </w:r>
      <w:r>
        <w:t xml:space="preserve">de</w:t>
      </w:r>
      <w:r>
        <w:t xml:space="preserve"> gegevens </w:t>
      </w:r>
      <w:r>
        <w:t xml:space="preserve">van duizenden </w:t>
      </w:r>
      <w:r>
        <w:t xml:space="preserve">werknemers </w:t>
      </w:r>
      <w:r>
        <w:t xml:space="preserve">te bundelen, </w:t>
      </w:r>
      <w:r>
        <w:t xml:space="preserve">de logica van het systeem statistisch te reconstrueren en verborgen patronen van discriminatie of loonschendingen aan het licht te brengen </w:t>
      </w:r>
      <w:r w:rsidR="00D7386B">
        <w:t xml:space="preserve">– </w:t>
      </w:r>
      <w:r>
        <w:t xml:space="preserve">een aanpak die de ETUC aanbeveelt als </w:t>
      </w:r>
      <w:r>
        <w:t xml:space="preserve">‘reverse engineering van de baas</w:t>
      </w:r>
      <w:r w:rsidR="008A4BD4">
        <w:t xml:space="preserve">’. </w:t>
      </w:r>
      <w:r>
        <w:t xml:space="preserve">Het recht op collectieve toegang tot gegevens moet uitdrukkelijk worden gescheiden van </w:t>
      </w:r>
      <w:r w:rsidR="008A4BD4">
        <w:t xml:space="preserve">de bescherming </w:t>
      </w:r>
      <w:r>
        <w:t xml:space="preserve">van bedrijfsgeheimen, die door platforms vaak wordt misbruikt om elk soort inzicht te verhinderen.</w:t>
      </w:r>
    </w:p>
    <w:p w:rsidR="00D90A18" w:rsidP="00750824" w:rsidRDefault="00D90A18" w14:paraId="07C7C030" w14:textId="77777777">
      <w:pPr>
        <w:jc w:val="both"/>
      </w:pPr>
    </w:p>
    <w:p w:rsidR="00D90A18" w:rsidP="00750824" w:rsidRDefault="00000000" w14:paraId="76E6BE8C" w14:textId="72B2B8B6">
      <w:pPr>
        <w:pStyle w:val="Naslov3"/>
        <w:jc w:val="both"/>
      </w:pPr>
      <w:r>
        <w:t xml:space="preserve">Aanbeveling 4.5 [GAAT VERDER DAN HET MINIMUM]: Actualisering van het begrip </w:t>
      </w:r>
      <w:r w:rsidR="008A4BD4">
        <w:t xml:space="preserve">‘werkplek’ </w:t>
      </w:r>
      <w:r>
        <w:t xml:space="preserve">voor het digitale tijdperk</w:t>
      </w:r>
    </w:p>
    <w:p w:rsidR="00983F19" w:rsidP="00750824" w:rsidRDefault="00000000" w14:paraId="0D28EBDC" w14:textId="2C0E8FF1">
      <w:pPr>
        <w:jc w:val="both"/>
      </w:pPr>
      <w:r>
        <w:t xml:space="preserve">Om de rechten op informatie en raadpleging uit artikel 13 van de richtlijn effectief te kunnen uitoefenen, moeten de lidstaten ervoor zorgen dat de nationale wetgeving de digitale infrastructuur van het platform als werkplek erkent</w:t>
      </w:r>
      <w:r w:rsidR="008A4BD4">
        <w:t xml:space="preserve">.</w:t>
      </w:r>
      <w:r>
        <w:t xml:space="preserve"> Indien het platform via een applicatie toezicht- en beheertaken uitoefent, moet deze digitale infrastructuur juridisch volstaan voor de instelling van werknemersvertegenwoordiging. Zonder deze aanpassing zullen platforms zich kunnen blijven beroepen op het gedecentraliseerde karakter van het werk om medezeggenschap van werknemers te weigeren </w:t>
      </w:r>
      <w:r w:rsidR="00D7386B">
        <w:t xml:space="preserve">– </w:t>
      </w:r>
      <w:r>
        <w:t xml:space="preserve">wat in directe tegenspraak is met de doelstelling van de richtlijn.</w:t>
      </w:r>
    </w:p>
    <w:p w:rsidR="00D90A18" w:rsidP="00750824" w:rsidRDefault="00D90A18" w14:paraId="75ED1915" w14:textId="77777777">
      <w:pPr>
        <w:jc w:val="both"/>
      </w:pPr>
    </w:p>
    <w:p w:rsidR="00983F19" w:rsidP="00750824" w:rsidRDefault="00000000" w14:paraId="23E82361" w14:textId="77777777">
      <w:pPr>
        <w:jc w:val="both"/>
        <w:rPr>
          <w:i/>
          <w:iCs/>
        </w:rPr>
      </w:pPr>
      <w:r>
        <w:rPr>
          <w:i/>
          <w:iCs/>
        </w:rPr>
        <w:t xml:space="preserve">Bronnen: Oostenrijkse bijdrage van het SDDP </w:t>
      </w:r>
      <w:r>
        <w:rPr>
          <w:i/>
          <w:iCs/>
        </w:rPr>
        <w:t xml:space="preserve">„The </w:t>
      </w:r>
      <w:r>
        <w:rPr>
          <w:i/>
          <w:iCs/>
        </w:rPr>
        <w:t xml:space="preserve">Boss </w:t>
      </w:r>
      <w:r>
        <w:rPr>
          <w:i/>
          <w:iCs/>
        </w:rPr>
        <w:t xml:space="preserve">in </w:t>
      </w:r>
      <w:r>
        <w:rPr>
          <w:i/>
          <w:iCs/>
        </w:rPr>
        <w:t xml:space="preserve">the </w:t>
      </w:r>
      <w:r>
        <w:rPr>
          <w:i/>
          <w:iCs/>
        </w:rPr>
        <w:t xml:space="preserve">Machine“ (2025); Verslag van de deskundigengroep voor de omzetting van Richtlijn (EU) 2024/2831 (januari 2026); Notulen van de tussentijdse conferentie van het SDDP, Ljubljana, mei 2025; ETUC-handboek voor algoritmisch beheer.</w:t>
      </w:r>
    </w:p>
    <w:p w:rsidR="005418CA" w:rsidP="00750824" w:rsidRDefault="005418CA" w14:paraId="1A14BA97" w14:textId="77777777">
      <w:pPr>
        <w:jc w:val="both"/>
      </w:pPr>
    </w:p>
    <w:p w:rsidR="00FC19E2" w:rsidP="00750824" w:rsidRDefault="00000000" w14:paraId="1BA217AF" w14:textId="4C1588BA">
      <w:pPr>
        <w:pStyle w:val="Naslov3"/>
        <w:jc w:val="both"/>
      </w:pPr>
      <w:r>
        <w:t xml:space="preserve">Aanbeveling 4.6 [RICHTLIJN]: Hoge normen voor menselijke controle voor alle PPPW, ongeacht hun arbeidsstatus</w:t>
      </w:r>
    </w:p>
    <w:p w:rsidR="00FC19E2" w:rsidP="00750824" w:rsidRDefault="00615AD5" w14:paraId="34734714" w14:textId="373CCEC3">
      <w:pPr>
        <w:jc w:val="both"/>
      </w:pPr>
      <w:r>
        <w:t xml:space="preserve">De ervaring leert dat platforms werknemers aanmoedigen om over te stappen naar de status van zelfstandige, om zo de strengere eisen inzake algoritmisch beheer te omzeilen die gelden voor werknemers in </w:t>
      </w:r>
      <w:r w:rsidR="00615F18">
        <w:t xml:space="preserve">een „</w:t>
      </w:r>
      <w:r w:rsidR="00615F18">
        <w:lastRenderedPageBreak/>
      </w:r>
      <w:r w:rsidR="00615F18">
        <w:t xml:space="preserve"> ” dienstverband</w:t>
      </w:r>
      <w:r>
        <w:t xml:space="preserve">. De richtlijn (artikelen</w:t>
      </w:r>
      <w:r>
        <w:t xml:space="preserve"> 7-11) waarborgt hoge normen voor menselijke toetsing van geautomatiseerde beslissingen voor alle PPPW, ongeacht hun arbeidsstatus, met name het verbod op volledige automatisering van beslissingen over het beperken of beëindigen van de toegang tot het platform (artikel 10, lid 5) en het recht op inhoudelijke toetsing door een gekwalificeerde persoon (artikel 11). De lidstaten dienen bij de omzetting uitdrukkelijk te bevestigen dat deze rechten niet voorwaardelijk kunnen worden uitgesloten door een beroep te doen op de status van zelfstandige of zakelijke gebruiker.</w:t>
      </w:r>
    </w:p>
    <w:p w:rsidR="00615AD5" w:rsidP="00750824" w:rsidRDefault="00615AD5" w14:paraId="06D40930" w14:textId="77777777">
      <w:pPr>
        <w:jc w:val="both"/>
      </w:pPr>
    </w:p>
    <w:p w:rsidR="00FC19E2" w:rsidP="00750824" w:rsidRDefault="00000000" w14:paraId="457A8E13" w14:textId="4590CF18">
      <w:pPr>
        <w:jc w:val="both"/>
      </w:pPr>
      <w:r>
        <w:t xml:space="preserve">Wat zakelijke gebruikers betreft die onder de P2B-verordening vallen (artikel 11, lid 5, van de richtlijn</w:t>
      </w:r>
      <w:r w:rsidR="00615AD5">
        <w:t xml:space="preserve">), </w:t>
      </w:r>
      <w:r>
        <w:t xml:space="preserve">staat de richtlijn in artikel 26, lid 2, uitdrukkelijk toe dat lidstaten hogere beschermingsnormen dan de minimumnormen vaststellen. De ministeries dienen te overwegen de eisen inzake menselijke controle, die momenteel gelden voor PPPW, op zinvolle wijze uit te breiden naar alle natuurlijke personen die economisch afhankelijk zijn van het platform</w:t>
      </w:r>
      <w:r w:rsidR="00615AD5">
        <w:t xml:space="preserve">, </w:t>
      </w:r>
      <w:r>
        <w:t xml:space="preserve">ongeacht de contractuele vorm </w:t>
      </w:r>
      <w:r w:rsidR="00615AD5">
        <w:t xml:space="preserve">van het werk</w:t>
      </w:r>
      <w:r>
        <w:t xml:space="preserve">.</w:t>
      </w:r>
    </w:p>
    <w:p w:rsidR="00615AD5" w:rsidP="00750824" w:rsidRDefault="00615AD5" w14:paraId="7ED492EB" w14:textId="77777777">
      <w:pPr>
        <w:jc w:val="both"/>
      </w:pPr>
    </w:p>
    <w:p w:rsidR="00FC19E2" w:rsidP="00750824" w:rsidRDefault="00000000" w14:paraId="09A95782" w14:textId="77777777">
      <w:pPr>
        <w:jc w:val="both"/>
      </w:pPr>
      <w:r>
        <w:rPr>
          <w:i/>
          <w:iCs/>
        </w:rPr>
        <w:t xml:space="preserve">Bronnen: Richtlijn (EU) 2024/2831, artikelen 10, lid 5, 11, 26, lid 2, artikel 11, lid 5, en Verordening (EU) 2019/1150 (P2B); Verslag van de deskundigengroep (januari 2026), blz. 48–52.</w:t>
      </w:r>
    </w:p>
    <w:p w:rsidR="00750824" w:rsidRDefault="00750824" w14:paraId="2A5BAE56" w14:textId="77777777">
      <w:pPr>
        <w:rPr>
          <w:b/>
          <w:bCs/>
          <w:color w:val="1F3864"/>
          <w:sz w:val="36"/>
          <w:szCs w:val="36"/>
        </w:rPr>
      </w:pPr>
      <w:bookmarkStart w:name="poglavje-6-varstvo-podatkov-in-zasebnost" w:id="38"/>
      <w:bookmarkEnd w:id="27"/>
      <w:bookmarkEnd w:id="37"/>
      <w:r>
        <w:br w:type="page"/>
      </w:r>
    </w:p>
    <w:p w:rsidR="00983F19" w:rsidP="00750824" w:rsidRDefault="00000000" w14:paraId="408EB938" w14:textId="1552F3B2">
      <w:pPr>
        <w:pStyle w:val="Naslov1"/>
        <w:jc w:val="both"/>
      </w:pPr>
      <w:bookmarkStart w:name="_Toc233699492" w:id="39"/>
      <w:r>
        <w:lastRenderedPageBreak/>
      </w:r>
      <w:r>
        <w:t xml:space="preserve">Hoofdstuk 5: Gegevensbescherming en privacy</w:t>
      </w:r>
      <w:bookmarkEnd w:id="39"/>
    </w:p>
    <w:p w:rsidR="00983F19" w:rsidP="00750824" w:rsidRDefault="00000000" w14:paraId="3E646C84" w14:textId="67926478">
      <w:pPr>
        <w:jc w:val="both"/>
      </w:pPr>
      <w:r>
        <w:t xml:space="preserve">Algoritmisch beheer is niet alleen een organisatorische techniek</w:t>
      </w:r>
      <w:r w:rsidR="003F2469">
        <w:t xml:space="preserve">, </w:t>
      </w:r>
      <w:r>
        <w:t xml:space="preserve">het is een controlesysteem dat werkt via </w:t>
      </w:r>
      <w:r w:rsidR="003F2469">
        <w:t xml:space="preserve">het verzamelen </w:t>
      </w:r>
      <w:r>
        <w:t xml:space="preserve">van gegevens. Elke klik in de app, elke seconde vertraging, elke afwijzing van een bestelling wordt door het platform geregistreerd en geïnterpreteerd. De artikelen 7 tot en met 11 van de richtlijn regelen wat het platform wel en niet met deze gegevens mag doen. Dit is een van de meest ingrijpende onderdelen van de richtlijn: waar de AVG algemene regels vaststelt, voert de richtlijn strengere en </w:t>
      </w:r>
      <w:r w:rsidR="003F2469">
        <w:t xml:space="preserve">specifiekere </w:t>
      </w:r>
      <w:r>
        <w:t xml:space="preserve">verboden </w:t>
      </w:r>
      <w:r>
        <w:t xml:space="preserve">in </w:t>
      </w:r>
      <w:r>
        <w:t xml:space="preserve">die zelfs met toestemming van de werknemer niet kunnen worden omzeild. Gegevensbescherming bij </w:t>
      </w:r>
      <w:r>
        <w:t xml:space="preserve">platformwerk </w:t>
      </w:r>
      <w:r>
        <w:t xml:space="preserve">is</w:t>
      </w:r>
      <w:r>
        <w:t xml:space="preserve"> niet alleen een kwestie van privacy</w:t>
      </w:r>
      <w:r w:rsidR="003F2469">
        <w:t xml:space="preserve">, </w:t>
      </w:r>
      <w:r>
        <w:t xml:space="preserve">maar een voorwaarde voor een gelijkwaardige sociale dialoog.</w:t>
      </w:r>
    </w:p>
    <w:p w:rsidR="00983F19" w:rsidP="00750824" w:rsidRDefault="00000000" w14:paraId="2DA3CF42" w14:textId="77777777">
      <w:pPr>
        <w:pStyle w:val="Naslov2"/>
        <w:jc w:val="both"/>
      </w:pPr>
      <w:bookmarkStart w:name="_Toc233699493" w:id="40"/>
      <w:bookmarkStart w:name="zahteve-direktive-2" w:id="41"/>
      <w:r>
        <w:t xml:space="preserve">5.1 Eisen van de richtlijn</w:t>
      </w:r>
      <w:bookmarkEnd w:id="40"/>
    </w:p>
    <w:p w:rsidR="00983F19" w:rsidP="00750824" w:rsidRDefault="00000000" w14:paraId="0052DF83" w14:textId="215473CC">
      <w:pPr>
        <w:jc w:val="both"/>
      </w:pPr>
      <w:r>
        <w:t xml:space="preserve">Artikel 7 voert absolute verboden in op de verwerking van persoonsgegevens via geautomatiseerde systemen. Het gaat om verboden die strenger zijn dan die van de Algemene Verordening Gegevensbescherming (AVG) en </w:t>
      </w:r>
      <w:r w:rsidR="000B201C">
        <w:t xml:space="preserve">die ook </w:t>
      </w:r>
      <w:r>
        <w:t xml:space="preserve">niet </w:t>
      </w:r>
      <w:r w:rsidR="000B201C">
        <w:t xml:space="preserve">door </w:t>
      </w:r>
      <w:r>
        <w:t xml:space="preserve">de toestemming van de werknemer </w:t>
      </w:r>
      <w:r w:rsidR="000B201C">
        <w:t xml:space="preserve">teniet</w:t>
      </w:r>
      <w:r>
        <w:t xml:space="preserve"> kunnen </w:t>
      </w:r>
      <w:r w:rsidR="000B201C">
        <w:t xml:space="preserve">worden gedaan</w:t>
      </w:r>
      <w:r>
        <w:t xml:space="preserve">. De richtlijn legt namelijk in overweging 39 duidelijk uit dat toestemming bij </w:t>
      </w:r>
      <w:r>
        <w:t xml:space="preserve">platformwerk niet vrijwillig kan zijn: een werknemer die bang is voor de gevolgen, kan geen vrije keuze maken. Platforms kunnen dus geen geldige toestemming verkrijgen voor verboden </w:t>
      </w:r>
      <w:r w:rsidR="000B201C">
        <w:t xml:space="preserve">gegevensverwerking</w:t>
      </w:r>
      <w:r>
        <w:t xml:space="preserve">.</w:t>
      </w:r>
      <w:r>
        <w:rPr>
          <w:rStyle w:val="Sprotnaopomba-sklic"/>
        </w:rPr>
        <w:footnoteReference w:id="4"/>
      </w:r>
    </w:p>
    <w:p w:rsidR="00D90A18" w:rsidP="00750824" w:rsidRDefault="00D90A18" w14:paraId="0655517A" w14:textId="77777777">
      <w:pPr>
        <w:jc w:val="both"/>
      </w:pPr>
    </w:p>
    <w:p w:rsidR="00983F19" w:rsidP="00750824" w:rsidRDefault="00000000" w14:paraId="1223613C" w14:textId="77777777">
      <w:pPr>
        <w:jc w:val="both"/>
      </w:pPr>
      <w:r>
        <w:t xml:space="preserve">Concrete verboden zijn:</w:t>
      </w:r>
    </w:p>
    <w:p w:rsidR="00983F19" w:rsidP="00750824" w:rsidRDefault="00000000" w14:paraId="7255E736" w14:textId="3FEB102F">
      <w:pPr>
        <w:numPr>
          <w:ilvl w:val="0"/>
          <w:numId w:val="4"/>
        </w:numPr>
        <w:jc w:val="both"/>
      </w:pPr>
      <w:r>
        <w:t xml:space="preserve">het verbod op het verzamelen en verwerken van gegevens over </w:t>
      </w:r>
      <w:r>
        <w:rPr>
          <w:b/>
          <w:bCs/>
        </w:rPr>
        <w:t xml:space="preserve">de emotionele of psychologische toestand </w:t>
      </w:r>
      <w:r>
        <w:t xml:space="preserve">van de werknemer (artikel 7, lid 1, onder a</w:t>
      </w:r>
      <w:r w:rsidR="000B201C">
        <w:t xml:space="preserve">)),</w:t>
      </w:r>
    </w:p>
    <w:p w:rsidR="00983F19" w:rsidP="00750824" w:rsidRDefault="00000000" w14:paraId="64940747" w14:textId="37D8A1F5">
      <w:pPr>
        <w:numPr>
          <w:ilvl w:val="0"/>
          <w:numId w:val="4"/>
        </w:numPr>
        <w:jc w:val="both"/>
      </w:pPr>
      <w:r>
        <w:t xml:space="preserve">het verbod op toegang tot </w:t>
      </w:r>
      <w:r>
        <w:rPr>
          <w:b/>
          <w:bCs/>
        </w:rPr>
        <w:t xml:space="preserve">privégesprekken </w:t>
      </w:r>
      <w:r>
        <w:t xml:space="preserve">tussen werknemers, met inbegrip van gesprekken met vakbondsvertegenwoordigers (artikel 7, lid 1, onder b</w:t>
      </w:r>
      <w:r w:rsidR="000B201C">
        <w:t xml:space="preserve">)),</w:t>
      </w:r>
    </w:p>
    <w:p w:rsidR="00983F19" w:rsidP="00750824" w:rsidRDefault="00000000" w14:paraId="1DE80C61" w14:textId="5E554F61">
      <w:pPr>
        <w:numPr>
          <w:ilvl w:val="0"/>
          <w:numId w:val="4"/>
        </w:numPr>
        <w:jc w:val="both"/>
      </w:pPr>
      <w:r>
        <w:t xml:space="preserve">het verbod op het verzamelen van gegevens over de locatie of activiteiten van de werknemer wanneer deze </w:t>
      </w:r>
      <w:r>
        <w:rPr>
          <w:b/>
          <w:bCs/>
        </w:rPr>
        <w:t xml:space="preserve">niet is ingelogd in de applicatie</w:t>
      </w:r>
      <w:r w:rsidR="000B201C">
        <w:t xml:space="preserve">, </w:t>
      </w:r>
      <w:r>
        <w:t xml:space="preserve">dus </w:t>
      </w:r>
      <w:r w:rsidR="000B201C">
        <w:t xml:space="preserve">buiten </w:t>
      </w:r>
      <w:r>
        <w:t xml:space="preserve">de werktijd (artikel 7, lid 1, onder c</w:t>
      </w:r>
      <w:r w:rsidR="000B201C">
        <w:t xml:space="preserve">)),</w:t>
      </w:r>
    </w:p>
    <w:p w:rsidR="00983F19" w:rsidP="00750824" w:rsidRDefault="00000000" w14:paraId="6A2FBA0E" w14:textId="09D32A50">
      <w:pPr>
        <w:numPr>
          <w:ilvl w:val="0"/>
          <w:numId w:val="4"/>
        </w:numPr>
        <w:jc w:val="both"/>
      </w:pPr>
      <w:r>
        <w:t xml:space="preserve">het verbod op de verwerking van gegevens om </w:t>
      </w:r>
      <w:r>
        <w:rPr>
          <w:b/>
          <w:bCs/>
        </w:rPr>
        <w:t xml:space="preserve">de uitoefening van grondrechten te voorspellen</w:t>
      </w:r>
      <w:r>
        <w:t xml:space="preserve">, met inbegrip van het recht op staking of vakbondsvorming (artikel 7, lid 1, onder d</w:t>
      </w:r>
      <w:r w:rsidR="000B201C">
        <w:t xml:space="preserve">)),</w:t>
      </w:r>
    </w:p>
    <w:p w:rsidR="00983F19" w:rsidP="00750824" w:rsidRDefault="00000000" w14:paraId="44019C9A" w14:textId="0D84E0BE">
      <w:pPr>
        <w:numPr>
          <w:ilvl w:val="0"/>
          <w:numId w:val="4"/>
        </w:numPr>
        <w:jc w:val="both"/>
      </w:pPr>
      <w:r>
        <w:t xml:space="preserve">verbod </w:t>
      </w:r>
      <w:r>
        <w:rPr>
          <w:b/>
          <w:bCs/>
        </w:rPr>
        <w:t xml:space="preserve">op het trekken van conclusies over bijzondere categorieën gegevens </w:t>
      </w:r>
      <w:r w:rsidR="00D7386B">
        <w:t xml:space="preserve">– </w:t>
      </w:r>
      <w:r>
        <w:t xml:space="preserve">ras, gezondheidstoestand, vakbondslidmaatschap, seksuele geaardheid </w:t>
      </w:r>
      <w:r w:rsidR="00D7386B">
        <w:t xml:space="preserve">– </w:t>
      </w:r>
      <w:r>
        <w:t xml:space="preserve">op basis van andere gegevens (artikel 7, lid 1, onder e</w:t>
      </w:r>
      <w:r w:rsidR="000B201C">
        <w:t xml:space="preserve">)),</w:t>
      </w:r>
    </w:p>
    <w:p w:rsidR="00983F19" w:rsidP="00750824" w:rsidRDefault="00000000" w14:paraId="0CE1A0E8" w14:textId="77777777">
      <w:pPr>
        <w:numPr>
          <w:ilvl w:val="0"/>
          <w:numId w:val="4"/>
        </w:numPr>
        <w:jc w:val="both"/>
      </w:pPr>
      <w:r>
        <w:rPr>
          <w:b/>
          <w:bCs/>
        </w:rPr>
        <w:t xml:space="preserve">verbod op biometrische identificatie</w:t>
      </w:r>
      <w:r>
        <w:t xml:space="preserve">; biometrische verificatie (vergelijking met eigen opgeslagen biometrische gegevens) is nog steeds toegestaan (artikel 7, lid 1, onder f)).</w:t>
      </w:r>
    </w:p>
    <w:p w:rsidR="00D90A18" w:rsidP="00750824" w:rsidRDefault="00D90A18" w14:paraId="46E69968" w14:textId="77777777">
      <w:pPr>
        <w:ind w:start="720"/>
        <w:jc w:val="both"/>
      </w:pPr>
    </w:p>
    <w:p w:rsidR="00983F19" w:rsidP="00750824" w:rsidRDefault="00000000" w14:paraId="1797FC4E" w14:textId="6B70A642">
      <w:pPr>
        <w:jc w:val="both"/>
      </w:pPr>
      <w:r>
        <w:t xml:space="preserve">Artikel 7, lid 2, breidt de verboden al uit tot de wervingsprocedure</w:t>
      </w:r>
      <w:r w:rsidR="000B201C">
        <w:t xml:space="preserve">, </w:t>
      </w:r>
      <w:r>
        <w:t xml:space="preserve">dus nog voordat een persoon een PPPW wordt. Artikel 7, lid 3, breidt daarentegen de materiële werkingssfeer uit: de verboden gelden niet alleen voor AMDMS (zoals gedefinieerd in de richtlijn), maar voor alle geautomatiseerde systemen die op enigerlei wijze invloed hebben op werknemers.</w:t>
      </w:r>
    </w:p>
    <w:p w:rsidR="00D90A18" w:rsidP="00750824" w:rsidRDefault="00D90A18" w14:paraId="3CB707CA" w14:textId="77777777">
      <w:pPr>
        <w:jc w:val="both"/>
      </w:pPr>
    </w:p>
    <w:p w:rsidR="00983F19" w:rsidP="00750824" w:rsidRDefault="00000000" w14:paraId="54B2A6D9" w14:textId="16ADBD5B">
      <w:pPr>
        <w:jc w:val="both"/>
      </w:pPr>
      <w:r>
        <w:t xml:space="preserve">Artikel 8 voert een verplichte gegevensbeschermingseffectbeoordeling (</w:t>
      </w:r>
      <w:r>
        <w:t xml:space="preserve">‘Data </w:t>
      </w:r>
      <w:r>
        <w:t xml:space="preserve">Protection </w:t>
      </w:r>
      <w:r>
        <w:t xml:space="preserve">Impact </w:t>
      </w:r>
      <w:r>
        <w:t xml:space="preserve">Assessment </w:t>
      </w:r>
      <w:r w:rsidR="000B201C">
        <w:t xml:space="preserve">(</w:t>
      </w:r>
      <w:r>
        <w:t xml:space="preserve">DPIA</w:t>
      </w:r>
      <w:r w:rsidR="000B201C">
        <w:t xml:space="preserve">)’</w:t>
      </w:r>
      <w:r>
        <w:t xml:space="preserve">) </w:t>
      </w:r>
      <w:r>
        <w:t xml:space="preserve">in </w:t>
      </w:r>
      <w:r>
        <w:t xml:space="preserve">voor elke gegevensverwerking via AMDMS. Dit is strenger dan de AVG, die een DPIA alleen vereist wanneer de verwerking </w:t>
      </w:r>
      <w:r>
        <w:t xml:space="preserve">‘waarschijnlijk een hoog risico met zich meebrengt</w:t>
      </w:r>
      <w:r w:rsidR="000B201C">
        <w:t xml:space="preserve">’. </w:t>
      </w:r>
      <w:r>
        <w:t xml:space="preserve">De richtlijn </w:t>
      </w:r>
      <w:r w:rsidR="00016B3D">
        <w:t xml:space="preserve">gaat er </w:t>
      </w:r>
      <w:r>
        <w:t xml:space="preserve">voor alle AMDMS in </w:t>
      </w:r>
      <w:r>
        <w:t xml:space="preserve">het platformgedeelte </w:t>
      </w:r>
      <w:r>
        <w:t xml:space="preserve">onvoorwaardelijk </w:t>
      </w:r>
      <w:r w:rsidR="00016B3D">
        <w:t xml:space="preserve">van uit dat </w:t>
      </w:r>
      <w:r>
        <w:t xml:space="preserve">dit risico </w:t>
      </w:r>
      <w:r w:rsidR="00016B3D">
        <w:t xml:space="preserve">bestaat</w:t>
      </w:r>
      <w:r>
        <w:t xml:space="preserve">.</w:t>
      </w:r>
      <w:r>
        <w:lastRenderedPageBreak/>
      </w:r>
      <w:r>
        <w:t xml:space="preserve"> Bij het uitvoeren van de beoordeling moet het platform het advies van de werknemers en hun vertegenwoordigers inwinnen</w:t>
      </w:r>
      <w:r w:rsidR="000B201C">
        <w:t xml:space="preserve">; </w:t>
      </w:r>
      <w:r>
        <w:t xml:space="preserve">de definitieve DPIA wordt aan de werknemersvertegenwoordigers verstrekt.</w:t>
      </w:r>
      <w:r>
        <w:rPr>
          <w:rStyle w:val="Sprotnaopomba-sklic"/>
        </w:rPr>
        <w:footnoteReference w:id="5"/>
      </w:r>
    </w:p>
    <w:p w:rsidR="000B201C" w:rsidP="00750824" w:rsidRDefault="000B201C" w14:paraId="1D4292FF" w14:textId="77777777">
      <w:pPr>
        <w:jc w:val="both"/>
      </w:pPr>
    </w:p>
    <w:p w:rsidR="00983F19" w:rsidP="00750824" w:rsidRDefault="00000000" w14:paraId="64B7C432" w14:textId="19EE4701">
      <w:pPr>
        <w:jc w:val="both"/>
      </w:pPr>
      <w:r>
        <w:t xml:space="preserve">Artikel 9 regelt de transparantie van algoritmen. Het platform moet werknemers en hun vertegenwoordigers proactief, zonder dat zij daarom hoeven te vragen, informatie verstrekken over elk controle- en beslissingssysteem: welke gegevens worden verzameld, hoe het werkt, wat de belangrijkste parameters zijn en hoe deze de beslissingen beïnvloeden, en op welke gronden een account kan worden beperkt of beëindigd. </w:t>
      </w:r>
      <w:r w:rsidR="00DF6109">
        <w:t xml:space="preserve">De richtlijn vereist duidelijkheid en toegankelijkheid, daarom moet deze </w:t>
      </w:r>
      <w:r>
        <w:t xml:space="preserve">informatie </w:t>
      </w:r>
      <w:r w:rsidR="00DF6109">
        <w:t xml:space="preserve">worden </w:t>
      </w:r>
      <w:r w:rsidR="00DF6109">
        <w:t xml:space="preserve">verstrekt </w:t>
      </w:r>
      <w:r>
        <w:t xml:space="preserve">in een taal die voor werknemers begrijpelijk is</w:t>
      </w:r>
      <w:r w:rsidR="00016B3D">
        <w:t xml:space="preserve">.</w:t>
      </w:r>
      <w:r>
        <w:t xml:space="preserve"> Artikel 9, lid 6, introduceert het recht op gegevensoverdraagbaarheid (</w:t>
      </w:r>
      <w:r>
        <w:t xml:space="preserve">„data </w:t>
      </w:r>
      <w:r w:rsidR="00DF6109">
        <w:t xml:space="preserve">portability”</w:t>
      </w:r>
      <w:r>
        <w:t xml:space="preserve">): de werknemer heeft het recht </w:t>
      </w:r>
      <w:r>
        <w:t xml:space="preserve">om alle gegevens die tijdens de uitvoering van het werk zijn ontstaan </w:t>
      </w:r>
      <w:r w:rsidR="00D7386B">
        <w:t xml:space="preserve">– </w:t>
      </w:r>
      <w:r>
        <w:t xml:space="preserve">inclusief beoordelingen en meningen </w:t>
      </w:r>
      <w:r w:rsidR="00D7386B">
        <w:t xml:space="preserve">– </w:t>
      </w:r>
      <w:r>
        <w:t xml:space="preserve">in een machinaal leesbare vorm </w:t>
      </w:r>
      <w:r>
        <w:t xml:space="preserve">te verkrijgen </w:t>
      </w:r>
      <w:r>
        <w:t xml:space="preserve">en deze elders op te slaan</w:t>
      </w:r>
      <w:r w:rsidR="00DF6109">
        <w:t xml:space="preserve">.</w:t>
      </w:r>
    </w:p>
    <w:p w:rsidR="00D90A18" w:rsidP="00750824" w:rsidRDefault="00D90A18" w14:paraId="78EEAB8B" w14:textId="77777777">
      <w:pPr>
        <w:jc w:val="both"/>
      </w:pPr>
    </w:p>
    <w:p w:rsidR="00983F19" w:rsidP="00750824" w:rsidRDefault="00000000" w14:paraId="7737FD96" w14:textId="7F3714C6">
      <w:pPr>
        <w:jc w:val="both"/>
      </w:pPr>
      <w:r>
        <w:t xml:space="preserve">Artikel 10 stelt een kader vast voor voortdurend menselijk toezicht op geautomatiseerde beslissingen. Het platform moet continu </w:t>
      </w:r>
      <w:r w:rsidR="00D7386B">
        <w:t xml:space="preserve">– </w:t>
      </w:r>
      <w:r>
        <w:t xml:space="preserve">en niet slechts periodiek </w:t>
      </w:r>
      <w:r w:rsidR="00D7386B">
        <w:t xml:space="preserve">– </w:t>
      </w:r>
      <w:r>
        <w:t xml:space="preserve">toezicht houden op de gevolgen van individuele AMDMS-beslissingen voor werknemers. Om de twee jaar moet het een formele evaluatie uitvoeren. De personen die binnen het platform toezicht uitoefenen, moeten over de nodige kwalificaties, bevoegdheden en </w:t>
      </w:r>
      <w:r w:rsidR="00DF6109">
        <w:t xml:space="preserve">autoriteit</w:t>
      </w:r>
      <w:r>
        <w:t xml:space="preserve"> beschikken </w:t>
      </w:r>
      <w:r>
        <w:t xml:space="preserve">om een geautomatiseerde beslissing ongedaan te maken. Een cruciale bepaling </w:t>
      </w:r>
      <w:r w:rsidR="00016B3D">
        <w:t xml:space="preserve">is </w:t>
      </w:r>
      <w:r w:rsidR="00DF6109">
        <w:t xml:space="preserve">dat het platform </w:t>
      </w:r>
      <w:r>
        <w:t xml:space="preserve">deze personen niet mag ontslaan of sanctioneren vanwege het uitoefenen van hun toezichthoudende functie (artikel 10, lid 2). Elk besluit tot beperking, opschorting of sluiting van een account moet door een mens worden genomen</w:t>
      </w:r>
      <w:r w:rsidR="00DF6109">
        <w:t xml:space="preserve">, </w:t>
      </w:r>
      <w:r>
        <w:t xml:space="preserve">niet </w:t>
      </w:r>
      <w:r>
        <w:t xml:space="preserve">door </w:t>
      </w:r>
      <w:r w:rsidR="00DF6109">
        <w:t xml:space="preserve">een algoritme </w:t>
      </w:r>
      <w:r>
        <w:t xml:space="preserve">(artikel 10, lid 5).</w:t>
      </w:r>
    </w:p>
    <w:p w:rsidR="00D90A18" w:rsidP="00750824" w:rsidRDefault="00D90A18" w14:paraId="3A085AB4" w14:textId="77777777">
      <w:pPr>
        <w:jc w:val="both"/>
      </w:pPr>
    </w:p>
    <w:p w:rsidR="00983F19" w:rsidP="00750824" w:rsidRDefault="00000000" w14:paraId="6D8C84ED" w14:textId="0FC24A03">
      <w:pPr>
        <w:jc w:val="both"/>
      </w:pPr>
      <w:r>
        <w:t xml:space="preserve">Artikel 11 regelt het recht op menselijke toetsing van individuele geautomatiseerde beslissingen. De werknemer heeft recht op een toelichting op elke beslissing die door een ADMS is genomen of ondersteund. Bij ernstigere beslissingen </w:t>
      </w:r>
      <w:r w:rsidR="00D7386B">
        <w:t xml:space="preserve">– </w:t>
      </w:r>
      <w:r>
        <w:t xml:space="preserve">beperking van de account, weigering van betaling, beëindiging van de contractuele relatie </w:t>
      </w:r>
      <w:r w:rsidR="00D7386B">
        <w:t xml:space="preserve">– </w:t>
      </w:r>
      <w:r>
        <w:t xml:space="preserve">is het platform verplicht om, zonder dat daar om wordt gevraagd en uiterlijk op de dag </w:t>
      </w:r>
      <w:r w:rsidR="00DF6109">
        <w:t xml:space="preserve">waarop </w:t>
      </w:r>
      <w:r w:rsidR="00DF6109">
        <w:t xml:space="preserve">de beslissing van kracht wordt, </w:t>
      </w:r>
      <w:r>
        <w:t xml:space="preserve">een schriftelijke motivering </w:t>
      </w:r>
      <w:r w:rsidR="00DF6109">
        <w:t xml:space="preserve">van de beslissing </w:t>
      </w:r>
      <w:r>
        <w:t xml:space="preserve">te verstrekken</w:t>
      </w:r>
      <w:r>
        <w:t xml:space="preserve">. De werknemer heeft vervolgens het recht om inzage te vragen</w:t>
      </w:r>
      <w:r w:rsidR="00DF6109">
        <w:t xml:space="preserve">, </w:t>
      </w:r>
      <w:r w:rsidR="00DF6109">
        <w:t xml:space="preserve">en</w:t>
      </w:r>
      <w:r>
        <w:t xml:space="preserve"> het platform </w:t>
      </w:r>
      <w:r>
        <w:t xml:space="preserve">moet binnen twee weken reageren met een inhoudelijk onderbouwd schriftelijk antwoord. Wanneer een beslissing in strijd is met de rechten van de werknemer, moet het platform deze binnen twee weken corrigeren of</w:t>
      </w:r>
      <w:r w:rsidR="005B4341">
        <w:t xml:space="preserve">, </w:t>
      </w:r>
      <w:r>
        <w:t xml:space="preserve">indien dit niet mogelijk is</w:t>
      </w:r>
      <w:r w:rsidR="005B4341">
        <w:t xml:space="preserve">, </w:t>
      </w:r>
      <w:r>
        <w:t xml:space="preserve">schadevergoeding betalen.</w:t>
      </w:r>
    </w:p>
    <w:p w:rsidR="00983F19" w:rsidP="00750824" w:rsidRDefault="00000000" w14:paraId="42D47A9F" w14:textId="77777777">
      <w:pPr>
        <w:pStyle w:val="Naslov2"/>
        <w:jc w:val="both"/>
      </w:pPr>
      <w:bookmarkStart w:name="_Toc233699494" w:id="42"/>
      <w:bookmarkStart w:name="ugotovitve-iz-prakse-2" w:id="43"/>
      <w:bookmarkEnd w:id="41"/>
      <w:r>
        <w:t xml:space="preserve">5.2 Bevindingen uit de praktijk</w:t>
      </w:r>
      <w:bookmarkEnd w:id="42"/>
    </w:p>
    <w:p w:rsidR="00983F19" w:rsidP="00750824" w:rsidRDefault="00000000" w14:paraId="6C710FC8" w14:textId="2F7F05D7">
      <w:pPr>
        <w:jc w:val="both"/>
      </w:pPr>
      <w:r>
        <w:t xml:space="preserve">De Oostenrijkse ervaring illustreert de kernconflict die de richtlijn tracht op te lossen: de Oostenrijkse cao voor bezorgers (</w:t>
      </w:r>
      <w:r w:rsidR="005B4341">
        <w:t xml:space="preserve">oorspronkelijk gesloten in 2020, </w:t>
      </w:r>
      <w:r>
        <w:t xml:space="preserve">verlengd voor de periode 2023–2025) heeft weliswaar </w:t>
      </w:r>
      <w:r w:rsidR="005B4341">
        <w:t xml:space="preserve">de kwesties </w:t>
      </w:r>
      <w:r>
        <w:t xml:space="preserve">rond lonen, </w:t>
      </w:r>
      <w:r w:rsidR="005B4341">
        <w:t xml:space="preserve">werktijden </w:t>
      </w:r>
      <w:r>
        <w:t xml:space="preserve">en </w:t>
      </w:r>
      <w:r w:rsidR="005B4341">
        <w:t xml:space="preserve">veiligheid </w:t>
      </w:r>
      <w:r>
        <w:t xml:space="preserve">geregeld</w:t>
      </w:r>
      <w:r>
        <w:t xml:space="preserve">, maar gaat niet in op algoritmisch beheer. </w:t>
      </w:r>
      <w:r w:rsidR="005B4341">
        <w:t xml:space="preserve">De platforms beseffen </w:t>
      </w:r>
      <w:r>
        <w:t xml:space="preserve">dat algoritmische controle hun </w:t>
      </w:r>
      <w:r w:rsidR="005B4341">
        <w:t xml:space="preserve">belangrijkste </w:t>
      </w:r>
      <w:r>
        <w:t xml:space="preserve">machtsmiddel </w:t>
      </w:r>
      <w:r>
        <w:t xml:space="preserve">is </w:t>
      </w:r>
      <w:r w:rsidR="00D7386B">
        <w:t xml:space="preserve">– </w:t>
      </w:r>
      <w:r>
        <w:t xml:space="preserve">en juist </w:t>
      </w:r>
      <w:r>
        <w:t xml:space="preserve">daarover </w:t>
      </w:r>
      <w:r>
        <w:t xml:space="preserve">zijn</w:t>
      </w:r>
      <w:r w:rsidR="005B4341">
        <w:t xml:space="preserve"> ze </w:t>
      </w:r>
      <w:r>
        <w:t xml:space="preserve">niet bereid te onderhandelen. Het begrip </w:t>
      </w:r>
      <w:r>
        <w:t xml:space="preserve">‘digitaal </w:t>
      </w:r>
      <w:r w:rsidR="005B4341">
        <w:t xml:space="preserve">taylorisme’ </w:t>
      </w:r>
      <w:r>
        <w:t xml:space="preserve">beschrijft hoe systemen, zoals de prestatiebeoordeling bij </w:t>
      </w:r>
      <w:r>
        <w:t xml:space="preserve">Foodora</w:t>
      </w:r>
      <w:r>
        <w:t xml:space="preserve">, </w:t>
      </w:r>
      <w:r w:rsidR="005B4341">
        <w:t xml:space="preserve">het werk </w:t>
      </w:r>
      <w:r>
        <w:t xml:space="preserve">opsplitsen in meetbare eenheden en op basis van deze gegevens automatisch ontslag in gang zetten (het zogenaamde </w:t>
      </w:r>
      <w:r w:rsidR="005B4341">
        <w:t xml:space="preserve">‘robo-firing’</w:t>
      </w:r>
      <w:r>
        <w:t xml:space="preserve">).</w:t>
      </w:r>
    </w:p>
    <w:p w:rsidR="00D90A18" w:rsidP="00750824" w:rsidRDefault="00D90A18" w14:paraId="48776CAF" w14:textId="77777777">
      <w:pPr>
        <w:jc w:val="both"/>
      </w:pPr>
    </w:p>
    <w:p w:rsidR="00983F19" w:rsidP="00750824" w:rsidRDefault="00000000" w14:paraId="28914753" w14:textId="080C5C8B">
      <w:pPr>
        <w:jc w:val="both"/>
      </w:pPr>
      <w:r>
        <w:t xml:space="preserve">Het rapport van de deskundigengroep van de Europese Commissie documenteert het cruciale probleem van de dubbele bevoegdheid</w:t>
      </w:r>
      <w:r w:rsidR="005B4341">
        <w:t xml:space="preserve">: </w:t>
      </w:r>
      <w:r>
        <w:t xml:space="preserve">gegevensbescherming bij </w:t>
      </w:r>
      <w:r>
        <w:t xml:space="preserve">platformwerk valt zowel onder de bevoegdheid van de gegevensbeschermingsautoriteiten (DPA’s) als van de arbeidsinspecties, maar deze twee instellingen </w:t>
      </w:r>
      <w:r>
        <w:t xml:space="preserve">werken </w:t>
      </w:r>
      <w:r>
        <w:t xml:space="preserve">in de regel niet</w:t>
      </w:r>
      <w:r>
        <w:lastRenderedPageBreak/>
      </w:r>
      <w:r>
        <w:t xml:space="preserve"> samen. In de praktijk betekent dit dat een werknemer wiens locatie door het platform buiten de werktijd wordt geregistreerd, niet weet of hij een klacht moet indienen bij de gegevensbeschermingsautoriteit of bij de arbeidsinspectie</w:t>
      </w:r>
      <w:r w:rsidR="005B4341">
        <w:t xml:space="preserve">, </w:t>
      </w:r>
      <w:r w:rsidR="005B4341">
        <w:t xml:space="preserve">terwijl </w:t>
      </w:r>
      <w:r w:rsidR="005B4341">
        <w:t xml:space="preserve">beide </w:t>
      </w:r>
      <w:r>
        <w:t xml:space="preserve">instanties </w:t>
      </w:r>
      <w:r>
        <w:t xml:space="preserve">waarschijnlijk van mening zijn dat dit onder de bevoegdheid van de ander valt.</w:t>
      </w:r>
    </w:p>
    <w:p w:rsidR="00D90A18" w:rsidP="00750824" w:rsidRDefault="00D90A18" w14:paraId="6869F525" w14:textId="77777777">
      <w:pPr>
        <w:jc w:val="both"/>
      </w:pPr>
    </w:p>
    <w:p w:rsidR="00983F19" w:rsidP="00750824" w:rsidRDefault="00000000" w14:paraId="43EE7CE9" w14:textId="5D46ECC7">
      <w:pPr>
        <w:jc w:val="both"/>
      </w:pPr>
      <w:r>
        <w:t xml:space="preserve">De ZSSS heeft in haar richtsnoeren voor de implementatie van de richtlijn (april 2025) voorgesteld om de Gegevensbeschermingsautoriteit van de Republiek Slovenië te betrekken bij de invoering van elk geautomatiseerd systeem op de werkplek </w:t>
      </w:r>
      <w:r w:rsidR="00D7386B">
        <w:t xml:space="preserve">– </w:t>
      </w:r>
      <w:r>
        <w:t xml:space="preserve">niet alleen als instantie die optreedt na een inbreuk, maar ook als preventieve gesprekspartner van de sociale partners. Dit is een goede praktijk die naar alle lidstaten zou moeten worden uitgebreid: de gegevensbeschermingsautoriteit als structurele speler in de sociale dialoog over algoritmisch beheer, en niet alleen als reactieve toezichthouder.</w:t>
      </w:r>
    </w:p>
    <w:p w:rsidR="00D90A18" w:rsidP="00750824" w:rsidRDefault="00D90A18" w14:paraId="2F3AC2C6" w14:textId="77777777">
      <w:pPr>
        <w:jc w:val="both"/>
      </w:pPr>
    </w:p>
    <w:p w:rsidR="00983F19" w:rsidP="00750824" w:rsidRDefault="00000000" w14:paraId="7C4EEE62" w14:textId="1CC77400">
      <w:pPr>
        <w:jc w:val="both"/>
      </w:pPr>
      <w:r>
        <w:t xml:space="preserve">Tijdens de conferentie van het SDDP-project in Ljubljana in mei 2025 bevestigden vertegenwoordigers van alle partnerlanden een gezamenlijke conclusie: het recht op uitleg van algoritmische beslissingen bestaat op papier, maar is in de praktijk inhoudsloos. Werknemers krijgen algemene toelichtingen die de feitelijke parameters niet onthullen, en de persoon die verantwoordelijk is voor de toetsing is vaak niet gekwalificeerd om een inhoudelijke beoordeling te maken</w:t>
      </w:r>
      <w:r w:rsidR="00FF3A12">
        <w:t xml:space="preserve">; </w:t>
      </w:r>
      <w:r>
        <w:t xml:space="preserve">haar antwoord bevestigt slechts de beslissing van het algoritme. Artikel 11 van de richtlijn gaat hier expliciet op in, maar de uitvoering moet nauwkeurig zijn: er moet een inhoudelijke toetsing worden geëist, niet alleen een formele.</w:t>
      </w:r>
    </w:p>
    <w:p w:rsidR="00D90A18" w:rsidP="00750824" w:rsidRDefault="00D90A18" w14:paraId="7B1C183D" w14:textId="77777777">
      <w:pPr>
        <w:jc w:val="both"/>
      </w:pPr>
    </w:p>
    <w:p w:rsidR="00983F19" w:rsidP="00750824" w:rsidRDefault="00000000" w14:paraId="7FDAD910" w14:textId="391B9782">
      <w:pPr>
        <w:jc w:val="both"/>
      </w:pPr>
      <w:r>
        <w:t xml:space="preserve">Met name in de context van vakbondsorganisatie werd de verbodsbepaling uit artikel 7, lid 1, onder d), benadrukt: platforms zouden namelijk door analyse van gedragspatronen van werknemers </w:t>
      </w:r>
      <w:r w:rsidR="00D7386B">
        <w:t xml:space="preserve">– </w:t>
      </w:r>
      <w:r>
        <w:t xml:space="preserve">bijvoorbeeld welke werknemers op bepaalde tijdstippen opdrachten weigeren, welke onderling contact hebben </w:t>
      </w:r>
      <w:r w:rsidR="00D7386B">
        <w:t xml:space="preserve">– </w:t>
      </w:r>
      <w:r>
        <w:t xml:space="preserve">vakbondsactiviteiten kunnen voorspellen. De richtlijn verbiedt dit. De toestemming van de werknemer kan dit verbod niet tenietdoen.</w:t>
      </w:r>
    </w:p>
    <w:p w:rsidR="00983F19" w:rsidP="00750824" w:rsidRDefault="00000000" w14:paraId="09C6333A" w14:textId="77777777">
      <w:pPr>
        <w:pStyle w:val="Naslov2"/>
        <w:jc w:val="both"/>
      </w:pPr>
      <w:bookmarkStart w:name="_Toc233699495" w:id="44"/>
      <w:bookmarkStart w:name="priporočila-2" w:id="45"/>
      <w:bookmarkEnd w:id="43"/>
      <w:r>
        <w:t xml:space="preserve">5.3 Aanbevelingen</w:t>
      </w:r>
      <w:bookmarkEnd w:id="44"/>
    </w:p>
    <w:p w:rsidR="00983F19" w:rsidP="00750824" w:rsidRDefault="00000000" w14:paraId="13A7E7A7" w14:textId="7AB1A20A">
      <w:pPr>
        <w:jc w:val="both"/>
      </w:pPr>
      <w:r>
        <w:t xml:space="preserve">De volgende aanbevelingen zijn gericht aan de ministeries van Arbeid en de autoriteiten voor de bescherming </w:t>
      </w:r>
      <w:r>
        <w:t xml:space="preserve">van persoonsgegevens van de EU-lidstaten.</w:t>
      </w:r>
    </w:p>
    <w:p w:rsidR="00983F19" w:rsidP="00750824" w:rsidRDefault="00000000" w14:paraId="2B6EB242" w14:textId="77777777">
      <w:pPr>
        <w:pStyle w:val="Naslov3"/>
        <w:jc w:val="both"/>
      </w:pPr>
      <w:r>
        <w:t xml:space="preserve">Aanbeveling 5.1 [RICHTLIJN]: De absolute verboden van artikel 7 moeten zonder uitzonderingen en zonder toestemming worden omgezet</w:t>
      </w:r>
    </w:p>
    <w:p w:rsidR="00983F19" w:rsidP="00750824" w:rsidRDefault="00000000" w14:paraId="50B9577B" w14:textId="1DAB2F37">
      <w:pPr>
        <w:jc w:val="both"/>
      </w:pPr>
      <w:r>
        <w:t xml:space="preserve">Nationale wetten moeten de verboden uit artikel 7 als onvoorwaardelijk omzetten </w:t>
      </w:r>
      <w:r w:rsidR="00D7386B">
        <w:t xml:space="preserve">– </w:t>
      </w:r>
      <w:r>
        <w:t xml:space="preserve">zonder de mogelijkheid dat het platform </w:t>
      </w:r>
      <w:r>
        <w:t xml:space="preserve">een van deze verboden omzeilt door middel van toestemming van de werknemer. De wet moet uitdrukkelijk bepalen dat toestemming geen geldige rechtsgrondslag vormt voor verboden </w:t>
      </w:r>
      <w:r w:rsidR="008A7718">
        <w:t xml:space="preserve">gegevensverwerking </w:t>
      </w:r>
      <w:r>
        <w:t xml:space="preserve">bij </w:t>
      </w:r>
      <w:r>
        <w:t xml:space="preserve">platformwerk. Wij bevelen aan dat de wet concrete voorbeelden van verboden handelingen bevat: het verzamelen van locatiegegevens tijdens pauzes, het analyseren van communicatie tussen werknemers met het oog op het opsporen van vakbondsactiviteiten, en het trekken van conclusies over de gezondheidstoestand op basis van gedragspatronen. De bevoegde autoriteiten moeten de bevoegdheid krijgen om verboden proactief te handhaven, en niet pas na een klacht.</w:t>
      </w:r>
    </w:p>
    <w:p w:rsidR="00D90A18" w:rsidP="00750824" w:rsidRDefault="00D90A18" w14:paraId="715DEACA" w14:textId="77777777">
      <w:pPr>
        <w:jc w:val="both"/>
      </w:pPr>
    </w:p>
    <w:p w:rsidR="00983F19" w:rsidP="00750824" w:rsidRDefault="00000000" w14:paraId="3B0530CF" w14:textId="1FE95661">
      <w:pPr>
        <w:pStyle w:val="Blokbesedila"/>
      </w:pPr>
      <w:r>
        <w:t xml:space="preserve">Achtergrond: De deskundigengroep van de Europese Commissie heeft bevestigd dat toestemming bij </w:t>
      </w:r>
      <w:r>
        <w:t xml:space="preserve">platformwerk niet vrijwillig is, omdat </w:t>
      </w:r>
      <w:r>
        <w:t xml:space="preserve">de werknemer</w:t>
      </w:r>
      <w:r w:rsidR="008A7718">
        <w:t xml:space="preserve"> deze </w:t>
      </w:r>
      <w:r>
        <w:t xml:space="preserve">niet kan </w:t>
      </w:r>
      <w:r w:rsidR="008A7718">
        <w:t xml:space="preserve">weigeren </w:t>
      </w:r>
      <w:r>
        <w:t xml:space="preserve">zonder het risico te </w:t>
      </w:r>
      <w:r w:rsidR="008A7718">
        <w:t xml:space="preserve">lopen zijn baan te verliezen</w:t>
      </w:r>
      <w:r>
        <w:t xml:space="preserve">. De verboden uit artikel 7 zijn daarom absoluut </w:t>
      </w:r>
      <w:r w:rsidR="008A7718">
        <w:t xml:space="preserve">en </w:t>
      </w:r>
      <w:r>
        <w:t xml:space="preserve">dit moet duidelijk in de wet worden vastgelegd, niet alleen worden overgenomen uit de richtlijn.</w:t>
      </w:r>
    </w:p>
    <w:p w:rsidR="00983F19" w:rsidP="00750824" w:rsidRDefault="00000000" w14:paraId="512E3E8E" w14:textId="55A382E1">
      <w:pPr>
        <w:pStyle w:val="Naslov3"/>
        <w:jc w:val="both"/>
      </w:pPr>
      <w:r>
        <w:t xml:space="preserve">Aanbeveling 5.2 [RICHTLIJN]: DPIA als voorwaarde voor de invoering </w:t>
      </w:r>
      <w:r>
        <w:t xml:space="preserve">van</w:t>
      </w:r>
      <w:r>
        <w:t xml:space="preserve"> elk AMDMS </w:t>
      </w:r>
      <w:r w:rsidR="00D7386B">
        <w:t xml:space="preserve">– </w:t>
      </w:r>
      <w:r>
        <w:t xml:space="preserve">inclusief bestaande systemen</w:t>
      </w:r>
    </w:p>
    <w:p w:rsidR="00983F19" w:rsidP="00750824" w:rsidRDefault="00000000" w14:paraId="7622A0C1" w14:textId="5A90BF6D">
      <w:pPr>
        <w:jc w:val="both"/>
      </w:pPr>
      <w:r>
        <w:lastRenderedPageBreak/>
      </w:r>
      <w:r>
        <w:t xml:space="preserve">De ministeries moeten in </w:t>
      </w:r>
      <w:r w:rsidR="008A7718">
        <w:t xml:space="preserve">de wet ter omzetting van de richtlijn </w:t>
      </w:r>
      <w:r>
        <w:t xml:space="preserve">vastleggen dat een gegevensbeschermingseffectbeoordeling (DPIA) verplicht is vóór elke invoering van een nieuw AMDMS en voor alle bestaande systemen die het platform al gebruikt op het moment dat de wet in werking treedt. De termijn voor het uitvoeren van de beoordeling voor bestaande systemen mag niet langer zijn dan zes maanden na de inwerkingtreding van de wet. Vertegenwoordigers van de werknemers moeten worden betrokken bij de opstelling van de beoordeling</w:t>
      </w:r>
      <w:r w:rsidR="008A7718">
        <w:t xml:space="preserve">, </w:t>
      </w:r>
      <w:r>
        <w:t xml:space="preserve">en niet alleen op de hoogte worden gesteld van het bestaan ervan. De definitieve DPIA wordt hen zonder verzoek toegezonden.</w:t>
      </w:r>
    </w:p>
    <w:p w:rsidR="008A7718" w:rsidP="00750824" w:rsidRDefault="008A7718" w14:paraId="76FB34EE" w14:textId="77777777">
      <w:pPr>
        <w:jc w:val="both"/>
      </w:pPr>
    </w:p>
    <w:p w:rsidR="00983F19" w:rsidP="00750824" w:rsidRDefault="00000000" w14:paraId="297DFDC8" w14:textId="335EB246">
      <w:pPr>
        <w:pStyle w:val="Blokbesedila"/>
      </w:pPr>
      <w:r>
        <w:t xml:space="preserve">Achtergrond: Artikel 8 is strenger dan artikel 35 van de AVG: de richtlijn </w:t>
      </w:r>
      <w:r w:rsidR="00016B3D">
        <w:t xml:space="preserve">gaat </w:t>
      </w:r>
      <w:r>
        <w:t xml:space="preserve">onvoorwaardelijk </w:t>
      </w:r>
      <w:r w:rsidR="00016B3D">
        <w:t xml:space="preserve">uit van </w:t>
      </w:r>
      <w:r>
        <w:t xml:space="preserve">het </w:t>
      </w:r>
      <w:r w:rsidR="00016B3D">
        <w:t xml:space="preserve">bestaan </w:t>
      </w:r>
      <w:r>
        <w:t xml:space="preserve">van risico’s </w:t>
      </w:r>
      <w:r w:rsidR="008A7718">
        <w:t xml:space="preserve">bij </w:t>
      </w:r>
      <w:r w:rsidR="008A7718">
        <w:t xml:space="preserve">platformwerk</w:t>
      </w:r>
      <w:r>
        <w:t xml:space="preserve">. Dit betekent dat de beoordeling niet kan worden vervangen door het algemene gegevensbeschermingsbeleid van de onderneming. Overleg met werknemers tijdens de opstelling van de DPIA is een voorwaarde die door nationale wetgeving moet worden uitgewerkt.</w:t>
      </w:r>
    </w:p>
    <w:p w:rsidR="00983F19" w:rsidP="00750824" w:rsidRDefault="00000000" w14:paraId="617DAA43" w14:textId="1A3BD556">
      <w:pPr>
        <w:pStyle w:val="Naslov3"/>
        <w:jc w:val="both"/>
      </w:pPr>
      <w:r>
        <w:t xml:space="preserve">Aanbeveling 5.3 [RICHTLIJN]: Overdraagbaarheid van beoordelingen en meningen als </w:t>
      </w:r>
      <w:r w:rsidR="008A7718">
        <w:t xml:space="preserve">'eigendom'</w:t>
      </w:r>
      <w:r>
        <w:t xml:space="preserve"> van de werknemer</w:t>
      </w:r>
    </w:p>
    <w:p w:rsidR="00983F19" w:rsidP="00750824" w:rsidRDefault="00000000" w14:paraId="2CF9A68E" w14:textId="52E9E76B">
      <w:pPr>
        <w:jc w:val="both"/>
      </w:pPr>
      <w:r>
        <w:t xml:space="preserve">De wet moet uitdrukkelijk bepalen dat </w:t>
      </w:r>
      <w:r>
        <w:t xml:space="preserve">beoordelingen en meningen die tijdens </w:t>
      </w:r>
      <w:r>
        <w:t xml:space="preserve">het</w:t>
      </w:r>
      <w:r>
        <w:t xml:space="preserve"> verrichten </w:t>
      </w:r>
      <w:r>
        <w:t xml:space="preserve">van platformwerk</w:t>
      </w:r>
      <w:r>
        <w:t xml:space="preserve"> zijn verzameld</w:t>
      </w:r>
      <w:r>
        <w:t xml:space="preserve">, persoonsgegevens van de werknemer </w:t>
      </w:r>
      <w:r w:rsidR="008A7718">
        <w:t xml:space="preserve">zijn </w:t>
      </w:r>
      <w:r>
        <w:t xml:space="preserve">en onder het recht op overdraagbaarheid vallen overeenkomstig artikel 9, lid 6, van de richtlijn. Het platform moet gratis tools ter beschikking stellen voor de overdracht in een machinaal leesbaar formaat. De werknemer moet de mogelijkheid hebben om de gegevens over te dragen naar een ander platform of deze in te dienen in het kader van een procedure ter vaststelling van de arbeidsstatus. De wet moet verbieden dat het platform beoordelingen </w:t>
      </w:r>
      <w:r>
        <w:t xml:space="preserve">verwijdert of verbergt </w:t>
      </w:r>
      <w:r>
        <w:t xml:space="preserve">wanneer de werknemer </w:t>
      </w:r>
      <w:r w:rsidR="008A7718">
        <w:t xml:space="preserve">het platform </w:t>
      </w:r>
      <w:r>
        <w:t xml:space="preserve">verlaat</w:t>
      </w:r>
      <w:r>
        <w:t xml:space="preserve">.</w:t>
      </w:r>
    </w:p>
    <w:p w:rsidR="008A7718" w:rsidP="00750824" w:rsidRDefault="008A7718" w14:paraId="397723AE" w14:textId="77777777">
      <w:pPr>
        <w:jc w:val="both"/>
      </w:pPr>
    </w:p>
    <w:p w:rsidR="00983F19" w:rsidP="00750824" w:rsidRDefault="00000000" w14:paraId="007763BE" w14:textId="1BC413FF">
      <w:pPr>
        <w:jc w:val="both"/>
      </w:pPr>
      <w:r>
        <w:t xml:space="preserve">De deskundigengroep van de Europese Commissie heeft </w:t>
      </w:r>
      <w:r w:rsidR="008A7718">
        <w:t xml:space="preserve">eveneens </w:t>
      </w:r>
      <w:r>
        <w:t xml:space="preserve">bevestigd </w:t>
      </w:r>
      <w:r w:rsidR="008A7718">
        <w:t xml:space="preserve">dat </w:t>
      </w:r>
      <w:r>
        <w:t xml:space="preserve">de werknemer het recht </w:t>
      </w:r>
      <w:r w:rsidR="008A7718">
        <w:t xml:space="preserve">heeft </w:t>
      </w:r>
      <w:r>
        <w:t xml:space="preserve">om te bepalen welke categorieën gegevens </w:t>
      </w:r>
      <w:r w:rsidR="008A7718">
        <w:t xml:space="preserve">worden </w:t>
      </w:r>
      <w:r w:rsidR="008A7718">
        <w:t xml:space="preserve">overgedragen</w:t>
      </w:r>
      <w:r>
        <w:t xml:space="preserve">, maar dat hij geen keuze binnen een categorie kan eisen.</w:t>
      </w:r>
    </w:p>
    <w:p w:rsidR="00D90A18" w:rsidP="00750824" w:rsidRDefault="00D90A18" w14:paraId="7F3A0E71" w14:textId="77777777">
      <w:pPr>
        <w:jc w:val="both"/>
      </w:pPr>
    </w:p>
    <w:p w:rsidR="00983F19" w:rsidP="00750824" w:rsidRDefault="00000000" w14:paraId="7148FB83" w14:textId="047411A6">
      <w:pPr>
        <w:pStyle w:val="Naslov3"/>
        <w:jc w:val="both"/>
      </w:pPr>
      <w:r>
        <w:t xml:space="preserve">Aanbeveling 5.4 [RICHTLIJN]: Voortdurend menselijk toezicht en daadwerkelijke controle </w:t>
      </w:r>
      <w:r w:rsidR="00D7386B">
        <w:t xml:space="preserve">– </w:t>
      </w:r>
      <w:r>
        <w:t xml:space="preserve">niet louter formeel</w:t>
      </w:r>
    </w:p>
    <w:p w:rsidR="00983F19" w:rsidP="00750824" w:rsidRDefault="00000000" w14:paraId="17E5BCB7" w14:textId="1F384C38">
      <w:pPr>
        <w:jc w:val="both"/>
      </w:pPr>
      <w:r>
        <w:t xml:space="preserve">De wet moet bepalen dat het toezicht overeenkomstig artikel 10 continu is</w:t>
      </w:r>
      <w:r w:rsidR="00E872A3">
        <w:t xml:space="preserve">, </w:t>
      </w:r>
      <w:r>
        <w:t xml:space="preserve">en niet slechts een periodieke controle om de twee jaar. Het platform moet concrete personen aanwijzen die verantwoordelijk zijn voor het toezicht, met duidelijk omschreven bevoegdheden, waaronder het recht om een geautomatiseerde beslissing ongedaan te maken. Deze personen mogen niet worden ontslagen of gestraft vanwege de uitoefening van hun toezichthoudende functie </w:t>
      </w:r>
      <w:r w:rsidR="00D7386B">
        <w:t xml:space="preserve">– </w:t>
      </w:r>
      <w:r>
        <w:t xml:space="preserve">de wet moet </w:t>
      </w:r>
      <w:r w:rsidR="00E872A3">
        <w:t xml:space="preserve">dit </w:t>
      </w:r>
      <w:r>
        <w:t xml:space="preserve">uitdrukkelijk</w:t>
      </w:r>
      <w:r w:rsidR="00E872A3">
        <w:t xml:space="preserve"> vastleggen</w:t>
      </w:r>
      <w:r>
        <w:t xml:space="preserve">, samen met de juridische gevolgen voor het platform dat hiertegen in strijd handelt. Wij bevelen aan dat het platform de vakbonden telkens op de hoogte stelt van de toezichtbevindingen wanneer het een schending van rechten constateert</w:t>
      </w:r>
      <w:r w:rsidR="00E872A3">
        <w:t xml:space="preserve">, </w:t>
      </w:r>
      <w:r>
        <w:t xml:space="preserve">en niet alleen in het kader van het tweejaarlijkse verslag.</w:t>
      </w:r>
    </w:p>
    <w:p w:rsidR="00E872A3" w:rsidP="00750824" w:rsidRDefault="00E872A3" w14:paraId="4A896CD8" w14:textId="77777777">
      <w:pPr>
        <w:jc w:val="both"/>
      </w:pPr>
    </w:p>
    <w:p w:rsidR="00E872A3" w:rsidP="00750824" w:rsidRDefault="00000000" w14:paraId="3E845F4F" w14:textId="16263007">
      <w:pPr>
        <w:pStyle w:val="Blokbesedila"/>
      </w:pPr>
      <w:r>
        <w:t xml:space="preserve">Achtergrond: Artikel 10, lid 2, van de richtlijn voorziet al in de bescherming van toezichthouders tegen ontslag, maar in algemene bewoordingen. Zonder een concrete bepaling in de nationale wetgeving zal het platform deze verplichting eng interpreteren. De Oostenrijkse ervaring (excellentiebeoordeling, automatisch ontslag) toont aan dat juist de beslissingen met de zwaarste gevolgen voor werknemers volledig geautomatiseerd waren.</w:t>
      </w:r>
    </w:p>
    <w:p w:rsidR="00983F19" w:rsidP="00750824" w:rsidRDefault="00000000" w14:paraId="670D7594" w14:textId="15B509F0">
      <w:pPr>
        <w:pStyle w:val="Naslov3"/>
        <w:jc w:val="both"/>
      </w:pPr>
      <w:r>
        <w:t xml:space="preserve">Aanbeveling 5.5 [GAAT VERDER DAN HET MINIMUM]: De gegevensbeschermingsautoriteit als structurele gesprekspartner in de sociale dialoog</w:t>
      </w:r>
    </w:p>
    <w:p w:rsidR="00983F19" w:rsidP="00750824" w:rsidRDefault="00000000" w14:paraId="0A64ABF9" w14:textId="6A1A83B3">
      <w:pPr>
        <w:jc w:val="both"/>
      </w:pPr>
      <w:r>
        <w:t xml:space="preserve">De ministeries </w:t>
      </w:r>
      <w:r>
        <w:t xml:space="preserve">moeten samen met de gegevensbeschermingsautoriteiten een procedure instellen waarbij de gegevensbeschermingsautoriteit (of een andere bevoegde gegevensbeschermingsautoriteit) betrokken is bij de invoering van elk nieuw AMDMS in </w:t>
      </w:r>
      <w:r>
        <w:t xml:space="preserve">het platformgedeelte </w:t>
      </w:r>
      <w:r w:rsidR="00D7386B">
        <w:t xml:space="preserve">– </w:t>
      </w:r>
      <w:r>
        <w:t xml:space="preserve">niet alleen als toezichthoudende instantie na een inbreuk, maar als preventieve gesprekspartner in de sociale dialoog. Wij bevelen aan dat de wet vakbondsvertegenwoordigers het recht garandeert op deskundige bijstand van de gegevensbeschermingsautoriteit bij de beoordeling van algoritmische systemen. In Slovenië </w:t>
      </w:r>
      <w:r w:rsidR="00E872A3">
        <w:t xml:space="preserve">stelt </w:t>
      </w:r>
      <w:r>
        <w:t xml:space="preserve">de ZSSS deze rol</w:t>
      </w:r>
      <w:r w:rsidR="00E872A3">
        <w:lastRenderedPageBreak/>
      </w:r>
      <w:r w:rsidR="00E872A3">
        <w:t xml:space="preserve"> </w:t>
      </w:r>
      <w:r>
        <w:t xml:space="preserve">uitdrukkelijk </w:t>
      </w:r>
      <w:r w:rsidR="00E872A3">
        <w:t xml:space="preserve">voor</w:t>
      </w:r>
      <w:r w:rsidR="00E872A3">
        <w:t xml:space="preserve">: </w:t>
      </w:r>
      <w:r>
        <w:t xml:space="preserve">wij bevelen aan dat alle lidstaten dit in een gelijkwaardige vorm wettelijk vastleggen.</w:t>
      </w:r>
    </w:p>
    <w:p w:rsidR="00E872A3" w:rsidP="00750824" w:rsidRDefault="00E872A3" w14:paraId="0AF53F7E" w14:textId="77777777">
      <w:pPr>
        <w:jc w:val="both"/>
      </w:pPr>
    </w:p>
    <w:p w:rsidR="00983F19" w:rsidP="00750824" w:rsidRDefault="00000000" w14:paraId="532636F0" w14:textId="7EDD5CD2">
      <w:pPr>
        <w:pStyle w:val="Blokbesedila"/>
      </w:pPr>
      <w:r>
        <w:t xml:space="preserve">Achtergrond: De ZSSS-richtlijnen (april 2025) stellen voor om de Informatiecommissaris van de Republiek Slovenië te betrekken bij de invoering van AM/AI-systemen. De deskundigengroep van de Europese Commissie heeft bevestigd dat de gegevensbeschermingsautoriteiten (DPA's) bevoegd zijn voor gegevensbeschermingskwesties, maar constateert tegelijkertijd dat coördinatie met de arbeidsinspecties noodzakelijk is</w:t>
      </w:r>
      <w:r w:rsidR="00E872A3">
        <w:t xml:space="preserve">, </w:t>
      </w:r>
      <w:r>
        <w:t xml:space="preserve">wat een van de structurele problemen is die bij de implementatie moeten worden opgelost.</w:t>
      </w:r>
    </w:p>
    <w:p w:rsidR="00983F19" w:rsidP="00750824" w:rsidRDefault="00000000" w14:paraId="7C1679F6" w14:textId="4D24BEB5">
      <w:pPr>
        <w:pStyle w:val="Naslov3"/>
        <w:jc w:val="both"/>
      </w:pPr>
      <w:r>
        <w:t xml:space="preserve">Aanbeveling 5.6 [GAAT VERDER DAN HET MINIMUM]: Oplossen van dubbele bevoegdheden: coördinatie tussen de gegevensbeschermingsautoriteiten en de arbeidsinspectie</w:t>
      </w:r>
    </w:p>
    <w:p w:rsidR="00983F19" w:rsidP="00750824" w:rsidRDefault="00000000" w14:paraId="0551DE56" w14:textId="0D3ED92E">
      <w:pPr>
        <w:jc w:val="both"/>
      </w:pPr>
      <w:r>
        <w:t xml:space="preserve">De ministeries moeten in de omzettingswet vastleggen welke instantie bevoegd is voor de handhaving van welk deel van de richtlijn: de artikelen 7-9 (gegevensbescherming bij AMDMS) valt primair onder de bevoegdheid van de gegevensbeschermingsautoriteit (DPA)</w:t>
      </w:r>
      <w:r w:rsidR="00B833F8">
        <w:t xml:space="preserve">, </w:t>
      </w:r>
      <w:r>
        <w:t xml:space="preserve">artikel 10-11 (menselijk toezicht, toetsing van beslissingen) valt onder de bevoegdheid van de arbeidsinspectie, waarbij gecoördineerde samenwerking tussen beide wellicht noodzakelijk is. De wet moet een verplicht samenwerkingsprotocol vaststellen tussen de DPA en de arbeidsinspectie met betrekking tot zaken </w:t>
      </w:r>
      <w:r>
        <w:t xml:space="preserve">op het gebied van platformwerk. Een werknemer of vakbond die een klacht indient, mag niet zonder inhoudelijke behandeling van de klacht tussen de instanties worden doorverwezen.</w:t>
      </w:r>
    </w:p>
    <w:p w:rsidR="00DC4393" w:rsidP="00750824" w:rsidRDefault="00DC4393" w14:paraId="403CEDB1" w14:textId="77777777">
      <w:pPr>
        <w:jc w:val="both"/>
      </w:pPr>
    </w:p>
    <w:p w:rsidR="00983F19" w:rsidP="00750824" w:rsidRDefault="00000000" w14:paraId="30CB4868" w14:textId="3F1E7AF9">
      <w:pPr>
        <w:pStyle w:val="Blokbesedila"/>
      </w:pPr>
      <w:r>
        <w:t xml:space="preserve">Achtergrond: De deskundigengroep van de Europese Commissie heeft vastgesteld dat zowel de DPA-instanties als de arbeidsinspecties bevoegd zijn voor zaken uit hoofdstuk III van de richtlijn, afhankelijk van of het gaat om een kwestie van gegevensbescherming of om arbeidsvoorwaarden. Zonder een duidelijke afbakening ontstaat er </w:t>
      </w:r>
      <w:r>
        <w:t xml:space="preserve">een</w:t>
      </w:r>
      <w:r>
        <w:t xml:space="preserve"> institutionele </w:t>
      </w:r>
      <w:r>
        <w:t xml:space="preserve">pingpong</w:t>
      </w:r>
      <w:r>
        <w:t xml:space="preserve">, die </w:t>
      </w:r>
      <w:r w:rsidR="00B833F8">
        <w:t xml:space="preserve">buitengewoon tijdrovend en inefficiënt is</w:t>
      </w:r>
      <w:r>
        <w:t xml:space="preserve">.</w:t>
      </w:r>
    </w:p>
    <w:p w:rsidR="00DC4393" w:rsidP="00750824" w:rsidRDefault="00DC4393" w14:paraId="21DB8DD9" w14:textId="77777777">
      <w:pPr>
        <w:jc w:val="both"/>
        <w:rPr>
          <w:b/>
          <w:bCs/>
        </w:rPr>
      </w:pPr>
    </w:p>
    <w:p w:rsidR="00983F19" w:rsidP="00750824" w:rsidRDefault="00000000" w14:paraId="01A59C58" w14:textId="3905780E">
      <w:pPr>
        <w:jc w:val="both"/>
      </w:pPr>
      <w:r>
        <w:rPr>
          <w:b/>
          <w:bCs/>
        </w:rPr>
        <w:t xml:space="preserve">Opmerking over de tenuitvoerlegging</w:t>
      </w:r>
    </w:p>
    <w:p w:rsidR="00983F19" w:rsidP="00750824" w:rsidRDefault="00000000" w14:paraId="496B9849" w14:textId="14D6614E">
      <w:pPr>
        <w:jc w:val="both"/>
      </w:pPr>
      <w:r>
        <w:rPr>
          <w:i/>
          <w:iCs/>
        </w:rPr>
        <w:t xml:space="preserve">Gegevensbescherming bij </w:t>
      </w:r>
      <w:r>
        <w:rPr>
          <w:i/>
          <w:iCs/>
        </w:rPr>
        <w:t xml:space="preserve">platformwerk is geen op zichzelf staand technisch onderwerp</w:t>
      </w:r>
      <w:r w:rsidR="00B833F8">
        <w:rPr>
          <w:i/>
          <w:iCs/>
        </w:rPr>
        <w:t xml:space="preserve">, </w:t>
      </w:r>
      <w:r>
        <w:rPr>
          <w:i/>
          <w:iCs/>
        </w:rPr>
        <w:t xml:space="preserve">maar een voorwaarde voor een geloofwaardige sociale dialoog. Zolang het platform controleert welke werknemers met elkaar communiceren en welke rechten zij doen gelden, hebben vakbonden geen gelijkwaardige onderhandelingspositie. De artikelen 7 tot en met 11 van de richtlijn </w:t>
      </w:r>
      <w:r w:rsidR="00B833F8">
        <w:rPr>
          <w:i/>
          <w:iCs/>
        </w:rPr>
        <w:t xml:space="preserve">pakken </w:t>
      </w:r>
      <w:r w:rsidR="00B833F8">
        <w:rPr>
          <w:i/>
          <w:iCs/>
        </w:rPr>
        <w:t xml:space="preserve">deze structurele </w:t>
      </w:r>
      <w:r>
        <w:rPr>
          <w:i/>
          <w:iCs/>
        </w:rPr>
        <w:t xml:space="preserve">ongelijkheid </w:t>
      </w:r>
      <w:r w:rsidR="00B833F8">
        <w:rPr>
          <w:i/>
          <w:iCs/>
        </w:rPr>
        <w:t xml:space="preserve">aan </w:t>
      </w:r>
      <w:r>
        <w:rPr>
          <w:i/>
          <w:iCs/>
        </w:rPr>
        <w:t xml:space="preserve">met eisen inzake transparantie, overdraagbaarheid en menselijk toezicht. De uitvoering moet nauwkeurig zijn: formele bepalingen zonder inhoudelijke normen volstaan niet.</w:t>
      </w:r>
    </w:p>
    <w:p w:rsidR="00750824" w:rsidRDefault="00750824" w14:paraId="1E018822" w14:textId="77777777">
      <w:pPr>
        <w:rPr>
          <w:b/>
          <w:bCs/>
          <w:color w:val="1F3864"/>
          <w:sz w:val="36"/>
          <w:szCs w:val="36"/>
        </w:rPr>
      </w:pPr>
      <w:bookmarkStart w:name="Xeb9ad283c504020b2ba173fa22e0871cc81f3b2" w:id="46"/>
      <w:bookmarkEnd w:id="38"/>
      <w:bookmarkEnd w:id="45"/>
      <w:r>
        <w:br w:type="page"/>
      </w:r>
    </w:p>
    <w:p w:rsidR="00983F19" w:rsidP="00750824" w:rsidRDefault="00000000" w14:paraId="3FBE0AD4" w14:textId="5D4AEA0B">
      <w:pPr>
        <w:pStyle w:val="Naslov1"/>
        <w:jc w:val="both"/>
      </w:pPr>
      <w:bookmarkStart w:name="_Toc233699496" w:id="47"/>
      <w:r>
        <w:lastRenderedPageBreak/>
      </w:r>
      <w:r>
        <w:t xml:space="preserve">Hoofdstuk 6: Collectieve rechten en sociale dialoog</w:t>
      </w:r>
      <w:bookmarkEnd w:id="47"/>
    </w:p>
    <w:p w:rsidR="00983F19" w:rsidP="00750824" w:rsidRDefault="00000000" w14:paraId="78B231F1" w14:textId="77777777">
      <w:pPr>
        <w:pStyle w:val="Naslov2"/>
        <w:jc w:val="both"/>
      </w:pPr>
      <w:bookmarkStart w:name="_Toc233699497" w:id="48"/>
      <w:bookmarkStart w:name="zahteve-direktive-3" w:id="49"/>
      <w:r>
        <w:t xml:space="preserve">6.1 Eisen van de richtlijn</w:t>
      </w:r>
      <w:bookmarkEnd w:id="48"/>
    </w:p>
    <w:p w:rsidR="00983F19" w:rsidP="00750824" w:rsidRDefault="00000000" w14:paraId="6732DCF7" w14:textId="227CD3D5">
      <w:pPr>
        <w:jc w:val="both"/>
      </w:pPr>
      <w:r>
        <w:t xml:space="preserve">EU-richtlijn 2024/2831 inzake </w:t>
      </w:r>
      <w:r>
        <w:t xml:space="preserve">platformwerk </w:t>
      </w:r>
      <w:r w:rsidR="000617C4">
        <w:t xml:space="preserve">wijdt </w:t>
      </w:r>
      <w:r>
        <w:t xml:space="preserve">twee bepalingen (artikelen 25 en 29) </w:t>
      </w:r>
      <w:r w:rsidR="000617C4">
        <w:t xml:space="preserve">rechtstreeks aan </w:t>
      </w:r>
      <w:r>
        <w:t xml:space="preserve">collectieve rechten en de sociale dialoog</w:t>
      </w:r>
      <w:r>
        <w:t xml:space="preserve">, één indirect (artikel 28) en een reeks mechanismen die een voorwaarde vormen voor het functioneren van de sociale dialoog in de praktijk: </w:t>
      </w:r>
      <w:r w:rsidR="000617C4">
        <w:t xml:space="preserve">communicatiekanalen </w:t>
      </w:r>
      <w:r>
        <w:t xml:space="preserve">(artikel 20), procedurele vertegenwoordiging (artikel 19), bescherming tegen vergeldingsmaatregelen (artikelen 22–23) en toegang tot bewijsmateriaal (artikel 21). Samen vormen deze bepalingen een kader dat voor het eerst een structurele basis biedt voor de sociale dialoog in een sector waar de georganiseerde stem van de werknemers tot nu toe grotendeels werd onderdrukt.</w:t>
      </w:r>
    </w:p>
    <w:p w:rsidR="00D90A18" w:rsidP="00750824" w:rsidRDefault="00D90A18" w14:paraId="2553D7A8" w14:textId="77777777">
      <w:pPr>
        <w:jc w:val="both"/>
      </w:pPr>
    </w:p>
    <w:p w:rsidR="00983F19" w:rsidP="00750824" w:rsidRDefault="005C5C0F" w14:paraId="1C851F66" w14:textId="3105EF93">
      <w:pPr>
        <w:jc w:val="both"/>
      </w:pPr>
      <w:r>
        <w:rPr>
          <w:b/>
          <w:bCs/>
        </w:rPr>
        <w:t xml:space="preserve">Artikel 25 </w:t>
      </w:r>
      <w:r>
        <w:rPr>
          <w:b/>
          <w:bCs/>
        </w:rPr>
        <w:t xml:space="preserve">(Bevordering van collectieve onderhandelingen) </w:t>
      </w:r>
      <w:r>
        <w:t xml:space="preserve">verplicht de lidstaten om, zonder afbreuk te doen aan de autonomie van de sociale partners en rekening houdend met de verscheidenheid aan nationale praktijken, passende maatregelen te nemen ter bevordering van de rol van de sociale partners en de uitoefening van het recht op collectieve onderhandelingen in </w:t>
      </w:r>
      <w:r>
        <w:t xml:space="preserve">de platformeconomie. Dit omvat zowel maatregelen om de juiste arbeidsstatus vast te stellen als maatregelen om de uitoefening van rechten met betrekking tot algoritmisch beheer te vergemakkelijken. De deskundigengroep van de Europese Commissie heeft verduidelijkt dat artikel 25 niet vereist dat het recht op collectieve onderhandelingen voor zelfstandige platformwerkers wettelijk wordt vastgelegd, maar </w:t>
      </w:r>
      <w:r>
        <w:t xml:space="preserve">dat het de lidstaten volledige vrijheid laat om dit wel te doen. Maatregelen op grond van artikel 25 kunnen bestaan uit directe wetgeving, nationale strategieën, actieplannen, financiële steun voor capaciteitsopbouw van vakbonden of sancties tegen platforms die collectieve onderhandelingen belemmeren.</w:t>
      </w:r>
    </w:p>
    <w:p w:rsidR="00D90A18" w:rsidP="00750824" w:rsidRDefault="00D90A18" w14:paraId="3A125DF4" w14:textId="77777777">
      <w:pPr>
        <w:jc w:val="both"/>
      </w:pPr>
    </w:p>
    <w:p w:rsidR="00983F19" w:rsidP="00750824" w:rsidRDefault="009F3F9C" w14:paraId="6DAB2192" w14:textId="0D45D20D">
      <w:pPr>
        <w:jc w:val="both"/>
      </w:pPr>
      <w:r>
        <w:rPr>
          <w:b/>
          <w:bCs/>
        </w:rPr>
        <w:t xml:space="preserve">Artikel 28 (Collectieve arbeidsovereenkomsten als uitvoeringsmechanisme) </w:t>
      </w:r>
      <w:r>
        <w:t xml:space="preserve">biedt twee belangrijke mogelijkheden. Ten eerste mogen de lidstaten en de sociale partners bij wet of via een collectieve overeenkomst specifieke regels vaststellen ter bescherming van de rechten van werknemers met betrekking tot de verwerking van persoonsgegevens (artikelen 9, 10 en 11), die strenger zijn dan het minimum dat in de richtlijn is vastgelegd. Ten tweede mogen de sociale partners, waar de lidstaten dit toestaan, mogen de sociale partners via collectieve overeenkomsten regelingen vaststellen die afwijken van de artikelen 12 en 13 van de richtlijn </w:t>
      </w:r>
      <w:r w:rsidR="00D7386B">
        <w:t xml:space="preserve">– </w:t>
      </w:r>
      <w:r>
        <w:t xml:space="preserve">maar onder de strikte voorwaarde dat de algemene bescherming </w:t>
      </w:r>
      <w:r>
        <w:t xml:space="preserve">van platformwerkers ongeschonden blijft en dat de afwijkingen worden gecompenseerd door gunstigere voorwaarden op een ander gebied.</w:t>
      </w:r>
    </w:p>
    <w:p w:rsidR="00D90A18" w:rsidP="00750824" w:rsidRDefault="00D90A18" w14:paraId="5933C643" w14:textId="77777777">
      <w:pPr>
        <w:jc w:val="both"/>
      </w:pPr>
    </w:p>
    <w:p w:rsidR="00983F19" w:rsidP="00750824" w:rsidRDefault="009F3F9C" w14:paraId="3249EBA8" w14:textId="1DB2DA48">
      <w:pPr>
        <w:jc w:val="both"/>
      </w:pPr>
      <w:r>
        <w:rPr>
          <w:b/>
          <w:bCs/>
        </w:rPr>
        <w:t xml:space="preserve">Artikel 29, leden 3 en 4 (Overdracht aan de sociale partners) </w:t>
      </w:r>
      <w:r>
        <w:t xml:space="preserve">verplicht de lidstaten ervoor te zorgen dat de sociale partners daadwerkelijk bij de uitvoering van de richtlijn worden betrokken. Bovendien biedt het hen de mogelijkheid om, op gezamenlijk verzoek van de sociale partners, de uitvoering van de richtlijn aan hen toe te vertrouwen </w:t>
      </w:r>
      <w:r w:rsidR="00D7386B">
        <w:t xml:space="preserve">– </w:t>
      </w:r>
      <w:r>
        <w:t xml:space="preserve">op voorwaarde dat de staat garandeert dat de doelstellingen van de richtlijn worden bereikt. Dit is een </w:t>
      </w:r>
      <w:r w:rsidR="00247A59">
        <w:t xml:space="preserve">van de belangrijkste</w:t>
      </w:r>
      <w:r>
        <w:t xml:space="preserve">, maar minst bekende bepalingen van de richtlijn: het maakt </w:t>
      </w:r>
      <w:r>
        <w:t xml:space="preserve">het</w:t>
      </w:r>
      <w:r w:rsidR="00247A59">
        <w:t xml:space="preserve"> namelijk </w:t>
      </w:r>
      <w:r>
        <w:t xml:space="preserve">mogelijk om de richtlijn </w:t>
      </w:r>
      <w:r w:rsidR="00247A59">
        <w:t xml:space="preserve">via collectieve arbeidsovereenkomsten </w:t>
      </w:r>
      <w:r>
        <w:t xml:space="preserve">om te zetten </w:t>
      </w:r>
      <w:r>
        <w:t xml:space="preserve">in plaats van te wachten op de wetgevingsprocedure.</w:t>
      </w:r>
    </w:p>
    <w:p w:rsidR="00D90A18" w:rsidP="00750824" w:rsidRDefault="00D90A18" w14:paraId="58E25469" w14:textId="77777777">
      <w:pPr>
        <w:jc w:val="both"/>
      </w:pPr>
    </w:p>
    <w:p w:rsidR="00983F19" w:rsidP="00750824" w:rsidRDefault="00247A59" w14:paraId="7DCD2BD0" w14:textId="4EE30FE3">
      <w:pPr>
        <w:jc w:val="both"/>
      </w:pPr>
      <w:r>
        <w:rPr>
          <w:b/>
          <w:bCs/>
        </w:rPr>
        <w:t xml:space="preserve">Artikel 20 (Communicatiekanalen) </w:t>
      </w:r>
      <w:r>
        <w:t xml:space="preserve">verplicht platforms om werknemers de infrastructuur te bieden voor veilige en vertrouwelijke onderlinge communicatie en communicatie met werknemersvertegenwoordigers, waarbij de platforms zelf geen toegang hebben tot de inhoud van deze communicatie. De deskundigengroep van de Europese Commissie heeft verduidelijkt dat groepsberichten in de apps van de platforms (bijvoorbeeld </w:t>
      </w:r>
      <w:r>
        <w:t xml:space="preserve">een </w:t>
      </w:r>
      <w:r>
        <w:t xml:space="preserve">door het platform beheerde </w:t>
      </w:r>
      <w:r>
        <w:t xml:space="preserve">WhatsApp-groep</w:t>
      </w:r>
      <w:r>
        <w:t xml:space="preserve">) niet volstaan: werknemers hebben een kanaal nodig dat onafhankelijk is van het platform zelf.</w:t>
      </w:r>
    </w:p>
    <w:p w:rsidR="00D90A18" w:rsidP="00750824" w:rsidRDefault="00D90A18" w14:paraId="4316CB70" w14:textId="77777777">
      <w:pPr>
        <w:jc w:val="both"/>
      </w:pPr>
    </w:p>
    <w:p w:rsidR="00D90A18" w:rsidP="00750824" w:rsidRDefault="00247A59" w14:paraId="572DF69D" w14:textId="3BD0358D">
      <w:pPr>
        <w:jc w:val="both"/>
      </w:pPr>
      <w:r w:rsidRPr="00247A59">
        <w:rPr>
          <w:b/>
          <w:bCs/>
        </w:rPr>
        <w:lastRenderedPageBreak/>
      </w:r>
      <w:r w:rsidRPr="00247A59">
        <w:rPr>
          <w:b/>
          <w:bCs/>
        </w:rPr>
        <w:t xml:space="preserve"> </w:t>
      </w:r>
      <w:r>
        <w:rPr>
          <w:b/>
          <w:bCs/>
        </w:rPr>
        <w:t xml:space="preserve">Artikel 19 (Procedurele vertegenwoordiging) </w:t>
      </w:r>
      <w:r>
        <w:t xml:space="preserve">waarborgt dat werknemersvertegenwoordigers en rechtspersonen met een legitiem belang in elke gerechtelijke of administratieve procedure optreden namens of ter ondersteuning van een of meer werknemers. De deskundigengroep van de Europese Commissie heeft bevestigd dat dit artikel ook het recht omvat om procedures in te leiden, en niet alleen om deel te nemen aan reeds gestarte procedures.</w:t>
      </w:r>
    </w:p>
    <w:p w:rsidR="00983F19" w:rsidP="00750824" w:rsidRDefault="00000000" w14:paraId="195AD6C7" w14:textId="77777777">
      <w:pPr>
        <w:pStyle w:val="Naslov2"/>
        <w:jc w:val="both"/>
      </w:pPr>
      <w:bookmarkStart w:name="_Toc233699498" w:id="50"/>
      <w:bookmarkStart w:name="ugotovitve-iz-prakse-3" w:id="51"/>
      <w:bookmarkEnd w:id="49"/>
      <w:r>
        <w:t xml:space="preserve">6.2 Conclusies uit de praktijk</w:t>
      </w:r>
      <w:bookmarkEnd w:id="50"/>
    </w:p>
    <w:p w:rsidR="00983F19" w:rsidP="00750824" w:rsidRDefault="00000000" w14:paraId="4CEE5FCB" w14:textId="77777777">
      <w:pPr>
        <w:pStyle w:val="Naslov3"/>
        <w:jc w:val="both"/>
      </w:pPr>
      <w:bookmarkStart w:name="socialni-dialog-nujnost-in-ovire" w:id="52"/>
      <w:r>
        <w:t xml:space="preserve">Sociale dialoog: noodzaak en belemmeringen</w:t>
      </w:r>
    </w:p>
    <w:p w:rsidR="00983F19" w:rsidP="00750824" w:rsidRDefault="00000000" w14:paraId="6FDDBDDE" w14:textId="0FAE4069">
      <w:pPr>
        <w:jc w:val="both"/>
      </w:pPr>
      <w:r>
        <w:t xml:space="preserve">De tussentijdse conferentie van het SDDP-project (Ljubljana, mei 2025) bracht een cruciale tegenstrijdigheid aan het licht: sociale dialoog is noodzakelijk om de uitdagingen </w:t>
      </w:r>
      <w:r>
        <w:t xml:space="preserve">van platformwerk</w:t>
      </w:r>
      <w:r>
        <w:t xml:space="preserve"> aan te pakken</w:t>
      </w:r>
      <w:r>
        <w:t xml:space="preserve">, maar juist in deze sector is het het moeilijkst om de voorwaarden daarvoor te scheppen. Platforms beschouwen werknemers als versnipperde zelfstandigen die geen contact met elkaar hebben, geen gemeenschappelijke werkplek hebben en geen toegang hebben tot informatie die een voorwaarde is voor onderhandelingen op voet van gelijkheid. Zonder </w:t>
      </w:r>
      <w:r w:rsidR="00615F18">
        <w:t xml:space="preserve">dienstverband </w:t>
      </w:r>
      <w:r>
        <w:t xml:space="preserve">is er geen recht op collectieve onderhandelingen, zonder communicatiekanalen is er geen organisatie mogelijk, en zonder toegang tot gegevens is er geen onderhandelingsgrond.</w:t>
      </w:r>
    </w:p>
    <w:p w:rsidR="00D90A18" w:rsidP="00750824" w:rsidRDefault="00D90A18" w14:paraId="28C9E6A9" w14:textId="77777777">
      <w:pPr>
        <w:jc w:val="both"/>
      </w:pPr>
    </w:p>
    <w:p w:rsidR="00983F19" w:rsidP="00750824" w:rsidRDefault="00000000" w14:paraId="64A2A25B" w14:textId="3FE479FC">
      <w:pPr>
        <w:jc w:val="both"/>
      </w:pPr>
      <w:r>
        <w:t xml:space="preserve">De gezamenlijke conclusie van alle aangesloten vakbonden was ondubbelzinnig: </w:t>
      </w:r>
      <w:r w:rsidR="00247A59">
        <w:rPr>
          <w:b/>
          <w:bCs/>
        </w:rPr>
        <w:t xml:space="preserve">„Niet alle problemen kunnen </w:t>
      </w:r>
      <w:r>
        <w:rPr>
          <w:b/>
          <w:bCs/>
        </w:rPr>
        <w:t xml:space="preserve">met een dienstverband worden opgelost, maar geen enkel probleem kan zonder worden opgelost.“ </w:t>
      </w:r>
      <w:r>
        <w:t xml:space="preserve">Een dienstverband is geen wondermiddel, maar wel </w:t>
      </w:r>
      <w:r>
        <w:t xml:space="preserve">een</w:t>
      </w:r>
      <w:r>
        <w:t xml:space="preserve"> structurele </w:t>
      </w:r>
      <w:r>
        <w:t xml:space="preserve">voorwaarde voor het doen gelden van collectieve rechten. Tegelijkertijd is de sociale dialoog het enige mechanisme dat werknemers bescherming biedt, voordat en terwijl rechtbanken en inspectiediensten langzaam </w:t>
      </w:r>
      <w:r w:rsidR="00247A59">
        <w:t xml:space="preserve">de arbeidsrechtelijke status </w:t>
      </w:r>
      <w:r>
        <w:t xml:space="preserve">vaststellen</w:t>
      </w:r>
      <w:r>
        <w:t xml:space="preserve">.</w:t>
      </w:r>
    </w:p>
    <w:p w:rsidR="00983F19" w:rsidP="00750824" w:rsidRDefault="00000000" w14:paraId="4E3B6968" w14:textId="77777777">
      <w:pPr>
        <w:pStyle w:val="Naslov3"/>
        <w:jc w:val="both"/>
      </w:pPr>
      <w:bookmarkStart w:name="izkušnje-iz-partnerskih-držav" w:id="53"/>
      <w:bookmarkEnd w:id="52"/>
      <w:r>
        <w:t xml:space="preserve">Ervaringen uit partnerlanden</w:t>
      </w:r>
    </w:p>
    <w:p w:rsidR="00983F19" w:rsidP="00750824" w:rsidRDefault="00000000" w14:paraId="58478748" w14:textId="0691E266">
      <w:pPr>
        <w:jc w:val="both"/>
      </w:pPr>
      <w:r>
        <w:rPr>
          <w:b/>
          <w:bCs/>
        </w:rPr>
        <w:t xml:space="preserve">Spanje </w:t>
      </w:r>
      <w:r>
        <w:t xml:space="preserve">heeft </w:t>
      </w:r>
      <w:r>
        <w:t xml:space="preserve">de </w:t>
      </w:r>
      <w:r w:rsidR="00247A59">
        <w:t xml:space="preserve">langste </w:t>
      </w:r>
      <w:r>
        <w:t xml:space="preserve">weg </w:t>
      </w:r>
      <w:r w:rsidR="00247A59">
        <w:t xml:space="preserve">afgelegd, </w:t>
      </w:r>
      <w:r>
        <w:t xml:space="preserve">van protesten tot </w:t>
      </w:r>
      <w:r>
        <w:t xml:space="preserve">een </w:t>
      </w:r>
      <w:r>
        <w:t xml:space="preserve">geïnstitutionaliseerde </w:t>
      </w:r>
      <w:r>
        <w:t xml:space="preserve">sociale dialoog. Na de goedkeuring van de wet inzake bezorgers hebben de vakbonden CCOO en UGT een collectieve arbeidsovereenkomst gesloten met </w:t>
      </w:r>
      <w:r>
        <w:t xml:space="preserve">JustEat </w:t>
      </w:r>
      <w:r>
        <w:t xml:space="preserve">España </w:t>
      </w:r>
      <w:r w:rsidR="00D7386B">
        <w:t xml:space="preserve">– </w:t>
      </w:r>
      <w:r>
        <w:t xml:space="preserve">een van de weinige in Europa die niet alleen de lonen regelt, maar ook een gezamenlijke commissie instelt voor het toezicht op algoritmen. </w:t>
      </w:r>
      <w:r w:rsidR="00247A59">
        <w:t xml:space="preserve">De gezamenlijke druk </w:t>
      </w:r>
      <w:r>
        <w:t xml:space="preserve">van de arbeidsinspectie, de media, stakingen en juridische procedures heeft omstandigheden gecreëerd die geen enkele afzonderlijke aanpak op eigen kracht had kunnen bewerkstelligen. Tegelijkertijd laat de Spaanse ervaring de grenzen van sectorale beperkingen zien: de wet geldt alleen voor maaltijdbezorging, </w:t>
      </w:r>
      <w:r>
        <w:t xml:space="preserve">terwijl </w:t>
      </w:r>
      <w:r>
        <w:t xml:space="preserve">Uber </w:t>
      </w:r>
      <w:r>
        <w:t xml:space="preserve">Eats </w:t>
      </w:r>
      <w:r>
        <w:t xml:space="preserve">en </w:t>
      </w:r>
      <w:r>
        <w:t xml:space="preserve">Lieferando </w:t>
      </w:r>
      <w:r>
        <w:t xml:space="preserve">eenvoudigweg zijn overgestapt op </w:t>
      </w:r>
      <w:r>
        <w:t xml:space="preserve">een onderaannemingsmodel.</w:t>
      </w:r>
    </w:p>
    <w:p w:rsidR="00247A59" w:rsidP="00750824" w:rsidRDefault="00247A59" w14:paraId="0359DC76" w14:textId="77777777">
      <w:pPr>
        <w:jc w:val="both"/>
      </w:pPr>
    </w:p>
    <w:p w:rsidR="00983F19" w:rsidP="00750824" w:rsidRDefault="00000000" w14:paraId="4B1DC074" w14:textId="620943DA">
      <w:pPr>
        <w:jc w:val="both"/>
      </w:pPr>
      <w:r>
        <w:rPr>
          <w:b/>
          <w:bCs/>
        </w:rPr>
        <w:t xml:space="preserve">Oostenrijk </w:t>
      </w:r>
      <w:r>
        <w:t xml:space="preserve">heeft in 2020 de eerste sectorale collectieve arbeidsovereenkomst </w:t>
      </w:r>
      <w:r>
        <w:t xml:space="preserve">ter wereld </w:t>
      </w:r>
      <w:r>
        <w:t xml:space="preserve">voor </w:t>
      </w:r>
      <w:r>
        <w:t xml:space="preserve">platformbezorgers</w:t>
      </w:r>
      <w:r>
        <w:t xml:space="preserve"> gesloten</w:t>
      </w:r>
      <w:r w:rsidR="00247A59">
        <w:t xml:space="preserve">, wat </w:t>
      </w:r>
      <w:r>
        <w:t xml:space="preserve">een succes </w:t>
      </w:r>
      <w:r w:rsidR="00247A59">
        <w:t xml:space="preserve">is </w:t>
      </w:r>
      <w:r>
        <w:t xml:space="preserve">op het gebied van lonen, maar niet op het gebied van algoritmen. </w:t>
      </w:r>
      <w:r>
        <w:t xml:space="preserve">Riders </w:t>
      </w:r>
      <w:r>
        <w:t xml:space="preserve">Collective </w:t>
      </w:r>
      <w:r>
        <w:t xml:space="preserve">heeft de oprichting van een werknemersraad bij </w:t>
      </w:r>
      <w:r>
        <w:t xml:space="preserve">Foodora</w:t>
      </w:r>
      <w:r>
        <w:t xml:space="preserve"> ondersteund </w:t>
      </w:r>
      <w:r>
        <w:t xml:space="preserve">(de eerste in 2017), maar het bedrijf heeft later in 2021 de verlenging van de bedrijfsovereenkomst inzake gegevens geblokkeerd onder verwijzing naar de onwil van het management. Bij </w:t>
      </w:r>
      <w:r w:rsidR="00247A59">
        <w:t xml:space="preserve">Lieferand </w:t>
      </w:r>
      <w:r>
        <w:t xml:space="preserve">was de werknemersraad sinds 2019 actief, maar in 2025 blokkeerde het bedrijf verdere pogingen juridisch door middel van massale ontslagen en de overgang naar zelfstandigen, onder verwijzing naar de gedecentraliseerde structuur en de afstemming op industrienormen.</w:t>
      </w:r>
    </w:p>
    <w:p w:rsidR="00247A59" w:rsidP="00750824" w:rsidRDefault="00247A59" w14:paraId="0D37FB91" w14:textId="77777777">
      <w:pPr>
        <w:jc w:val="both"/>
      </w:pPr>
    </w:p>
    <w:p w:rsidR="00983F19" w:rsidP="00750824" w:rsidRDefault="00000000" w14:paraId="4F6D002D" w14:textId="187CDC1D">
      <w:pPr>
        <w:jc w:val="both"/>
      </w:pPr>
      <w:r>
        <w:rPr>
          <w:b/>
          <w:bCs/>
        </w:rPr>
        <w:t xml:space="preserve">Italië </w:t>
      </w:r>
      <w:r>
        <w:t xml:space="preserve">kampt met een tweedeling: </w:t>
      </w:r>
      <w:r>
        <w:t xml:space="preserve">JustEat </w:t>
      </w:r>
      <w:r>
        <w:t xml:space="preserve">is het enige grote platform dat bezorgers in dienst heeft genomen en een collectieve arbeidsovereenkomst heeft gesloten. De overige platforms werken met zelfstandigen, </w:t>
      </w:r>
      <w:r>
        <w:t xml:space="preserve">terwijl de extreemrechtse regering zich volstrekt stil houdt over de richtlijn. De vakbonden hebben zich daarom gericht op regionale afspraken en op het opbouwen van een collectieve identiteit via innovatieve organisatiemodellen, zoals </w:t>
      </w:r>
      <w:r>
        <w:t xml:space="preserve">Casa </w:t>
      </w:r>
      <w:r>
        <w:t xml:space="preserve">Rider</w:t>
      </w:r>
      <w:r>
        <w:t xml:space="preserve">.</w:t>
      </w:r>
    </w:p>
    <w:p w:rsidR="00247A59" w:rsidP="00750824" w:rsidRDefault="00247A59" w14:paraId="5E864D0C" w14:textId="77777777">
      <w:pPr>
        <w:jc w:val="both"/>
      </w:pPr>
    </w:p>
    <w:p w:rsidR="00983F19" w:rsidP="00750824" w:rsidRDefault="00000000" w14:paraId="23AC969E" w14:textId="044D5ED6">
      <w:pPr>
        <w:jc w:val="both"/>
      </w:pPr>
      <w:r>
        <w:rPr>
          <w:b/>
          <w:bCs/>
        </w:rPr>
        <w:lastRenderedPageBreak/>
      </w:r>
      <w:r>
        <w:rPr>
          <w:b/>
          <w:bCs/>
        </w:rPr>
        <w:t xml:space="preserve">In België </w:t>
      </w:r>
      <w:r>
        <w:t xml:space="preserve">is het platform </w:t>
      </w:r>
      <w:r>
        <w:t xml:space="preserve">Takeaway </w:t>
      </w:r>
      <w:r>
        <w:t xml:space="preserve">geregistreerd als reclamebureau</w:t>
      </w:r>
      <w:r w:rsidR="00247A59">
        <w:t xml:space="preserve">, </w:t>
      </w:r>
      <w:r>
        <w:t xml:space="preserve">waardoor het lagere sectorale minimumnormen kan hanteren en de transportsector kan omzeilen. Er is wel een sociale dialoog, maar die is omstreden: de vakbonden vinden dat het platform onder de transportsector zou moeten vallen, waar de normen aanzienlijk hoger liggen. De richtlijn zou een einde moeten maken aan deze misbruikte sectorclassificatie.</w:t>
      </w:r>
    </w:p>
    <w:p w:rsidR="00247A59" w:rsidP="00750824" w:rsidRDefault="00247A59" w14:paraId="18A8573A" w14:textId="77777777">
      <w:pPr>
        <w:jc w:val="both"/>
      </w:pPr>
    </w:p>
    <w:p w:rsidR="00983F19" w:rsidP="00750824" w:rsidRDefault="00000000" w14:paraId="2F1ADDD4" w14:textId="5A0E883E">
      <w:pPr>
        <w:jc w:val="both"/>
      </w:pPr>
      <w:r>
        <w:rPr>
          <w:b/>
          <w:bCs/>
        </w:rPr>
        <w:t xml:space="preserve">Duitsland </w:t>
      </w:r>
      <w:r>
        <w:t xml:space="preserve">kampt met een ander probleem: de vakbonden weten niet wie de werkgever van de werknemers is, omdat ketens van onderaannemers de verantwoordelijkheid </w:t>
      </w:r>
      <w:r w:rsidR="00987363">
        <w:t xml:space="preserve">van het platform </w:t>
      </w:r>
      <w:r>
        <w:t xml:space="preserve">verdoezelen</w:t>
      </w:r>
      <w:r>
        <w:t xml:space="preserve">. Zonder een duidelijke identificatie van de werkgever is er geen onderhandelingspartner. </w:t>
      </w:r>
      <w:r>
        <w:t xml:space="preserve">Lieferando </w:t>
      </w:r>
      <w:r>
        <w:t xml:space="preserve">heeft weliswaar een werknemersraad</w:t>
      </w:r>
      <w:r w:rsidR="00987363">
        <w:t xml:space="preserve">, </w:t>
      </w:r>
      <w:r>
        <w:t xml:space="preserve">maar de vakbonden (bijv. NGG) beschouwen </w:t>
      </w:r>
      <w:r w:rsidR="00987363">
        <w:t xml:space="preserve">de verhoudingen </w:t>
      </w:r>
      <w:r>
        <w:t xml:space="preserve">als te beperkend: het platform steunt hen in het openbaar, maar belemmert hen in de praktijk en weigert serieuze samenwerking zonder echte organisatie van onderaf.</w:t>
      </w:r>
    </w:p>
    <w:p w:rsidR="00247A59" w:rsidP="00750824" w:rsidRDefault="00247A59" w14:paraId="1F15970F" w14:textId="77777777">
      <w:pPr>
        <w:jc w:val="both"/>
      </w:pPr>
    </w:p>
    <w:p w:rsidR="00983F19" w:rsidP="00750824" w:rsidRDefault="00000000" w14:paraId="34BCCADC" w14:textId="77777777">
      <w:pPr>
        <w:jc w:val="both"/>
      </w:pPr>
      <w:r>
        <w:rPr>
          <w:b/>
          <w:bCs/>
        </w:rPr>
        <w:t xml:space="preserve">Slovenië </w:t>
      </w:r>
      <w:r>
        <w:t xml:space="preserve">kampt met een typische ambivalentie: werknemers erkennen hun ondergeschiktheid aan het platform, maar verwachten dat het ministerie en de concurrentie het probleem zullen oplossen, en niet via collectieve onderhandelingen. Er is een gebrek aan bewustzijn over de rol van vakbonden en de sociale dialoog. De ZSSS stelt in haar richtsnoeren voor dat de richtlijn niet alleen het recht op collectieve onderhandelingen voor </w:t>
      </w:r>
      <w:r>
        <w:t xml:space="preserve">platformwerkers</w:t>
      </w:r>
      <w:r>
        <w:t xml:space="preserve"> vastlegt</w:t>
      </w:r>
      <w:r>
        <w:t xml:space="preserve">, maar ook de structurele voorwaarden daarvoor: een jaarlijkse bijeenkomst van alle werknemers met de vakbonden, georganiseerd door het platform zelf; het recht van vakbonden om via </w:t>
      </w:r>
      <w:r>
        <w:t xml:space="preserve">de infrastructuur </w:t>
      </w:r>
      <w:r>
        <w:t xml:space="preserve">van het platform</w:t>
      </w:r>
      <w:r>
        <w:t xml:space="preserve"> informatiemateriaal aan alle werknemers te verstrekken</w:t>
      </w:r>
      <w:r>
        <w:t xml:space="preserve">; en een digitale ruimte voor organisatie, waarvan het beheer op verzoek van de werknemers wordt overgedragen aan hun vertegenwoordigers.</w:t>
      </w:r>
    </w:p>
    <w:p w:rsidR="00983F19" w:rsidP="00750824" w:rsidRDefault="00000000" w14:paraId="49BF2047" w14:textId="77777777">
      <w:pPr>
        <w:pStyle w:val="Naslov3"/>
        <w:jc w:val="both"/>
      </w:pPr>
      <w:bookmarkStart w:name="Xee032679bfb18a805a02c69cf6ec84a6b09f355" w:id="54"/>
      <w:bookmarkEnd w:id="53"/>
      <w:r>
        <w:t xml:space="preserve">Werkgeversorganisaties als potentiële bondgenoten</w:t>
      </w:r>
    </w:p>
    <w:p w:rsidR="00983F19" w:rsidP="00750824" w:rsidRDefault="00000000" w14:paraId="44463323" w14:textId="7A8D9547">
      <w:pPr>
        <w:jc w:val="both"/>
      </w:pPr>
      <w:r>
        <w:t xml:space="preserve">Een van de conclusies van de conferentie in Ljubljana was verrassend: </w:t>
      </w:r>
      <w:r>
        <w:rPr>
          <w:b/>
          <w:bCs/>
        </w:rPr>
        <w:t xml:space="preserve">traditionele werkgeversorganisaties zijn potentiële bondgenoten van de vakbonden </w:t>
      </w:r>
      <w:r>
        <w:t xml:space="preserve">bij de regulering </w:t>
      </w:r>
      <w:r>
        <w:t xml:space="preserve">van platformwerk. De platforms zijn geen lid van de meeste sectorale werkgeversorganisaties. Omdat ze opereren zonder </w:t>
      </w:r>
      <w:r w:rsidR="00DB7748">
        <w:t xml:space="preserve">arbeidsrechtelijke </w:t>
      </w:r>
      <w:r>
        <w:t xml:space="preserve">verplichtingen, vormen ze oneerlijke concurrentie voor traditionele bedrijven die </w:t>
      </w:r>
      <w:r w:rsidR="00DB7748">
        <w:t xml:space="preserve">hun werknemers </w:t>
      </w:r>
      <w:r>
        <w:t xml:space="preserve">in dienst nemen, premies </w:t>
      </w:r>
      <w:r w:rsidR="00DB7748">
        <w:t xml:space="preserve">voor hen </w:t>
      </w:r>
      <w:r>
        <w:t xml:space="preserve">betalen </w:t>
      </w:r>
      <w:r w:rsidR="00DB7748">
        <w:t xml:space="preserve">en hen andere arbeidsgerelateerde rechten garanderen</w:t>
      </w:r>
      <w:r>
        <w:t xml:space="preserve">. Dit creëert een gemeenschappelijk belang voor gelijke concurrentievoorwaarden (</w:t>
      </w:r>
      <w:r w:rsidRPr="00016B3D">
        <w:t xml:space="preserve">„level </w:t>
      </w:r>
      <w:r w:rsidRPr="00016B3D">
        <w:t xml:space="preserve">playing </w:t>
      </w:r>
      <w:r w:rsidRPr="00016B3D" w:rsidR="00DB7748">
        <w:t xml:space="preserve">field“</w:t>
      </w:r>
      <w:r w:rsidRPr="00DB7748">
        <w:t xml:space="preserve">), </w:t>
      </w:r>
      <w:r>
        <w:t xml:space="preserve">wat in de richtlijn uitdrukkelijk als een van de doelstellingen wordt genoemd.</w:t>
      </w:r>
    </w:p>
    <w:p w:rsidR="00983F19" w:rsidP="00750824" w:rsidRDefault="00000000" w14:paraId="54249C68" w14:textId="77777777">
      <w:pPr>
        <w:pStyle w:val="Naslov3"/>
        <w:jc w:val="both"/>
      </w:pPr>
      <w:bookmarkStart w:name="Xa2dd5d940cabac1ded9a12db2f3ecf2d9718612" w:id="55"/>
      <w:bookmarkEnd w:id="54"/>
      <w:r>
        <w:t xml:space="preserve">Collectieve arbeidsovereenkomsten buiten </w:t>
      </w:r>
      <w:r>
        <w:t xml:space="preserve">het </w:t>
      </w:r>
      <w:r>
        <w:t xml:space="preserve">platformwerk om</w:t>
      </w:r>
    </w:p>
    <w:p w:rsidR="00983F19" w:rsidP="00750824" w:rsidRDefault="00000000" w14:paraId="1B9121B1" w14:textId="65BCC96A">
      <w:pPr>
        <w:jc w:val="both"/>
      </w:pPr>
      <w:r>
        <w:t xml:space="preserve">Verschillende lidstaten hebben een praktijk bevestigd die de richtlijn niet verbiedt en die in artikel 28 indirect wordt ondersteund: de uitbreiding van bestaande sectorale collectieve arbeidsovereenkomsten naar platformwerkers die vergelijkbaar werk verrichten. In Italië proberen de vakbonden </w:t>
      </w:r>
      <w:r>
        <w:t xml:space="preserve">de </w:t>
      </w:r>
      <w:r w:rsidR="00DB7748">
        <w:t xml:space="preserve">collectieve </w:t>
      </w:r>
      <w:r>
        <w:t xml:space="preserve">arbeidsovereenkomst in de transportsector uit te breiden naar bezorgers. In Oostenrijk is </w:t>
      </w:r>
      <w:r w:rsidR="00DB7748">
        <w:t xml:space="preserve">de collectieve arbeidsovereenkomst </w:t>
      </w:r>
      <w:r>
        <w:t xml:space="preserve">voor koeriers </w:t>
      </w:r>
      <w:r>
        <w:t xml:space="preserve">tot stand gekomen door uitbreiding van de bestaande postovereenkomst. Een dergelijke aanpak vereist niet dat er vanuit het niets een onderhandelingsstructuur wordt opgezet</w:t>
      </w:r>
      <w:r w:rsidR="00DB7748">
        <w:t xml:space="preserve">, maar </w:t>
      </w:r>
      <w:r>
        <w:t xml:space="preserve">bouwt voort op bestaande en beproefde kaders.</w:t>
      </w:r>
    </w:p>
    <w:p w:rsidR="00983F19" w:rsidP="00750824" w:rsidRDefault="00000000" w14:paraId="29C649F6" w14:textId="77777777">
      <w:pPr>
        <w:pStyle w:val="Naslov3"/>
        <w:jc w:val="both"/>
      </w:pPr>
      <w:bookmarkStart w:name="platforme-ki-blokirajo-socialni-dialog" w:id="56"/>
      <w:bookmarkEnd w:id="55"/>
      <w:r>
        <w:t xml:space="preserve">Platforms die de sociale dialoog blokkeren</w:t>
      </w:r>
    </w:p>
    <w:p w:rsidR="00983F19" w:rsidP="00750824" w:rsidRDefault="00000000" w14:paraId="371020DC" w14:textId="74869D2B">
      <w:pPr>
        <w:jc w:val="both"/>
      </w:pPr>
      <w:r>
        <w:t xml:space="preserve">Tijdens de conferentie werden typische tactieken van platforms om organisatie te verhinderen in kaart gebracht: „PR-bijeenkomsten“ waar individuele werknemers voor worden uitgenodigd (Polen </w:t>
      </w:r>
      <w:r w:rsidR="00DB7748">
        <w:t xml:space="preserve">en Slovenië</w:t>
      </w:r>
      <w:r>
        <w:t xml:space="preserve">) om de collectieve organisatie te destabiliseren; „gele vakbonden“ die een derde status tussen werknemer en zelfstandige voorstellen (Italië, Polen); het blokkeren van de toegang </w:t>
      </w:r>
      <w:r w:rsidR="00DB7748">
        <w:t xml:space="preserve">tot </w:t>
      </w:r>
      <w:r>
        <w:t xml:space="preserve">het platform voor werknemers die zich organiseren of staken (bijvoorbeeld </w:t>
      </w:r>
      <w:r>
        <w:t xml:space="preserve">Wolt </w:t>
      </w:r>
      <w:r>
        <w:t xml:space="preserve">in Polen, dat de accounts</w:t>
      </w:r>
      <w:r>
        <w:lastRenderedPageBreak/>
      </w:r>
      <w:r>
        <w:t xml:space="preserve"> van demonstranten </w:t>
      </w:r>
      <w:r>
        <w:t xml:space="preserve">blokkeerde</w:t>
      </w:r>
      <w:r w:rsidR="00DB7748">
        <w:t xml:space="preserve">, </w:t>
      </w:r>
      <w:r>
        <w:t xml:space="preserve">maar na druk van de media hierop terugkwam); en juridische blokkades van werknemersraden onder verwijzing naar de gedecentraliseerde structuur (Oostenrijk).</w:t>
      </w:r>
    </w:p>
    <w:p w:rsidR="00983F19" w:rsidP="00750824" w:rsidRDefault="00000000" w14:paraId="00C95E22" w14:textId="77777777">
      <w:pPr>
        <w:pStyle w:val="Naslov2"/>
        <w:jc w:val="both"/>
      </w:pPr>
      <w:bookmarkStart w:name="_Toc233699499" w:id="57"/>
      <w:bookmarkStart w:name="priporočila-3" w:id="58"/>
      <w:bookmarkEnd w:id="51"/>
      <w:bookmarkEnd w:id="56"/>
      <w:r>
        <w:t xml:space="preserve">6.3 Aanbevelingen</w:t>
      </w:r>
      <w:bookmarkEnd w:id="57"/>
    </w:p>
    <w:p w:rsidR="00D90A18" w:rsidP="00750824" w:rsidRDefault="00000000" w14:paraId="482CF965" w14:textId="3DA33AB7">
      <w:pPr>
        <w:pStyle w:val="Naslov3"/>
        <w:jc w:val="both"/>
      </w:pPr>
      <w:r>
        <w:t xml:space="preserve">Aanbeveling 6.1 [GAAT VERDER DAN HET MINIMUM]: Actieve overheidsstimulansen voor collectieve onderhandelingen voor alle werknemers, ongeacht hun status</w:t>
      </w:r>
    </w:p>
    <w:p w:rsidR="00D90A18" w:rsidP="00750824" w:rsidRDefault="00000000" w14:paraId="006876A2" w14:textId="4D19F4F4">
      <w:pPr>
        <w:jc w:val="both"/>
      </w:pPr>
      <w:r>
        <w:t xml:space="preserve">Artikel 25 van de richtlijn vereist „passende maatregelen“ ter bevordering van collectieve onderhandelingen </w:t>
      </w:r>
      <w:r w:rsidR="00D7386B">
        <w:t xml:space="preserve">– </w:t>
      </w:r>
      <w:r>
        <w:t xml:space="preserve">maar specificeert de inhoud daarvan niet. Lidstaten dienen bij de implementatie verder te gaan dan louter declaratieve stimulering en concrete mechanismen in te voeren: financiële steun voor het versterken van de vakbondscapaciteit in digitale sectoren, sancties tegen platforms die collectieve onderhandelingen belemmeren of vertragen, en stimulansen (bijvoorbeeld in de vorm van een sociaal certificaat naar het voorbeeld van de eerste pijler van de voorstellen van de sociale partners in het SDDP) voor platforms die vrijwillig en constructief aan de onderhandelingen deelnemen. </w:t>
      </w:r>
    </w:p>
    <w:p w:rsidR="00D90A18" w:rsidP="00750824" w:rsidRDefault="00D90A18" w14:paraId="429BC2C0" w14:textId="77777777">
      <w:pPr>
        <w:jc w:val="both"/>
      </w:pPr>
    </w:p>
    <w:p w:rsidR="00D90A18" w:rsidP="00750824" w:rsidRDefault="00000000" w14:paraId="6C8B056F" w14:textId="11F4239B">
      <w:pPr>
        <w:jc w:val="both"/>
      </w:pPr>
      <w:r>
        <w:t xml:space="preserve">Wij bevelen in het bijzonder de oprichting aan van een nationaal fonds voor de gezamenlijke beoordeling van algoritmen, waaraan platforms een deel van hun inkomsten (0,</w:t>
      </w:r>
      <w:r>
        <w:t xml:space="preserve">5-1 %) </w:t>
      </w:r>
      <w:r>
        <w:t xml:space="preserve">bijdragen</w:t>
      </w:r>
      <w:r>
        <w:t xml:space="preserve">, naar het voorbeeld van </w:t>
      </w:r>
      <w:r w:rsidR="001627FA">
        <w:t xml:space="preserve">de</w:t>
      </w:r>
      <w:r>
        <w:t xml:space="preserve"> Oostenrijkse </w:t>
      </w:r>
      <w:r w:rsidR="001627FA">
        <w:t xml:space="preserve">‘Arbeiterkammer’ </w:t>
      </w:r>
      <w:r>
        <w:t xml:space="preserve">(0,5 % van de lonen) en het Franse systeem voor beroepsopleiding. Het fonds financiert gezamenlijke tripartiete audits van AM-systemen: zowel de vakbonden als het platform dragen onafhankelijke deskundigen voor, en een neutrale arbiter beslecht meningsverschillen. Het doel van het fonds is het wegwerken van informatieasymmetrie </w:t>
      </w:r>
      <w:r w:rsidR="001627FA">
        <w:t xml:space="preserve">en </w:t>
      </w:r>
      <w:r>
        <w:t xml:space="preserve">niet het financieren van één partij in een arbeidsgeschil ten koste van de andere. Het fonds wordt beheerd door een tripartiet comité (regering, vakbonden, platform) onder toezicht van de ELA.</w:t>
      </w:r>
    </w:p>
    <w:p w:rsidR="00D90A18" w:rsidP="00750824" w:rsidRDefault="00000000" w14:paraId="4C103689" w14:textId="3273A31F">
      <w:pPr>
        <w:pStyle w:val="Naslov3"/>
        <w:jc w:val="both"/>
      </w:pPr>
      <w:r>
        <w:t xml:space="preserve">Aanbeveling 6.2 [RICHTLIJN]: Communicatie-infrastructuur als structurele voorwaarde voor de organisatie</w:t>
      </w:r>
    </w:p>
    <w:p w:rsidR="00D90A18" w:rsidP="00750824" w:rsidRDefault="00000000" w14:paraId="25091304" w14:textId="7EB11E9A">
      <w:pPr>
        <w:jc w:val="both"/>
      </w:pPr>
      <w:r>
        <w:t xml:space="preserve">Artikel 20 van de richtlijn vereist veilige en vertrouwelijke communicatiekanalen die onafhankelijk zijn van het platform zelf. De deskundigengroep van de Europese Commissie heeft verduidelijkt dat groepsberichten in de apps van de platforms niet volstaan. </w:t>
      </w:r>
      <w:r w:rsidR="001627FA">
        <w:t xml:space="preserve">Wij stellen </w:t>
      </w:r>
      <w:r>
        <w:t xml:space="preserve">twee complementaire oplossingen </w:t>
      </w:r>
      <w:r w:rsidR="001627FA">
        <w:t xml:space="preserve">voor</w:t>
      </w:r>
      <w:r>
        <w:t xml:space="preserve">: de verplichting voor platforms om een afzonderlijke digitale ruimte in te richten voor onderlinge communicatie tussen werknemers, waarvan het beheer op verzoek wordt overgedragen aan werknemersvertegenwoordigers, en de verplichting voor platforms om op verzoek van de vakbond </w:t>
      </w:r>
      <w:r>
        <w:t xml:space="preserve">vakbondsinformatiemateriaal via </w:t>
      </w:r>
      <w:r>
        <w:t xml:space="preserve">de infrastructuur </w:t>
      </w:r>
      <w:r w:rsidR="001627FA">
        <w:t xml:space="preserve">van het platform </w:t>
      </w:r>
      <w:r>
        <w:t xml:space="preserve">aan alle werknemers </w:t>
      </w:r>
      <w:r>
        <w:t xml:space="preserve">door te geven</w:t>
      </w:r>
      <w:r>
        <w:t xml:space="preserve">. Bovendien moeten de platforms een jaarlijkse bijeenkomst van alle werknemers organiseren, waarbij </w:t>
      </w:r>
      <w:r>
        <w:t xml:space="preserve">ook vertegenwoordigers van de vakbonden </w:t>
      </w:r>
      <w:r w:rsidR="001627FA">
        <w:t xml:space="preserve">aanwezig</w:t>
      </w:r>
      <w:r>
        <w:t xml:space="preserve"> zijn</w:t>
      </w:r>
      <w:r>
        <w:t xml:space="preserve">. Al deze verplichtingen moeten expliciet </w:t>
      </w:r>
      <w:r w:rsidR="001627FA">
        <w:t xml:space="preserve">deel</w:t>
      </w:r>
      <w:r>
        <w:t xml:space="preserve"> uitmaken </w:t>
      </w:r>
      <w:r>
        <w:t xml:space="preserve">van </w:t>
      </w:r>
      <w:r w:rsidR="001627FA">
        <w:t xml:space="preserve">de omzettingsmaatregelen</w:t>
      </w:r>
      <w:r>
        <w:t xml:space="preserve">, en niet alleen impliciet zijn opgenomen.</w:t>
      </w:r>
    </w:p>
    <w:p w:rsidR="00D90A18" w:rsidP="00750824" w:rsidRDefault="00000000" w14:paraId="682B53D9" w14:textId="171C4444">
      <w:pPr>
        <w:pStyle w:val="Naslov3"/>
        <w:jc w:val="both"/>
      </w:pPr>
      <w:r>
        <w:t xml:space="preserve">Aanbeveling 6.3 [RICHTLIJN]: De weg via collectieve arbeidsovereenkomsten naar de uitvoering van de richtlijn</w:t>
      </w:r>
    </w:p>
    <w:p w:rsidR="00D90A18" w:rsidP="00750824" w:rsidRDefault="00000000" w14:paraId="613C8C0A" w14:textId="2C1EEB0F">
      <w:pPr>
        <w:jc w:val="both"/>
      </w:pPr>
      <w:r>
        <w:t xml:space="preserve">Artikel 29, lid 4, van de richtlijn biedt de mogelijkheid dat de sociale partners op gezamenlijk verzoek de uitvoering van de richtlijn (of delen daarvan) op zich nemen, op voorwaarde dat de staat garandeert dat de doelstellingen ervan worden bereikt. Waar vakbonden en werkgevers bereid en in staat zijn dit te doen, moeten regeringen deze weg actief aanmoedigen als een snellere, beter op de praktijk afgestemde en legitieme alternatief voor de klassieke wetgevingsprocedure. Met name in landen </w:t>
      </w:r>
      <w:r w:rsidR="001627FA">
        <w:t xml:space="preserve">met </w:t>
      </w:r>
      <w:r>
        <w:t xml:space="preserve">een traag of politiek onzeker wetgevingsproces (bijv. Slovenië, Italië) is dit mechanisme van grote waarde. Voorwaarde is dat de regering een actieve rol als bemiddelaar op zich neemt en toezicht houdt en garandeert dat de doelstellingen van de richtlijn volledig worden verwezenlijkt.</w:t>
      </w:r>
    </w:p>
    <w:p w:rsidR="00D90A18" w:rsidP="00750824" w:rsidRDefault="00000000" w14:paraId="6AD53E29" w14:textId="19459B81">
      <w:pPr>
        <w:pStyle w:val="Naslov3"/>
        <w:jc w:val="both"/>
      </w:pPr>
      <w:r>
        <w:lastRenderedPageBreak/>
      </w:r>
      <w:r>
        <w:t xml:space="preserve">Aanbeveling 6.4 [GAAT VERDER DAN HET MINIMUM]: Uitbreiding van bestaande sectorale collectieve arbeidsovereenkomsten naar vergelijkbare </w:t>
      </w:r>
      <w:r>
        <w:t xml:space="preserve">platformwerkers</w:t>
      </w:r>
    </w:p>
    <w:p w:rsidR="00D90A18" w:rsidP="00750824" w:rsidRDefault="00000000" w14:paraId="11BEA5A1" w14:textId="1002763B">
      <w:pPr>
        <w:jc w:val="both"/>
      </w:pPr>
      <w:r>
        <w:t xml:space="preserve">Collectieve arbeidsovereenkomsten in verwante sectoren </w:t>
      </w:r>
      <w:r w:rsidR="00D7386B">
        <w:t xml:space="preserve">– </w:t>
      </w:r>
      <w:r>
        <w:t xml:space="preserve">vervoer, logistiek, postdiensten </w:t>
      </w:r>
      <w:r w:rsidR="00D7386B">
        <w:t xml:space="preserve">– </w:t>
      </w:r>
      <w:r>
        <w:t xml:space="preserve">hebben vaak betrekking op werk dat inhoudelijk vergelijkbaar is met </w:t>
      </w:r>
      <w:r>
        <w:t xml:space="preserve">platformwerk</w:t>
      </w:r>
      <w:r>
        <w:t xml:space="preserve">. De richtlijn en artikel 28 staan de uitbreiding van deze overeenkomsten naar platformwerkers toe. Overheden moeten bemiddelingsmechanismen en financiële prikkels instellen om dergelijke uitbreidingen mogelijk te maken. Deze aanpak is sneller en politiek minder veeleisend dan het opzetten van volledig nieuwe cao-structuren </w:t>
      </w:r>
      <w:r w:rsidR="00D7386B">
        <w:t xml:space="preserve">– </w:t>
      </w:r>
      <w:r>
        <w:t xml:space="preserve">en pakt direct het probleem van oneerlijke concurrentie aan dat door traditionele sectorale werkgeversorganisaties wordt ervaren. Het referentiemodel voor </w:t>
      </w:r>
      <w:r>
        <w:t xml:space="preserve">een platformspecifieke collectieve arbeidsovereenkomst is de ervaring </w:t>
      </w:r>
      <w:r>
        <w:t xml:space="preserve">van JustEat </w:t>
      </w:r>
      <w:r>
        <w:t xml:space="preserve">España </w:t>
      </w:r>
      <w:r w:rsidR="00D7386B">
        <w:t xml:space="preserve">– </w:t>
      </w:r>
      <w:r>
        <w:t xml:space="preserve">de enige collectieve arbeidsovereenkomst in de sector die, naast lonen, een gezamenlijke commissie voor toezicht op algoritmen instelt. De sociale partners </w:t>
      </w:r>
      <w:r w:rsidR="00191599">
        <w:t xml:space="preserve">moeten</w:t>
      </w:r>
      <w:r>
        <w:t xml:space="preserve"> </w:t>
      </w:r>
      <w:r>
        <w:t xml:space="preserve">ernaar streven om </w:t>
      </w:r>
      <w:r>
        <w:t xml:space="preserve">binnen twee jaar na de inwerkingtreding van de omzettingswet platformspecifieke collectieve arbeidsovereenkomsten </w:t>
      </w:r>
      <w:r>
        <w:t xml:space="preserve">te sluiten</w:t>
      </w:r>
      <w:r>
        <w:t xml:space="preserve">.</w:t>
      </w:r>
    </w:p>
    <w:p w:rsidR="00D90A18" w:rsidP="00750824" w:rsidRDefault="00000000" w14:paraId="59E4D958" w14:textId="791CE12D">
      <w:pPr>
        <w:pStyle w:val="Naslov3"/>
        <w:jc w:val="both"/>
      </w:pPr>
      <w:r>
        <w:t xml:space="preserve">Aanbeveling 6.5 [GAAT VERDER DAN HET MINIMUM]: Sociale dialoog als brug tussen de goedkeuring van de richtlijn en de daadwerkelijke tenuitvoerlegging ervan </w:t>
      </w:r>
      <w:r w:rsidR="00D7386B">
        <w:t xml:space="preserve">– </w:t>
      </w:r>
      <w:r>
        <w:t xml:space="preserve">tijdelijke collectieve bescherming tijdens de betwisting van het juridische vermoeden </w:t>
      </w:r>
      <w:r w:rsidR="00615F18">
        <w:t xml:space="preserve">van een dienstverband</w:t>
      </w:r>
    </w:p>
    <w:p w:rsidR="005D1CAF" w:rsidP="00750824" w:rsidRDefault="00000000" w14:paraId="4BA1000A" w14:textId="7642267F">
      <w:pPr>
        <w:jc w:val="both"/>
      </w:pPr>
      <w:r>
        <w:t xml:space="preserve">De ervaring van alle partnerlanden leert dat de implementatie van de richtlijn aanleiding zal geven tot langdurige gerechtelijke en administratieve procedures die door de platforms worden aangespannen. Gedurende deze periode</w:t>
      </w:r>
      <w:r w:rsidR="005D1CAF">
        <w:t xml:space="preserve">, </w:t>
      </w:r>
      <w:r>
        <w:t xml:space="preserve">die in sommige landen jaren zal duren</w:t>
      </w:r>
      <w:r w:rsidR="005D1CAF">
        <w:t xml:space="preserve">, </w:t>
      </w:r>
      <w:r w:rsidR="005D1CAF">
        <w:t xml:space="preserve">zullen </w:t>
      </w:r>
      <w:r>
        <w:t xml:space="preserve">werknemers </w:t>
      </w:r>
      <w:r>
        <w:t xml:space="preserve">onbeschermd</w:t>
      </w:r>
      <w:r w:rsidR="005D1CAF">
        <w:t xml:space="preserve"> blijven</w:t>
      </w:r>
      <w:r>
        <w:t xml:space="preserve">. Wij stellen voor dat de lidstaten bij de omzetting van de richtlijn een mechanisme voor tijdelijke collectieve bescherming instellen: zodra de bevoegde inspectiedienst bij een besluit vaststelt dat het platform een werkgever is, moet er verplicht een tripartiete dialoog tot stand worden gebracht tussen de vakbonden, het platform en </w:t>
      </w:r>
      <w:r w:rsidR="005D1CAF">
        <w:t xml:space="preserve">het bevoegde ministerie</w:t>
      </w:r>
      <w:r>
        <w:t xml:space="preserve">. De sociale partners sluiten in dit kader een tijdelijke collectieve overeenkomst voor alle werknemers van het betreffende platform, waarin de essentiële rechten (minimumloon, werktijden, vakantie, veiligheid en gezondheid, socialezekerheidsbijdragen) worden geregeld en die van kracht blijft totdat er een definitieve beslissing over de status is genomen. Het platform moet uiterlijk binnen 15 dagen</w:t>
      </w:r>
      <w:r>
        <w:t xml:space="preserve">, of binnen een kortere termijn die de nationale wetgeving toestaat, </w:t>
      </w:r>
      <w:r>
        <w:t xml:space="preserve">aan de onderhandelingen deelnemen</w:t>
      </w:r>
      <w:r>
        <w:t xml:space="preserve">. Weigering of vertraging vormen verzwarende omstandigheden in een eventuele gerechtelijke procedure over de arbeidsstatus </w:t>
      </w:r>
      <w:r>
        <w:t xml:space="preserve">en leiden tot geleidelijk oplopende dagelijkse geldboetes. Een bedrijfsverbod wordt alleen als </w:t>
      </w:r>
      <w:r w:rsidRPr="00016B3D">
        <w:rPr>
          <w:i/>
          <w:iCs/>
        </w:rPr>
        <w:t xml:space="preserve">laatste </w:t>
      </w:r>
      <w:r w:rsidRPr="00016B3D">
        <w:rPr>
          <w:i/>
          <w:iCs/>
        </w:rPr>
        <w:t xml:space="preserve">redmiddel </w:t>
      </w:r>
      <w:r>
        <w:t xml:space="preserve">opgelegd </w:t>
      </w:r>
      <w:r>
        <w:t xml:space="preserve">na gerechtelijke bevestiging van aanhoudend weigerend gedrag. De betalingen voor verrichte arbeid en de afgedragen premies blijven bij de werknemers; indien de rechtbank definitief vaststelt dat </w:t>
      </w:r>
      <w:r w:rsidR="00615F18">
        <w:t xml:space="preserve">er</w:t>
      </w:r>
      <w:r>
        <w:t xml:space="preserve"> geen </w:t>
      </w:r>
      <w:r w:rsidR="00615F18">
        <w:t xml:space="preserve">sprake was van een dienstverband</w:t>
      </w:r>
      <w:r>
        <w:t xml:space="preserve">, verkrijgt het platform het recht op </w:t>
      </w:r>
      <w:r w:rsidR="005D1CAF">
        <w:t xml:space="preserve">een</w:t>
      </w:r>
      <w:r>
        <w:t xml:space="preserve"> beperkte </w:t>
      </w:r>
      <w:r w:rsidR="005D1CAF">
        <w:t xml:space="preserve">terugvordering van slechts </w:t>
      </w:r>
      <w:r>
        <w:t xml:space="preserve">dat deel van de uitkeringen dat het bedrag overschrijdt dat waarop zelfstandigen in dezelfde periode recht hebben </w:t>
      </w:r>
      <w:r w:rsidR="00D7386B">
        <w:t xml:space="preserve">– </w:t>
      </w:r>
      <w:r>
        <w:t xml:space="preserve">zonder rente en binnen een redelijke termijn die door de wetgever wordt vastgesteld (voorgesteld: tot 24 maanden), waarbij vergoedingen voor verricht werk, premies en onkostenvergoedingen niet worden terugbetaald. </w:t>
      </w:r>
    </w:p>
    <w:p w:rsidR="005D1CAF" w:rsidP="00750824" w:rsidRDefault="005D1CAF" w14:paraId="0EAF7B61" w14:textId="77777777">
      <w:pPr>
        <w:jc w:val="both"/>
      </w:pPr>
    </w:p>
    <w:p w:rsidR="00D90A18" w:rsidP="00750824" w:rsidRDefault="00000000" w14:paraId="3B72E63A" w14:textId="019D19BF">
      <w:pPr>
        <w:jc w:val="both"/>
      </w:pPr>
      <w:r>
        <w:t xml:space="preserve">De staat neemt het risico van een onjuiste vaststelling van de arbeidsstatus op zich: als </w:t>
      </w:r>
      <w:r>
        <w:t xml:space="preserve">de beslissing</w:t>
      </w:r>
      <w:r w:rsidR="005D1CAF">
        <w:t xml:space="preserve"> van de inspecteur </w:t>
      </w:r>
      <w:r>
        <w:t xml:space="preserve">onjuist blijkt te zijn, draagt de staat de last van de terugbetaling van de uitkeringen, niet de werknemer en niet het platform. Hiermee staat de staat garant voor de betrouwbaarheid </w:t>
      </w:r>
      <w:r>
        <w:t xml:space="preserve">van de beslissing</w:t>
      </w:r>
      <w:r w:rsidR="005D1CAF">
        <w:t xml:space="preserve"> van de inspecteur </w:t>
      </w:r>
      <w:r>
        <w:t xml:space="preserve">en creëert hij tegelijkertijd een economische prikkel voor kwalitatief hoogstaand werk van de inspectiedienst </w:t>
      </w:r>
      <w:r w:rsidR="00D7386B">
        <w:t xml:space="preserve">– </w:t>
      </w:r>
      <w:r>
        <w:t xml:space="preserve">als de staat moet betalen wanneer de inspectiedienst zich vergist, zal hij investeren in personeel, opleiding en algoritmische expertise </w:t>
      </w:r>
      <w:r w:rsidR="005D1CAF">
        <w:t xml:space="preserve">die fouten voorkomen</w:t>
      </w:r>
      <w:r>
        <w:t xml:space="preserve">.</w:t>
      </w:r>
    </w:p>
    <w:p w:rsidR="00D90A18" w:rsidP="00750824" w:rsidRDefault="00000000" w14:paraId="41F71011" w14:textId="5DB7C7EE">
      <w:pPr>
        <w:pStyle w:val="Naslov3"/>
        <w:jc w:val="both"/>
      </w:pPr>
      <w:r>
        <w:t xml:space="preserve">Aanbeveling 6.6 [RICHTLIJN]: Collectieve uitoefening van rechten en collectieve procedures</w:t>
      </w:r>
    </w:p>
    <w:p w:rsidR="00983F19" w:rsidP="00750824" w:rsidRDefault="00000000" w14:paraId="3E304394" w14:textId="5EE2445E">
      <w:pPr>
        <w:jc w:val="both"/>
      </w:pPr>
      <w:r>
        <w:lastRenderedPageBreak/>
      </w:r>
      <w:r>
        <w:t xml:space="preserve">Zie in zijn geheel Aanbeveling 3.5. Hoofdstuk V </w:t>
      </w:r>
      <w:r w:rsidR="005D1CAF">
        <w:t xml:space="preserve">van de richtlijn </w:t>
      </w:r>
      <w:r>
        <w:t xml:space="preserve">versterkt </w:t>
      </w:r>
      <w:r w:rsidR="005D1CAF">
        <w:t xml:space="preserve">deze </w:t>
      </w:r>
      <w:r>
        <w:t xml:space="preserve">eis: lidstaten moeten bij de omzetting expliciet de procedurele regels vastleggen voor de collectieve handhaving van rechten door vakbonden, aangezien </w:t>
      </w:r>
      <w:r>
        <w:t xml:space="preserve">de wetgeving </w:t>
      </w:r>
      <w:r>
        <w:t xml:space="preserve">in meerdere landen </w:t>
      </w:r>
      <w:r w:rsidR="00D7386B">
        <w:t xml:space="preserve">– </w:t>
      </w:r>
      <w:r>
        <w:t xml:space="preserve">waaronder Duitsland en Slovenië </w:t>
      </w:r>
      <w:r w:rsidR="00D7386B">
        <w:t xml:space="preserve">– </w:t>
      </w:r>
      <w:r>
        <w:t xml:space="preserve">collectieve vorderingen in arbeidsrechtelijke zaken helemaal niet kent. Dit is de enige realistische weg naar structurele veranderingen in een sector waar werknemers uit angst voor het verlies van toegang tot het platform geen individuele procedures zullen starten.</w:t>
      </w:r>
    </w:p>
    <w:p w:rsidR="00D90A18" w:rsidP="00750824" w:rsidRDefault="00D90A18" w14:paraId="5C9D51B7" w14:textId="77777777">
      <w:pPr>
        <w:jc w:val="both"/>
      </w:pPr>
    </w:p>
    <w:p w:rsidR="00983F19" w:rsidP="00750824" w:rsidRDefault="00000000" w14:paraId="1A54C83A" w14:textId="08861689">
      <w:pPr>
        <w:jc w:val="both"/>
      </w:pPr>
      <w:r>
        <w:rPr>
          <w:i/>
          <w:iCs/>
        </w:rPr>
        <w:t xml:space="preserve">Bronnen: Verslag van de deskundigengroep voor de omzetting van Richtlijn (EU) 2024/2831 (januari 2026); Notulen van de tussentijdse conferentie van de SDDP, Ljubljana, mei 2025; Richtlijnen van de ZSSS voor de implementatie van Richtlijn (EU) 2024/2831 (april 2025); Gezamenlijk kader van de sociale partners voor de implementatie van de richtlijn </w:t>
      </w:r>
      <w:r w:rsidR="00D7386B">
        <w:rPr>
          <w:i/>
          <w:iCs/>
        </w:rPr>
        <w:t xml:space="preserve">– </w:t>
      </w:r>
      <w:r>
        <w:rPr>
          <w:i/>
          <w:iCs/>
        </w:rPr>
        <w:t xml:space="preserve">voorstel van de SDDP (2026).</w:t>
      </w:r>
    </w:p>
    <w:p w:rsidR="00D90A18" w:rsidP="00750824" w:rsidRDefault="00000000" w14:paraId="41921E61" w14:textId="6E7DDB49">
      <w:pPr>
        <w:pStyle w:val="Naslov3"/>
        <w:jc w:val="both"/>
      </w:pPr>
      <w:r>
        <w:t xml:space="preserve">Aanbeveling 6.7 [AMBITIEUS]: ESG/financiële druk als parallel mechanisme om de naleving door platforms te bevorderen</w:t>
      </w:r>
    </w:p>
    <w:p w:rsidR="00D90A18" w:rsidP="00750824" w:rsidRDefault="00000000" w14:paraId="1DA449C1" w14:textId="2BFCEEB4">
      <w:pPr>
        <w:jc w:val="both"/>
      </w:pPr>
      <w:r>
        <w:t xml:space="preserve">Ministeries moeten </w:t>
      </w:r>
      <w:r>
        <w:t xml:space="preserve">samenwerken met kapitaalmarktregulatoren (ESMA) en instanties voor </w:t>
      </w:r>
      <w:r>
        <w:t xml:space="preserve">duurzaamheidsrapportage </w:t>
      </w:r>
      <w:r>
        <w:t xml:space="preserve">om </w:t>
      </w:r>
      <w:r w:rsidR="005D1CAF">
        <w:t xml:space="preserve">ervoor te zorgen </w:t>
      </w:r>
      <w:r>
        <w:t xml:space="preserve">dat het ontbreken van een sociaal certificaat een meetbare negatieve sociale impact heeft voor beursgenoteerde platforms. Platforms die moeten rapporteren volgens de CSRD-normen (ESRS S1 voor werknemers, ESRS S2 voor werknemers in de toeleveringsketen) moeten de arbeidsrechtelijke status en arbeidsvoorwaarden </w:t>
      </w:r>
      <w:r>
        <w:t xml:space="preserve">van platformwerkers</w:t>
      </w:r>
      <w:r>
        <w:t xml:space="preserve"> openbaar maken </w:t>
      </w:r>
      <w:r w:rsidR="00D7386B">
        <w:t xml:space="preserve">– </w:t>
      </w:r>
      <w:r>
        <w:t xml:space="preserve">het ontbreken van een sociaal certificaat is een gedocumenteerde negatieve sociale indicator. Volgens de SFDR-verordening (2019/2088/EU) moeten fondsen met een ESG-mandaat (staatspensioenfondsen, verzekeringsmaatschappijen) het niet naleven van de richtlijn inzake </w:t>
      </w:r>
      <w:r>
        <w:t xml:space="preserve">platformwerk openbaar maken als </w:t>
      </w:r>
      <w:r>
        <w:t xml:space="preserve">‘Principal </w:t>
      </w:r>
      <w:r>
        <w:t xml:space="preserve">Adverse </w:t>
      </w:r>
      <w:r w:rsidR="00016B3D">
        <w:t xml:space="preserve">Impact’</w:t>
      </w:r>
      <w:r w:rsidR="005D1CAF">
        <w:t xml:space="preserve">, </w:t>
      </w:r>
      <w:r>
        <w:t xml:space="preserve">wat de kapitaalkosten van het platform verhoogt en de toegang tot institutionele beleggers beperkt. De ministeries moeten ervoor zorgen dat de bevoegde autoriteiten de ESG-agentschappen (MSCI ESG, </w:t>
      </w:r>
      <w:r>
        <w:t xml:space="preserve">Sustainalytics</w:t>
      </w:r>
      <w:r>
        <w:t xml:space="preserve">, ISS) </w:t>
      </w:r>
      <w:r>
        <w:t xml:space="preserve">systematisch op de hoogte brengen </w:t>
      </w:r>
      <w:r>
        <w:t xml:space="preserve">van vastgestelde inbreuken op de richtlijn, aangezien een lagere ESG-beoordeling voor wereldwijde platforms (bijv. </w:t>
      </w:r>
      <w:r>
        <w:t xml:space="preserve">Delivery </w:t>
      </w:r>
      <w:r>
        <w:t xml:space="preserve">Hero/DAX, </w:t>
      </w:r>
      <w:r>
        <w:t xml:space="preserve">Uber/NYSE) een directe financiële consequentie heeft die voor dergelijke entiteiten </w:t>
      </w:r>
      <w:r w:rsidR="005D1CAF">
        <w:t xml:space="preserve">pijnlijker</w:t>
      </w:r>
      <w:r>
        <w:t xml:space="preserve"> is </w:t>
      </w:r>
      <w:r>
        <w:t xml:space="preserve">dan nationale boetes.</w:t>
      </w:r>
    </w:p>
    <w:p w:rsidR="005D1CAF" w:rsidP="00750824" w:rsidRDefault="005D1CAF" w14:paraId="3ACF0DE9" w14:textId="77777777">
      <w:pPr>
        <w:jc w:val="both"/>
      </w:pPr>
    </w:p>
    <w:p w:rsidR="00D90A18" w:rsidP="00750824" w:rsidRDefault="00000000" w14:paraId="42AE34C6" w14:textId="13C5A036">
      <w:pPr>
        <w:pStyle w:val="Blokbesedila"/>
      </w:pPr>
      <w:r>
        <w:t xml:space="preserve">Achtergrond: De eerste pijler van het SDDP-protocol introduceert een sociaal certificaat als openbare bevestiging van naleving, met gevolgen voor de financiële markten via een meerfasige causale keten: (1) niet-naleving wordt gedocumenteerd (arbeidsinspectie of vonnis) </w:t>
      </w:r>
      <w:r w:rsidR="00D7386B">
        <w:t xml:space="preserve">– </w:t>
      </w:r>
      <w:r>
        <w:t xml:space="preserve">(2) het platform maakt dit openbaar volgens de CSRD (Richtlijn 2022/2464/EU) in de ESRS S1/S2-normen </w:t>
      </w:r>
      <w:r w:rsidR="00D7386B">
        <w:t xml:space="preserve">– </w:t>
      </w:r>
      <w:r>
        <w:t xml:space="preserve">(3) ESG-bureaus (MSCI ESG, </w:t>
      </w:r>
      <w:r>
        <w:t xml:space="preserve">Sustainalytics</w:t>
      </w:r>
      <w:r>
        <w:t xml:space="preserve">, ISS) verlagen de rating </w:t>
      </w:r>
      <w:r w:rsidR="00D7386B">
        <w:t xml:space="preserve">– </w:t>
      </w:r>
      <w:r>
        <w:t xml:space="preserve">(4) institutionele beleggers </w:t>
      </w:r>
      <w:r>
        <w:t xml:space="preserve">maken</w:t>
      </w:r>
      <w:r>
        <w:t xml:space="preserve"> dit openbaar </w:t>
      </w:r>
      <w:r>
        <w:t xml:space="preserve">via rapportage over „principal </w:t>
      </w:r>
      <w:r>
        <w:t xml:space="preserve">adverse </w:t>
      </w:r>
      <w:r>
        <w:t xml:space="preserve">impact” volgens de SFDR-verordening (2019/2088/EU) </w:t>
      </w:r>
      <w:r w:rsidR="00D7386B">
        <w:t xml:space="preserve">– </w:t>
      </w:r>
      <w:r>
        <w:t xml:space="preserve">(5) de financieringskosten stijgen. De vertraging bedraagt 1–2 jaar, maar het effect is blijvend. </w:t>
      </w:r>
      <w:r>
        <w:t xml:space="preserve">Delivery </w:t>
      </w:r>
      <w:r>
        <w:t xml:space="preserve">Hero </w:t>
      </w:r>
      <w:r>
        <w:t xml:space="preserve">is genoteerd aan de DAX, </w:t>
      </w:r>
      <w:r>
        <w:t xml:space="preserve">Uber </w:t>
      </w:r>
      <w:r>
        <w:t xml:space="preserve">aan de NYSE </w:t>
      </w:r>
      <w:r w:rsidR="00D7386B">
        <w:t xml:space="preserve">– </w:t>
      </w:r>
      <w:r>
        <w:t xml:space="preserve">een lagere ESG-beoordeling vertaalt zich in een hogere risicopremie en een lagere marktwaarde. Deze financiële druk is voor een wereldwijd platform aanzienlijk pijnlijker dan het mislopen van een enkele overheidsopdracht.</w:t>
      </w:r>
    </w:p>
    <w:p w:rsidR="00750824" w:rsidRDefault="00750824" w14:paraId="101D57FD" w14:textId="77777777">
      <w:pPr>
        <w:rPr>
          <w:b/>
          <w:bCs/>
          <w:color w:val="1F3864"/>
          <w:sz w:val="36"/>
          <w:szCs w:val="36"/>
        </w:rPr>
      </w:pPr>
      <w:bookmarkStart w:name="X2e90f431d41461f94a17746c4d41698b0106f03" w:id="59"/>
      <w:bookmarkEnd w:id="46"/>
      <w:bookmarkEnd w:id="58"/>
      <w:r>
        <w:br w:type="page"/>
      </w:r>
    </w:p>
    <w:p w:rsidR="00983F19" w:rsidP="00750824" w:rsidRDefault="00000000" w14:paraId="302B6A98" w14:textId="6D5279F3">
      <w:pPr>
        <w:pStyle w:val="Naslov1"/>
        <w:jc w:val="both"/>
      </w:pPr>
      <w:bookmarkStart w:name="_Toc233699500" w:id="60"/>
      <w:r>
        <w:lastRenderedPageBreak/>
      </w:r>
      <w:r>
        <w:t xml:space="preserve">Hoofdstuk 7: Handhaving en rechtsmiddelen</w:t>
      </w:r>
      <w:bookmarkEnd w:id="60"/>
    </w:p>
    <w:p w:rsidR="00983F19" w:rsidP="00750824" w:rsidRDefault="00000000" w14:paraId="0CA51AD2" w14:textId="31318C20">
      <w:pPr>
        <w:jc w:val="both"/>
      </w:pPr>
      <w:r>
        <w:t xml:space="preserve">De rechten die de richtlijn waarborgt, zijn </w:t>
      </w:r>
      <w:r w:rsidR="009C0D64">
        <w:t xml:space="preserve">slechts </w:t>
      </w:r>
      <w:r>
        <w:t xml:space="preserve">zoveel </w:t>
      </w:r>
      <w:r>
        <w:t xml:space="preserve">waard </w:t>
      </w:r>
      <w:r>
        <w:t xml:space="preserve">als de kans dat ze </w:t>
      </w:r>
      <w:r w:rsidR="009C0D64">
        <w:t xml:space="preserve">in de praktijk </w:t>
      </w:r>
      <w:r>
        <w:t xml:space="preserve">daadwerkelijk kunnen worden afgedwongen</w:t>
      </w:r>
      <w:r>
        <w:t xml:space="preserve">. Dit is het fundamentele probleem van hoofdstuk V van de richtlijn: de artikelen 18 tot en met 24 </w:t>
      </w:r>
      <w:r>
        <w:t xml:space="preserve">scheppen</w:t>
      </w:r>
      <w:r w:rsidR="009C0D64">
        <w:t xml:space="preserve"> weliswaar </w:t>
      </w:r>
      <w:r>
        <w:t xml:space="preserve">een kader voor handhaving, maar zonder adequate financiering van de inspectiediensten, zonder </w:t>
      </w:r>
      <w:r w:rsidR="009C0D64">
        <w:t xml:space="preserve">de mogelijkheid </w:t>
      </w:r>
      <w:r>
        <w:t xml:space="preserve">tot collectieve rechtszaken en zonder </w:t>
      </w:r>
      <w:r>
        <w:t xml:space="preserve">afschrikkende sancties </w:t>
      </w:r>
      <w:r w:rsidR="009C0D64">
        <w:t xml:space="preserve">voor de platforms </w:t>
      </w:r>
      <w:r>
        <w:t xml:space="preserve">blijft dit kader grotendeels formeel. Platforms zijn goed gefinancierde rechtspersonen die zich langdurige rechtszaken kunnen veroorloven</w:t>
      </w:r>
      <w:r w:rsidR="009C0D64">
        <w:t xml:space="preserve">, </w:t>
      </w:r>
      <w:r w:rsidR="009C0D64">
        <w:t xml:space="preserve">terwijl</w:t>
      </w:r>
      <w:r>
        <w:t xml:space="preserve"> werknemers en vakbonden </w:t>
      </w:r>
      <w:r>
        <w:t xml:space="preserve">dat doorgaans niet kunnen. De rode draad in dit hoofdstuk is dan ook: handhaving zonder collectieve procedures en zonder voldoende strenge sancties is </w:t>
      </w:r>
      <w:r w:rsidR="009C0D64">
        <w:t xml:space="preserve">slechts </w:t>
      </w:r>
      <w:r>
        <w:t xml:space="preserve">schijn.</w:t>
      </w:r>
    </w:p>
    <w:p w:rsidR="00983F19" w:rsidP="00750824" w:rsidRDefault="00000000" w14:paraId="35029659" w14:textId="77777777">
      <w:pPr>
        <w:pStyle w:val="Naslov2"/>
        <w:jc w:val="both"/>
      </w:pPr>
      <w:bookmarkStart w:name="_Toc233699501" w:id="61"/>
      <w:bookmarkStart w:name="zahteve-direktive-4" w:id="62"/>
      <w:r>
        <w:t xml:space="preserve">7.1 Eisen van de richtlijn</w:t>
      </w:r>
      <w:bookmarkEnd w:id="61"/>
    </w:p>
    <w:p w:rsidR="00983F19" w:rsidP="00750824" w:rsidRDefault="00000000" w14:paraId="3F4EA6AE" w14:textId="306C1FBE">
      <w:pPr>
        <w:jc w:val="both"/>
      </w:pPr>
      <w:r>
        <w:t xml:space="preserve">Artikel 18 </w:t>
      </w:r>
      <w:r w:rsidR="009C0D64">
        <w:t xml:space="preserve">garandeert </w:t>
      </w:r>
      <w:r>
        <w:t xml:space="preserve">iedereen die </w:t>
      </w:r>
      <w:r>
        <w:t xml:space="preserve">platformwerk</w:t>
      </w:r>
      <w:r>
        <w:t xml:space="preserve"> verricht </w:t>
      </w:r>
      <w:r>
        <w:t xml:space="preserve">het recht op toegang tot tijdige, doeltreffende en onpartijdige procedures voor geschillenbeslechting en op passende schadevergoeding voor schade die voortvloeit uit de schending van enig recht uit de richtlijn. Het recht op rechtsbescherming blijft ook na beëindiging van de contractuele relatie met het platform bestaan </w:t>
      </w:r>
      <w:r w:rsidR="00D7386B">
        <w:t xml:space="preserve">– </w:t>
      </w:r>
      <w:r>
        <w:t xml:space="preserve">het platform kan dus niet door </w:t>
      </w:r>
      <w:r>
        <w:t xml:space="preserve">beëindiging van de relatie de toegang tot rechtsbescherming afsluiten. Een deskundigengroep van de Europese Commissie heeft verduidelijkt: de procedures kunnen administratief of gerechtelijk zijn, met inbegrip van </w:t>
      </w:r>
      <w:r w:rsidR="0030041A">
        <w:t xml:space="preserve">buitengerechtelijke </w:t>
      </w:r>
      <w:r w:rsidR="0030041A">
        <w:t xml:space="preserve">schikkingen, </w:t>
      </w:r>
      <w:r>
        <w:t xml:space="preserve">maar ongeacht de aard van de procedure moet de weg naar de rechter voor de werknemer altijd open blijven</w:t>
      </w:r>
      <w:r w:rsidR="0030041A">
        <w:t xml:space="preserve">.</w:t>
      </w:r>
    </w:p>
    <w:p w:rsidR="00D90A18" w:rsidP="00750824" w:rsidRDefault="00D90A18" w14:paraId="475D2C97" w14:textId="77777777">
      <w:pPr>
        <w:jc w:val="both"/>
      </w:pPr>
    </w:p>
    <w:p w:rsidR="00983F19" w:rsidP="00750824" w:rsidRDefault="00000000" w14:paraId="5C846C5A" w14:textId="60DF7432">
      <w:pPr>
        <w:jc w:val="both"/>
      </w:pPr>
      <w:r>
        <w:t xml:space="preserve">Artikel 19 is een van de belangrijkste procedurele verworvenheden van de richtlijn voor vakbonden: vakbonden en andere rechtspersonen met een legitiem belang mogen gerechtelijke of administratieve procedures inleiden namens of ter ondersteuning van een of meer personen die </w:t>
      </w:r>
      <w:r>
        <w:t xml:space="preserve">platformwerk</w:t>
      </w:r>
      <w:r>
        <w:t xml:space="preserve"> verrichten, </w:t>
      </w:r>
      <w:r>
        <w:t xml:space="preserve">in geval van schendingen van enig recht uit de richtlijn. De deskundigengroep </w:t>
      </w:r>
      <w:r w:rsidR="0030041A">
        <w:t xml:space="preserve">van de Europese Commissie </w:t>
      </w:r>
      <w:r>
        <w:t xml:space="preserve">heeft bevestigd dat deze bepaling het recht om procedures in te leiden omvat, en niet alleen het recht om zich aan te sluiten bij reeds lopende procedures. Zij heeft eveneens bevestigd </w:t>
      </w:r>
      <w:r w:rsidR="0030041A">
        <w:t xml:space="preserve">dat </w:t>
      </w:r>
      <w:r w:rsidR="0030041A">
        <w:t xml:space="preserve">de procedures </w:t>
      </w:r>
      <w:r>
        <w:t xml:space="preserve">collectief kunnen </w:t>
      </w:r>
      <w:r>
        <w:t xml:space="preserve">zijn</w:t>
      </w:r>
      <w:r>
        <w:t xml:space="preserve">. Het nationale recht regelt de details met betrekking tot vertegenwoordiging en toestemming, maar de richtlijn vereist van de lidstaten dat zij ten minste één van de volgende vormen waarborgen: optreden namens de werknemer of optreden ter ondersteuning van de werknemer. Beide zijn mogelijk.</w:t>
      </w:r>
    </w:p>
    <w:p w:rsidR="00D90A18" w:rsidP="00750824" w:rsidRDefault="00D90A18" w14:paraId="5F3DAE2E" w14:textId="77777777">
      <w:pPr>
        <w:jc w:val="both"/>
      </w:pPr>
    </w:p>
    <w:p w:rsidR="00983F19" w:rsidP="00750824" w:rsidRDefault="00000000" w14:paraId="5C5013B8" w14:textId="23235FF1">
      <w:pPr>
        <w:jc w:val="both"/>
      </w:pPr>
      <w:r>
        <w:t xml:space="preserve">Artikel 20 regelt de communicatiekanalen voor personen die </w:t>
      </w:r>
      <w:r>
        <w:t xml:space="preserve">platformwerk</w:t>
      </w:r>
      <w:r>
        <w:t xml:space="preserve"> verrichten</w:t>
      </w:r>
      <w:r>
        <w:t xml:space="preserve">. Het platform moet zorgen voor een digitale infrastructuur die werknemers in staat stelt om onderling privé en veilig te communiceren en contact op te nemen met vakbondsvertegenwoordigers. Het platform mag geen toegang hebben tot de inhoud van deze communicatie </w:t>
      </w:r>
      <w:r w:rsidR="00A14D12">
        <w:t xml:space="preserve">en </w:t>
      </w:r>
      <w:r>
        <w:t xml:space="preserve">deze niet controleren. De deskundigengroep was duidelijk: </w:t>
      </w:r>
      <w:r>
        <w:t xml:space="preserve">een groepschat op een extern platform, zoals </w:t>
      </w:r>
      <w:r>
        <w:t xml:space="preserve">WhatsApp</w:t>
      </w:r>
      <w:r>
        <w:t xml:space="preserve">, voldoet niet aan deze voorwaarde </w:t>
      </w:r>
      <w:r w:rsidR="00D7386B">
        <w:t xml:space="preserve">– </w:t>
      </w:r>
      <w:r>
        <w:t xml:space="preserve">de kanalen moeten individueel toegankelijk zijn voor vakbondsvertegenwoordigers en de privacy moet technisch worden gewaarborgd. Eventuele </w:t>
      </w:r>
      <w:r>
        <w:t xml:space="preserve">moderatie </w:t>
      </w:r>
      <w:r>
        <w:t xml:space="preserve">van de inhoud (bijvoorbeeld bij gewelddadige berichten) moet worden toevertrouwd aan een onafhankelijke derde partij, niet aan medewerkers van het platform.</w:t>
      </w:r>
    </w:p>
    <w:p w:rsidR="00D90A18" w:rsidP="00750824" w:rsidRDefault="00D90A18" w14:paraId="07116119" w14:textId="77777777">
      <w:pPr>
        <w:jc w:val="both"/>
      </w:pPr>
    </w:p>
    <w:p w:rsidR="00983F19" w:rsidP="00750824" w:rsidRDefault="00000000" w14:paraId="40C6BB19" w14:textId="7290A77D">
      <w:pPr>
        <w:jc w:val="both"/>
      </w:pPr>
      <w:r>
        <w:t xml:space="preserve">Artikel 21 regelt de toegang tot bewijsmateriaal. Rechtbanken en bevoegde autoriteiten moeten de bevoegdheid hebben om van het platform te eisen dat het alle relevante bewijsmateriaal waarover het beschikt openbaar maakt </w:t>
      </w:r>
      <w:r w:rsidR="00D7386B">
        <w:t xml:space="preserve">– </w:t>
      </w:r>
      <w:r>
        <w:t xml:space="preserve">met inbegrip van vertrouwelijke informatie, waarbij er passende mechanismen voor de bescherming van de vertrouwelijkheid moeten bestaan. De deskundigengroep heeft erop gewezen dat cruciaal bewijsmateriaal over instructies en toezicht via algoritmen doorgaans in het bezit is van het platform en </w:t>
      </w:r>
      <w:r>
        <w:t xml:space="preserve">niet toegankelijk is voor </w:t>
      </w:r>
      <w:r>
        <w:t xml:space="preserve">werknemers </w:t>
      </w:r>
      <w:r w:rsidR="00A14D12">
        <w:t xml:space="preserve">en hun vertegenwoordigers</w:t>
      </w:r>
      <w:r>
        <w:t xml:space="preserve">. Het beroep op het bedrijfsgeheim vormt geen absolute belemmering voor openbaarmaking </w:t>
      </w:r>
      <w:r w:rsidR="00D7386B">
        <w:t xml:space="preserve">– </w:t>
      </w:r>
      <w:r>
        <w:t xml:space="preserve">de rechter is bevoegd om openbaarmaking te gelasten met passende beschermingsmaatregelen.</w:t>
      </w:r>
    </w:p>
    <w:p w:rsidR="00D90A18" w:rsidP="00750824" w:rsidRDefault="00D90A18" w14:paraId="23047EB5" w14:textId="77777777">
      <w:pPr>
        <w:jc w:val="both"/>
      </w:pPr>
    </w:p>
    <w:p w:rsidR="00983F19" w:rsidP="00750824" w:rsidRDefault="00000000" w14:paraId="7E7DAA4F" w14:textId="3A2E838B">
      <w:pPr>
        <w:jc w:val="both"/>
      </w:pPr>
      <w:r>
        <w:t xml:space="preserve">Artikel 22 </w:t>
      </w:r>
      <w:r w:rsidR="00016B3D">
        <w:t xml:space="preserve">beschermt </w:t>
      </w:r>
      <w:r>
        <w:t xml:space="preserve">alle personen die </w:t>
      </w:r>
      <w:r>
        <w:t xml:space="preserve">platformwerk</w:t>
      </w:r>
      <w:r>
        <w:t xml:space="preserve"> verrichten </w:t>
      </w:r>
      <w:r>
        <w:t xml:space="preserve">tegen </w:t>
      </w:r>
      <w:r w:rsidR="00A14D12">
        <w:t xml:space="preserve">vergeldingsmaatregelen </w:t>
      </w:r>
      <w:r>
        <w:t xml:space="preserve">als reactie op het uitoefenen van de rechten uit de richtlijn. De richtlijn stelt uitdrukkelijk: lagere beoordelingen, minder toegewezen opdrachten en elke andere vorm van verkapte straf zijn verboden. De deskundigengroep voegde hieraan toe: het toewijzen van minder opdrachten of verscherpt toezicht na het uitoefenen van rechten zijn typische voorbeelden van verboden vergeldingsmaatregelen </w:t>
      </w:r>
      <w:r w:rsidR="00D7386B">
        <w:t xml:space="preserve">– </w:t>
      </w:r>
      <w:r>
        <w:t xml:space="preserve">er hoeft alleen een causaal verband te worden aangetoond tussen het uitoefenen van rechten en de nadelige maatregel, waarbij de bewijslast bij het platform ligt. Artikel 23 breidt deze bescherming specifiek uit tot opzegging of gelijkwaardige maatregelen: het platform mag de contractuele relatie met de werknemer niet beëindigen of zijn account blokkeren omdat hij zijn rechten uit de richtlijn heeft uitgeoefend. Ook moet het platform op verzoek van de werknemer schriftelijk de redenen voor de beëindiging vermelden. De bewijslast rust op het platform </w:t>
      </w:r>
      <w:r w:rsidR="00D7386B">
        <w:t xml:space="preserve">– </w:t>
      </w:r>
      <w:r>
        <w:t xml:space="preserve">dit moet aantonen dat de beëindiging niet het gevolg was van het uitoefenen van rechten.</w:t>
      </w:r>
    </w:p>
    <w:p w:rsidR="00D90A18" w:rsidP="00750824" w:rsidRDefault="00D90A18" w14:paraId="35FBA09F" w14:textId="77777777">
      <w:pPr>
        <w:jc w:val="both"/>
      </w:pPr>
    </w:p>
    <w:p w:rsidR="00983F19" w:rsidP="00750824" w:rsidRDefault="00000000" w14:paraId="114DBA6C" w14:textId="17261AE2">
      <w:pPr>
        <w:jc w:val="both"/>
      </w:pPr>
      <w:r>
        <w:t xml:space="preserve">Artikel 24 regelt toezicht en sancties. De gegevensbeschermingsautoriteiten zijn bevoegd voor het toezicht </w:t>
      </w:r>
      <w:r w:rsidR="00A14D12">
        <w:t xml:space="preserve">op de artikelen</w:t>
      </w:r>
      <w:r>
        <w:t xml:space="preserve"> 7 tot en met 11, </w:t>
      </w:r>
      <w:r w:rsidR="00A14D12">
        <w:t xml:space="preserve">voor zover </w:t>
      </w:r>
      <w:r>
        <w:t xml:space="preserve">het om gegevensbeschermingskwesties gaat; voor de overige bepalingen van de richtlijn zijn de arbeidsinspecties en andere bevoegde autoriteiten bevoegd. Artikel 24, lid 2, schrijft tussen hen verplichte samenwerking voor, met inbegrip van de uitwisseling van informatie uit </w:t>
      </w:r>
      <w:r w:rsidR="00A14D12">
        <w:t xml:space="preserve">inspecties </w:t>
      </w:r>
      <w:r>
        <w:t xml:space="preserve">en onderzoeken. Artikel 24, lid 5, schrijft voor dat sancties voor inbreuken op de bepalingen van de richtlijn doeltreffend, evenredig en afschrikkend moeten zijn </w:t>
      </w:r>
      <w:r w:rsidR="00D7386B">
        <w:t xml:space="preserve">– </w:t>
      </w:r>
      <w:r>
        <w:t xml:space="preserve">de evenredigheid wordt afgemeten aan de omvang van het platform en het aantal betrokken werknemers. Cruciaal is de bepaling in artikel 24, lid 6: indien een platform geen gevolg geeft aan de eerste definitieve gerechtelijke of administratieve uitspraak over de arbeidsstatus van werknemers, moeten de lidstaten zorgen voor aanvullende sancties, die financieel van aard kunnen zijn.</w:t>
      </w:r>
    </w:p>
    <w:p w:rsidR="00983F19" w:rsidP="00750824" w:rsidRDefault="00000000" w14:paraId="6DF57FB9" w14:textId="77777777">
      <w:pPr>
        <w:pStyle w:val="Naslov2"/>
        <w:jc w:val="both"/>
      </w:pPr>
      <w:bookmarkStart w:name="_Toc233699502" w:id="63"/>
      <w:bookmarkStart w:name="ugotovitve-iz-prakse-4" w:id="64"/>
      <w:bookmarkEnd w:id="62"/>
      <w:r>
        <w:t xml:space="preserve">7.2 Bevindingen uit de praktijk</w:t>
      </w:r>
      <w:bookmarkEnd w:id="63"/>
    </w:p>
    <w:p w:rsidR="00983F19" w:rsidP="00750824" w:rsidRDefault="00000000" w14:paraId="7E31C8C6" w14:textId="2AF82EC0">
      <w:pPr>
        <w:jc w:val="both"/>
      </w:pPr>
      <w:r>
        <w:t xml:space="preserve">De gezamenlijke conclusie van alle partners van het SDDP-project is ondubbelzinnig: de handhaving van de rechten </w:t>
      </w:r>
      <w:r>
        <w:t xml:space="preserve">van platformwerkers stuit in alle vijf partnerlanden op </w:t>
      </w:r>
      <w:r w:rsidR="00A14D12">
        <w:t xml:space="preserve">dezelfde </w:t>
      </w:r>
      <w:r>
        <w:t xml:space="preserve">structurele belemmeringen. Deze zijn niet specifiek voor een bepaald rechtsstelsel</w:t>
      </w:r>
      <w:r w:rsidR="00A14D12">
        <w:t xml:space="preserve">, maar </w:t>
      </w:r>
      <w:r>
        <w:t xml:space="preserve">vloeien voort uit </w:t>
      </w:r>
      <w:r w:rsidR="00A14D12">
        <w:t xml:space="preserve">de machtsongelijkheid </w:t>
      </w:r>
      <w:r>
        <w:t xml:space="preserve">tussen goed gefinancierde platforms en werknemers die niet over de middelen beschikken voor langdurige </w:t>
      </w:r>
      <w:r w:rsidR="00A14D12">
        <w:t xml:space="preserve">gerechtelijke </w:t>
      </w:r>
      <w:r>
        <w:t xml:space="preserve">procedures.</w:t>
      </w:r>
    </w:p>
    <w:p w:rsidR="00D90A18" w:rsidP="00750824" w:rsidRDefault="00D90A18" w14:paraId="56F05BC6" w14:textId="77777777">
      <w:pPr>
        <w:jc w:val="both"/>
      </w:pPr>
    </w:p>
    <w:p w:rsidR="00983F19" w:rsidP="00750824" w:rsidRDefault="00B11C0F" w14:paraId="5DFDA0E8" w14:textId="763582A7">
      <w:pPr>
        <w:jc w:val="both"/>
      </w:pPr>
      <w:r>
        <w:rPr>
          <w:b/>
          <w:bCs/>
        </w:rPr>
        <w:t xml:space="preserve">Financiële uitputting als strategie van de platforms. </w:t>
      </w:r>
      <w:r>
        <w:t xml:space="preserve">De platforms maken systematisch misbruik van de kostenasymmetrie: ze nemen teams van juridische adviseurs in dienst die procedures tot in hogere instanties voeren en </w:t>
      </w:r>
      <w:r>
        <w:t xml:space="preserve">kiezen voor </w:t>
      </w:r>
      <w:r>
        <w:t xml:space="preserve">langdurige </w:t>
      </w:r>
      <w:r>
        <w:t xml:space="preserve">beroepsprocedures </w:t>
      </w:r>
      <w:r w:rsidR="00D7386B">
        <w:t xml:space="preserve">– </w:t>
      </w:r>
      <w:r>
        <w:t xml:space="preserve">een strategie die de individuele werknemer uitput voordat hij of zij een definitieve uitspraak krijgt. Een voorbeeld uit Spanje is goed gedocumenteerd: na een uitspraak van het Hooggerechtshof in 2020, waarin de bezorgers </w:t>
      </w:r>
      <w:r>
        <w:t xml:space="preserve">van Glovo </w:t>
      </w:r>
      <w:r>
        <w:t xml:space="preserve">als werknemers </w:t>
      </w:r>
      <w:r>
        <w:t xml:space="preserve">werden </w:t>
      </w:r>
      <w:r>
        <w:t xml:space="preserve">erkend, zette het platform individuele procedures voort om elk afzonderlijk geval aan te vechten, in plaats van een systematische regeling te treffen. Individuele werknemers hebben zonder kosteloze rechtsbijstand en zonder collectieve procedure geen reële mogelijkheid om hun rechten te doen gelden.</w:t>
      </w:r>
    </w:p>
    <w:p w:rsidR="00D90A18" w:rsidP="00750824" w:rsidRDefault="00D90A18" w14:paraId="6612C649" w14:textId="77777777">
      <w:pPr>
        <w:jc w:val="both"/>
      </w:pPr>
    </w:p>
    <w:p w:rsidR="00983F19" w:rsidP="00750824" w:rsidRDefault="00000000" w14:paraId="794DCED5" w14:textId="18537679">
      <w:pPr>
        <w:jc w:val="both"/>
      </w:pPr>
      <w:r>
        <w:rPr>
          <w:b/>
          <w:bCs/>
        </w:rPr>
        <w:t xml:space="preserve">Collectieve rechtszaken: een structurele leemte in Duitsland en Slovenië. </w:t>
      </w:r>
      <w:r>
        <w:t xml:space="preserve">In beide landen kent het bestaande procesrecht geen collectieve rechtszaken in arbeidsrechtelijke zaken zoals de richtlijn die voorziet. Vakbonden kunnen geen procedure starten voor een groep werknemers zonder individuele volmachten van elk van hen</w:t>
      </w:r>
      <w:r w:rsidR="00B11C0F">
        <w:t xml:space="preserve">, </w:t>
      </w:r>
      <w:r>
        <w:t xml:space="preserve">wat in de praktijk vaak onhaalbaar is, aangezien de werknemers verspreid en anoniem zijn en bang zijn voor vergeldingsmaatregelen. Artikel 19 van de richtlijn </w:t>
      </w:r>
      <w:r w:rsidR="00B11C0F">
        <w:t xml:space="preserve">vereist dat </w:t>
      </w:r>
      <w:r>
        <w:t xml:space="preserve">deze leemte </w:t>
      </w:r>
      <w:r w:rsidR="00B11C0F">
        <w:t xml:space="preserve">wordt </w:t>
      </w:r>
      <w:r w:rsidR="00B11C0F">
        <w:t xml:space="preserve">opgevuld</w:t>
      </w:r>
      <w:r>
        <w:t xml:space="preserve">: de ministeries moeten zorgen voor een procedureel mechanisme dat het een vakbond mogelijk maakt om namens of ter ondersteuning van een groep werknemers op te treden zonder de individuele toestemming van elk van hen.</w:t>
      </w:r>
    </w:p>
    <w:p w:rsidR="00D90A18" w:rsidP="00750824" w:rsidRDefault="00D90A18" w14:paraId="3904CC4C" w14:textId="77777777">
      <w:pPr>
        <w:jc w:val="both"/>
      </w:pPr>
    </w:p>
    <w:p w:rsidR="00983F19" w:rsidP="00750824" w:rsidRDefault="00000000" w14:paraId="081E5076" w14:textId="740C1670">
      <w:pPr>
        <w:jc w:val="both"/>
      </w:pPr>
      <w:r>
        <w:rPr>
          <w:b/>
          <w:bCs/>
        </w:rPr>
        <w:lastRenderedPageBreak/>
      </w:r>
      <w:r>
        <w:rPr>
          <w:b/>
          <w:bCs/>
        </w:rPr>
        <w:t xml:space="preserve">Uitvoerders in het vlootsysteem: strafrechtelijke aansprakelijkheid van bestuurders in de Spaanse praktijk. </w:t>
      </w:r>
      <w:r>
        <w:t xml:space="preserve">De Spaanse ervaring na de inwerkingtreding van de Wet op de bezorgers in 2021 laat zien hoe platforms na de regulering massaal overschakelen op het vlootsysteem en hoe brievenbusbedrijven een middel worden om aansprakelijkheid te ontlopen. Wanneer een onderaannemer zijn bedrijf sluit, blijven de werknemers zonder loon achter en zonder iemand bij wie ze hun rechten kunnen doen gelden. De Spaanse autoriteiten hebben in sommige gevallen strafrechtelijke procedures ingeleid tegen bestuurders van schijnbedrijven die als tussenpersoon </w:t>
      </w:r>
      <w:r>
        <w:t xml:space="preserve">voor</w:t>
      </w:r>
      <w:r w:rsidR="00B11C0F">
        <w:t xml:space="preserve"> platforms</w:t>
      </w:r>
      <w:r>
        <w:t xml:space="preserve"> fungeerden </w:t>
      </w:r>
      <w:r>
        <w:t xml:space="preserve">om arbeidsrechtelijke verplichtingen te ontlopen. Dit is een model dat </w:t>
      </w:r>
      <w:r>
        <w:t xml:space="preserve">bij de omzetting van de richtlijn </w:t>
      </w:r>
      <w:r w:rsidR="00B11C0F">
        <w:t xml:space="preserve">in aanmerking</w:t>
      </w:r>
      <w:r>
        <w:t xml:space="preserve"> moet worden </w:t>
      </w:r>
      <w:r>
        <w:t xml:space="preserve">genomen.</w:t>
      </w:r>
      <w:r>
        <w:br/>
      </w:r>
      <w:r>
        <w:br/>
      </w:r>
      <w:r>
        <w:rPr>
          <w:b/>
          <w:bCs/>
        </w:rPr>
        <w:t xml:space="preserve">Financiering van de arbeidsinspecties: een gezamenlijke eis van alle partners. </w:t>
      </w:r>
      <w:r>
        <w:t xml:space="preserve">Elk van de vijf nationale bijdragen aan het SDDP-project wijst op de onderbezetting van de arbeidsinspecties: te weinig inspecteurs, onvoldoende bekwaamheid om toezicht te houden </w:t>
      </w:r>
      <w:r w:rsidR="00E11794">
        <w:t xml:space="preserve">op algoritmische systemen</w:t>
      </w:r>
      <w:r>
        <w:t xml:space="preserve">, en het ontbreken van instrumenten voor de analyse van gegevens over het werk op platforms. Inspecteuren die het algoritmische controlesysteem niet kunnen doorgronden, kunnen geen overtredingen vaststellen. Financiering en opleiding van de inspecteurs zijn een voorwaarde voor elke handhaving van de richtlijn</w:t>
      </w:r>
      <w:r w:rsidR="00E11794">
        <w:t xml:space="preserve">, </w:t>
      </w:r>
      <w:r>
        <w:t xml:space="preserve">niet slechts een aanbeveling.</w:t>
      </w:r>
    </w:p>
    <w:p w:rsidR="00D90A18" w:rsidP="00750824" w:rsidRDefault="00D90A18" w14:paraId="0E0171F9" w14:textId="77777777">
      <w:pPr>
        <w:jc w:val="both"/>
      </w:pPr>
    </w:p>
    <w:p w:rsidR="00983F19" w:rsidP="00750824" w:rsidRDefault="00000000" w14:paraId="687E0C49" w14:textId="68113A75">
      <w:pPr>
        <w:jc w:val="both"/>
      </w:pPr>
      <w:r>
        <w:rPr>
          <w:b/>
          <w:bCs/>
        </w:rPr>
        <w:t xml:space="preserve">Rechtsmiddelen via algoritmen: het bewijs is moeilijk te leveren.</w:t>
      </w:r>
      <w:r>
        <w:t xml:space="preserve"> Tijdens de conferentie van het SDDP-project in Ljubljana in mei 2025 beschreven vakbondsvertegenwoordigers uit alle partnerlanden hetzelfde patroon: na het indienen van een klacht of vakbondsactiviteiten ontvangt de werknemer in de daaropvolgende weken aanzienlijk minder opdrachten</w:t>
      </w:r>
      <w:r w:rsidR="00E11794">
        <w:t xml:space="preserve">, </w:t>
      </w:r>
      <w:r>
        <w:t xml:space="preserve">maar het platform verklaart dit als het gevolg van objectieve algoritmische parameters, niet als een sanctie. Het aantonen van een causaal verband zonder toegang tot algoritmische gegevens is praktisch onmogelijk. Artikel 21 van de richtlijn (toegang tot bewijsmateriaal) en artikel 22 (omgekeerde bewijslast) pakken deze asymmetrie gezamenlijk aan </w:t>
      </w:r>
      <w:r w:rsidR="00D7386B">
        <w:t xml:space="preserve">– </w:t>
      </w:r>
      <w:r>
        <w:t xml:space="preserve">maar alleen als rechtbanken en inspectiediensten </w:t>
      </w:r>
      <w:r w:rsidR="00E11794">
        <w:t xml:space="preserve">bekwaam</w:t>
      </w:r>
      <w:r>
        <w:t xml:space="preserve"> zijn </w:t>
      </w:r>
      <w:r w:rsidR="00E11794">
        <w:t xml:space="preserve">om de gegevens daadwerkelijk te analyseren. </w:t>
      </w:r>
    </w:p>
    <w:p w:rsidR="00D90A18" w:rsidP="00750824" w:rsidRDefault="00D90A18" w14:paraId="46AA3A84" w14:textId="77777777">
      <w:pPr>
        <w:jc w:val="both"/>
      </w:pPr>
    </w:p>
    <w:p w:rsidR="00983F19" w:rsidP="00750824" w:rsidRDefault="00000000" w14:paraId="0B93A64F" w14:textId="15418CB2">
      <w:pPr>
        <w:jc w:val="both"/>
      </w:pPr>
      <w:r w:rsidR="00E11794">
        <w:t xml:space="preserve">De </w:t>
      </w:r>
      <w:r>
        <w:t xml:space="preserve">‘Excellence </w:t>
      </w:r>
      <w:r w:rsidR="00E11794">
        <w:t xml:space="preserve">Score’</w:t>
      </w:r>
      <w:r>
        <w:rPr>
          <w:b/>
          <w:bCs/>
        </w:rPr>
        <w:t xml:space="preserve"> bij </w:t>
      </w:r>
      <w:r>
        <w:rPr>
          <w:b/>
          <w:bCs/>
        </w:rPr>
        <w:t xml:space="preserve">Foodora </w:t>
      </w:r>
      <w:r>
        <w:rPr>
          <w:b/>
          <w:bCs/>
        </w:rPr>
        <w:t xml:space="preserve">als voorbeeld van automatische beëindiging. </w:t>
      </w:r>
      <w:r>
        <w:t xml:space="preserve">Foodora </w:t>
      </w:r>
      <w:r>
        <w:t xml:space="preserve">en Bolt </w:t>
      </w:r>
      <w:r>
        <w:t xml:space="preserve">Food </w:t>
      </w:r>
      <w:r>
        <w:t xml:space="preserve">maken in sommige landen gebruik van een puntensysteem, </w:t>
      </w:r>
      <w:r w:rsidR="00E11794">
        <w:t xml:space="preserve">de</w:t>
      </w:r>
      <w:r>
        <w:t xml:space="preserve"> zogenaamde </w:t>
      </w:r>
      <w:r w:rsidR="00E11794">
        <w:t xml:space="preserve">‘Excellence </w:t>
      </w:r>
      <w:r w:rsidR="00E11794">
        <w:t xml:space="preserve">Score’</w:t>
      </w:r>
      <w:r>
        <w:t xml:space="preserve">, dat werknemers rangschikt op basis van de mate waarin bestellingen worden aangenomen, punctualiteit, klantbeoordelingen en andere algoritmische parameters. Wanneer de score onder een bepaalde drempel daalt, verstuurt het systeem automatisch een kennisgeving van beëindiging van de overeenkomst, zonder enige </w:t>
      </w:r>
      <w:r w:rsidR="00E11794">
        <w:t xml:space="preserve">menselijke </w:t>
      </w:r>
      <w:r>
        <w:t xml:space="preserve">tussenkomst en zonder voorafgaande toelichting. Deze praktijk is in strijd met artikel 10, lid 5, van de richtlijn, dat vereist dat elke beslissing tot beëindiging van de contractuele relatie door een mens wordt genomen, en met artikel 11, dat het recht op een schriftelijke motivering en herziening waarborgt. Aangezien de vakbonden deze praktijk echter pas bij de controle van de contracten hebben vastgesteld, vormt juist dit systeem voor de platforms een van de belangrijkste controlemiddelen </w:t>
      </w:r>
      <w:r w:rsidR="00D7386B">
        <w:t xml:space="preserve">– </w:t>
      </w:r>
      <w:r>
        <w:t xml:space="preserve">en juist hierover zijn zij niet bereid te onderhandelen. De richtlijn verbiedt dit expliciet</w:t>
      </w:r>
      <w:r w:rsidR="00E11794">
        <w:t xml:space="preserve">. </w:t>
      </w:r>
      <w:r w:rsidR="00E11794">
        <w:t xml:space="preserve">Bij de implementatie </w:t>
      </w:r>
      <w:r>
        <w:t xml:space="preserve">moet dit verbod worden geconcretiseerd door middel van een uitdrukkelijke bepaling in de wet.</w:t>
      </w:r>
    </w:p>
    <w:p w:rsidR="00983F19" w:rsidP="00750824" w:rsidRDefault="00000000" w14:paraId="3A5FDBB2" w14:textId="77777777">
      <w:pPr>
        <w:pStyle w:val="Naslov2"/>
        <w:jc w:val="both"/>
      </w:pPr>
      <w:bookmarkStart w:name="_Toc233699503" w:id="65"/>
      <w:bookmarkStart w:name="priporočila-4" w:id="66"/>
      <w:bookmarkEnd w:id="64"/>
      <w:r>
        <w:t xml:space="preserve">7.3 Aanbevelingen</w:t>
      </w:r>
      <w:bookmarkEnd w:id="65"/>
    </w:p>
    <w:p w:rsidR="00D90A18" w:rsidP="00750824" w:rsidRDefault="00000000" w14:paraId="0A7C21F2" w14:textId="4E601750">
      <w:pPr>
        <w:jc w:val="both"/>
      </w:pPr>
      <w:r>
        <w:t xml:space="preserve">De volgende aanbevelingen zijn gericht aan </w:t>
      </w:r>
      <w:r>
        <w:t xml:space="preserve">de</w:t>
      </w:r>
      <w:r w:rsidR="00E11794">
        <w:t xml:space="preserve"> bevoegde </w:t>
      </w:r>
      <w:r>
        <w:t xml:space="preserve">ministeries en autoriteiten van de EU-lidstaten.</w:t>
      </w:r>
    </w:p>
    <w:p w:rsidR="00983F19" w:rsidP="00750824" w:rsidRDefault="00000000" w14:paraId="71346B44" w14:textId="50C5505D">
      <w:pPr>
        <w:pStyle w:val="Naslov3"/>
        <w:jc w:val="both"/>
      </w:pPr>
      <w:r>
        <w:t xml:space="preserve">Aanbeveling 7.1 [GAAT VERDER DAN HET MINIMUM]: Sancties die daadwerkelijk afschrikkend zijn </w:t>
      </w:r>
      <w:r w:rsidR="00D7386B">
        <w:t xml:space="preserve">– </w:t>
      </w:r>
      <w:r>
        <w:t xml:space="preserve">gekoppeld aan de omzet van het platform</w:t>
      </w:r>
    </w:p>
    <w:p w:rsidR="00983F19" w:rsidP="00750824" w:rsidRDefault="00000000" w14:paraId="0303FBE7" w14:textId="511A8E4D">
      <w:pPr>
        <w:jc w:val="both"/>
      </w:pPr>
      <w:r>
        <w:t xml:space="preserve">De ministeries moeten in de wet vastleggen dat het maximumbedrag van de boete voor inbreuken </w:t>
      </w:r>
      <w:r w:rsidR="00E11794">
        <w:t xml:space="preserve">op de door de richtlijn gewaarborgde rechten </w:t>
      </w:r>
      <w:r>
        <w:t xml:space="preserve">gekoppeld </w:t>
      </w:r>
      <w:r>
        <w:t xml:space="preserve">is </w:t>
      </w:r>
      <w:r>
        <w:t xml:space="preserve">aan de jaaromzet van het platform in het betreffende land </w:t>
      </w:r>
      <w:r w:rsidR="00E11794">
        <w:t xml:space="preserve">en </w:t>
      </w:r>
      <w:r>
        <w:t xml:space="preserve">niet aan </w:t>
      </w:r>
      <w:r w:rsidR="00E11794">
        <w:t xml:space="preserve">een</w:t>
      </w:r>
      <w:r>
        <w:lastRenderedPageBreak/>
      </w:r>
      <w:r>
        <w:t xml:space="preserve"> abstract </w:t>
      </w:r>
      <w:r w:rsidR="00E11794">
        <w:t xml:space="preserve">vastgesteld bedrag</w:t>
      </w:r>
      <w:r>
        <w:t xml:space="preserve">. Wij bevelen </w:t>
      </w:r>
      <w:r>
        <w:t xml:space="preserve">het</w:t>
      </w:r>
      <w:r w:rsidR="00E11794">
        <w:t xml:space="preserve"> volgende </w:t>
      </w:r>
      <w:r>
        <w:t xml:space="preserve">model </w:t>
      </w:r>
      <w:r>
        <w:t xml:space="preserve">aan</w:t>
      </w:r>
      <w:r>
        <w:t xml:space="preserve">: voor inbreuken op het algoritmisch beheer tot 2 % van de jaarlijkse inkomsten van het platform in het betreffende land; voor inbreuken op de arbeidsstatus en opzeggingen tot 4 % van de jaarlijkse inkomsten; voor systematische inbreuken (een patroon van inbreuken bij hetzelfde platform) een extra vermenigvuldigingsfactor tot 1,5x. De sanctie voor het niet naleven van de eerste in kracht van gewijsde gegane rechterlijke uitspraak (artikel 24, lid 6) moet financieel aanzienlijk en dwingend zijn. Een beroep tegen een exploitatieverbod heeft schorsende werking; een beroep tegen een geldboete heeft geen schorsende werking, tenzij er sprake is van een aangetoonde dreiging van insolventie.</w:t>
      </w:r>
    </w:p>
    <w:p w:rsidR="00E11794" w:rsidP="00750824" w:rsidRDefault="00E11794" w14:paraId="1699B101" w14:textId="77777777">
      <w:pPr>
        <w:jc w:val="both"/>
      </w:pPr>
    </w:p>
    <w:p w:rsidR="00983F19" w:rsidP="00750824" w:rsidRDefault="00000000" w14:paraId="4AE38B7C" w14:textId="3A924E9D">
      <w:pPr>
        <w:pStyle w:val="Blokbesedila"/>
      </w:pPr>
      <w:r>
        <w:rPr>
          <w:b/>
          <w:bCs/>
        </w:rPr>
        <w:t xml:space="preserve">Achtergrond: </w:t>
      </w:r>
      <w:r>
        <w:t xml:space="preserve">Artikel 24, lid 5, van de richtlijn vereist sancties die doeltreffend, evenredig en afschrikkend zijn; de evenredigheid wordt afgemeten aan de omvang van het platform en het aantal getroffen werknemers. De deskundigengroep van de Europese Commissie heeft bevestigd dat artikel 24, lid 6, verplicht moet worden geïmplementeerd: het niet naleven van de eerste rechterlijke uitspraak moet financiële gevolgen hebben. Sancties die zijn gekoppeld aan de omzet zijn vastgelegd in de AVG (art. 83: tot 4 % van de jaarlijkse wereldwijde omzet) </w:t>
      </w:r>
      <w:r w:rsidR="00D7386B">
        <w:t xml:space="preserve">– </w:t>
      </w:r>
      <w:r>
        <w:t xml:space="preserve">de richtlijn inzake </w:t>
      </w:r>
      <w:r>
        <w:t xml:space="preserve">platformwerk stelt geen uniforme drempel vast, maar juist daarom is het des te noodzakelijker dat nationale wetten deze op passende wijze vastleggen.</w:t>
      </w:r>
    </w:p>
    <w:p w:rsidR="00983F19" w:rsidP="00750824" w:rsidRDefault="00000000" w14:paraId="166AE13A" w14:textId="0B64A2D1">
      <w:pPr>
        <w:pStyle w:val="Naslov3"/>
        <w:jc w:val="both"/>
      </w:pPr>
      <w:r>
        <w:t xml:space="preserve">Aanbeveling 7.2 [RICHTLIJN]: Bescherming tegen vergeldingsmaatregelen: lagere beoordelingen en minder opdrachten </w:t>
      </w:r>
      <w:r w:rsidR="00EB5A7D">
        <w:t xml:space="preserve">als vergeldingsmaatregel </w:t>
      </w:r>
      <w:r>
        <w:t xml:space="preserve">vormen een inbreuk </w:t>
      </w:r>
    </w:p>
    <w:p w:rsidR="00983F19" w:rsidP="00750824" w:rsidRDefault="00000000" w14:paraId="1D4F3C00" w14:textId="3DDD9244">
      <w:pPr>
        <w:jc w:val="both"/>
      </w:pPr>
      <w:r>
        <w:t xml:space="preserve">Ministeries moeten in </w:t>
      </w:r>
      <w:r w:rsidR="00EB5A7D">
        <w:t xml:space="preserve">de wet </w:t>
      </w:r>
      <w:r>
        <w:t xml:space="preserve">vastleggen dat elke </w:t>
      </w:r>
      <w:r>
        <w:t xml:space="preserve">vorm van vergeldingsmaatregel na het uitoefenen van rechten </w:t>
      </w:r>
      <w:r w:rsidR="00D7386B">
        <w:t xml:space="preserve">– </w:t>
      </w:r>
      <w:r>
        <w:t xml:space="preserve">lagere beoordelingen, minder toegewezen opdrachten, gewijzigde dienstroosters, verscherpt toezicht </w:t>
      </w:r>
      <w:r w:rsidR="00D7386B">
        <w:t xml:space="preserve">– </w:t>
      </w:r>
      <w:r>
        <w:t xml:space="preserve">verboden </w:t>
      </w:r>
      <w:r>
        <w:t xml:space="preserve">is </w:t>
      </w:r>
      <w:r>
        <w:t xml:space="preserve">en als vergeldingsmaatregel wordt beschouwd, tenzij het platform het tegendeel bewijst. De wet moet uitdrukkelijk de omgekeerde bewijslast regelen: de werknemer toont de waarschijnlijkheid van een causaal verband aan tussen het uitoefenen van rechten en de nadelige maatregel</w:t>
      </w:r>
      <w:r w:rsidR="00EB5A7D">
        <w:t xml:space="preserve">, </w:t>
      </w:r>
      <w:r w:rsidR="00EB5A7D">
        <w:t xml:space="preserve">terwijl </w:t>
      </w:r>
      <w:r>
        <w:t xml:space="preserve">het platform </w:t>
      </w:r>
      <w:r>
        <w:t xml:space="preserve">moet aantonen dat de maatregel het gevolg is van objectieve factoren </w:t>
      </w:r>
      <w:r w:rsidR="00EB5A7D">
        <w:t xml:space="preserve">en geen vergeldingsmaatregel is</w:t>
      </w:r>
      <w:r>
        <w:t xml:space="preserve">. Aangezien deze factoren zijn opgeslagen in algoritmische systemen, moeten rechtbanken en inspectiediensten de bevoegdheid hebben om openbaarmaking van algoritmische gegevens over de betreffende periode te eisen.</w:t>
      </w:r>
    </w:p>
    <w:p w:rsidR="00EB5A7D" w:rsidP="00750824" w:rsidRDefault="00EB5A7D" w14:paraId="35B841F0" w14:textId="77777777">
      <w:pPr>
        <w:jc w:val="both"/>
      </w:pPr>
    </w:p>
    <w:p w:rsidR="00983F19" w:rsidP="00750824" w:rsidRDefault="00000000" w14:paraId="03BD7BE2" w14:textId="64F60027">
      <w:pPr>
        <w:pStyle w:val="Blokbesedila"/>
      </w:pPr>
      <w:r>
        <w:rPr>
          <w:b/>
          <w:bCs/>
        </w:rPr>
        <w:t xml:space="preserve">Achtergrond: </w:t>
      </w:r>
      <w:r>
        <w:t xml:space="preserve">De artikelen 22 en 23 van de richtlijn voorzien in bescherming en een omgekeerde bewijslast. De deskundigengroep van de Europese Commissie heeft bevestigd dat het toewijzen van minder taken of verscherpt toezicht na het uitoefenen van rechten typische voorbeelden zijn van verboden vergeldingsmaatregelen. Zonder toegang tot algoritmische gegevens (artikel 21) is het echter praktisch onmogelijk om een causaal verband aan te tonen</w:t>
      </w:r>
      <w:r w:rsidR="00EB5A7D">
        <w:t xml:space="preserve">; </w:t>
      </w:r>
      <w:r>
        <w:t xml:space="preserve">daarom moeten de artikelen 21 en 22 gezamenlijk worden geïmplementeerd, en niet afzonderlijk.</w:t>
      </w:r>
    </w:p>
    <w:p w:rsidR="00983F19" w:rsidP="00750824" w:rsidRDefault="00000000" w14:paraId="17464334" w14:textId="49D0FA40">
      <w:pPr>
        <w:pStyle w:val="Naslov3"/>
        <w:jc w:val="both"/>
      </w:pPr>
      <w:r>
        <w:t xml:space="preserve">Aanbeveling 7.3 [RICHTLIJN]: Communicatiekanalen onder onafhankelijk toezicht </w:t>
      </w:r>
      <w:r w:rsidR="00EB5A7D">
        <w:t xml:space="preserve">en </w:t>
      </w:r>
      <w:r>
        <w:t xml:space="preserve">niet binnen de infrastructuur van het platform</w:t>
      </w:r>
    </w:p>
    <w:p w:rsidR="00D90A18" w:rsidP="00750824" w:rsidRDefault="00000000" w14:paraId="7D8CDAE8" w14:textId="77777777">
      <w:pPr>
        <w:jc w:val="both"/>
      </w:pPr>
      <w:r>
        <w:t xml:space="preserve">Ministeries moeten in de wet vastleggen dat aan de verplichting uit artikel 20 alleen wordt voldaan met digitale infrastructuur die:</w:t>
      </w:r>
    </w:p>
    <w:p w:rsidR="00D90A18" w:rsidP="00750824" w:rsidRDefault="00000000" w14:paraId="1FB6FF41" w14:textId="77777777">
      <w:pPr>
        <w:pStyle w:val="Odstavekseznama"/>
        <w:numPr>
          <w:ilvl w:val="0"/>
          <w:numId w:val="6"/>
        </w:numPr>
        <w:jc w:val="both"/>
      </w:pPr>
      <w:r>
        <w:t xml:space="preserve">(a) de technische privacy van de communicatie waarborgt, </w:t>
      </w:r>
    </w:p>
    <w:p w:rsidR="00D90A18" w:rsidP="00750824" w:rsidRDefault="00000000" w14:paraId="4A6B1596" w14:textId="77777777">
      <w:pPr>
        <w:pStyle w:val="Odstavekseznama"/>
        <w:numPr>
          <w:ilvl w:val="0"/>
          <w:numId w:val="6"/>
        </w:numPr>
        <w:jc w:val="both"/>
      </w:pPr>
      <w:r>
        <w:t xml:space="preserve">(b) geen metagegevens opslaat op de servers van het platform, en </w:t>
      </w:r>
    </w:p>
    <w:p w:rsidR="00D90A18" w:rsidP="00750824" w:rsidRDefault="00000000" w14:paraId="09280572" w14:textId="77777777">
      <w:pPr>
        <w:pStyle w:val="Odstavekseznama"/>
        <w:numPr>
          <w:ilvl w:val="0"/>
          <w:numId w:val="6"/>
        </w:numPr>
        <w:jc w:val="both"/>
      </w:pPr>
      <w:r>
        <w:t xml:space="preserve">(c) toegankelijk is voor vakbondsvertegenwoordigers voor individueel contact met werknemers. </w:t>
      </w:r>
    </w:p>
    <w:p w:rsidR="00983F19" w:rsidP="00750824" w:rsidRDefault="00000000" w14:paraId="5F6593BE" w14:textId="22F823DC">
      <w:pPr>
        <w:jc w:val="both"/>
      </w:pPr>
      <w:r w:rsidR="00583744">
        <w:t xml:space="preserve">Groepscommunicatie </w:t>
      </w:r>
      <w:r>
        <w:t xml:space="preserve">via externe diensten voldoet niet aan deze voorwaarden. Wij bevelen aan dat de wet de mogelijkheid vastlegt dat een vakbond een formele klacht indient bij de inspectiedienst, indien zij van mening is dat het aangeboden kanaal niet aan deze voorwaarden voldoet</w:t>
      </w:r>
      <w:r w:rsidR="00583744">
        <w:t xml:space="preserve">, </w:t>
      </w:r>
      <w:r>
        <w:t xml:space="preserve">met de verplichting voor de inspectiedienst om dit binnen 30 dagen te onderzoeken.</w:t>
      </w:r>
    </w:p>
    <w:p w:rsidR="00D90A18" w:rsidP="00750824" w:rsidRDefault="00D90A18" w14:paraId="56E1DC1B" w14:textId="77777777">
      <w:pPr>
        <w:jc w:val="both"/>
      </w:pPr>
    </w:p>
    <w:p w:rsidR="00D90A18" w:rsidP="00750824" w:rsidRDefault="00000000" w14:paraId="31C5C9DB" w14:textId="46D01427">
      <w:pPr>
        <w:pStyle w:val="Blokbesedila"/>
      </w:pPr>
      <w:r>
        <w:rPr>
          <w:b/>
          <w:bCs/>
        </w:rPr>
        <w:t xml:space="preserve">Achtergrond: </w:t>
      </w:r>
      <w:r>
        <w:t xml:space="preserve">De deskundigengroep van de Europese Commissie was duidelijk: </w:t>
      </w:r>
      <w:r w:rsidR="00583744">
        <w:t xml:space="preserve">groepschats </w:t>
      </w:r>
      <w:r>
        <w:t xml:space="preserve">op een extern platform volstaan niet, omdat ze geen individueel contact tussen de vakbondsvertegenwoordiger en elke werknemer garanderen. De communicatiekanalen moeten technisch gezien privé zijn </w:t>
      </w:r>
      <w:r w:rsidR="00D7386B">
        <w:t xml:space="preserve">– </w:t>
      </w:r>
      <w:r>
        <w:t xml:space="preserve">het platform mag geen toegang hebben tot de inhoud van de communicatie.</w:t>
      </w:r>
    </w:p>
    <w:p w:rsidR="00983F19" w:rsidP="00750824" w:rsidRDefault="00000000" w14:paraId="0BDDAC6E" w14:textId="77777777">
      <w:pPr>
        <w:pStyle w:val="Naslov3"/>
        <w:jc w:val="both"/>
      </w:pPr>
      <w:r>
        <w:lastRenderedPageBreak/>
      </w:r>
      <w:r>
        <w:t xml:space="preserve">Aanbeveling 7.4 [RICHTLIJN]: Openbaarmaking van algoritmen als wettelijke verplichting in gerechtelijke en inspectieprocedures</w:t>
      </w:r>
    </w:p>
    <w:p w:rsidR="00983F19" w:rsidP="00750824" w:rsidRDefault="00000000" w14:paraId="522CB194" w14:textId="68588E60">
      <w:pPr>
        <w:jc w:val="both"/>
      </w:pPr>
      <w:r>
        <w:t xml:space="preserve">Ministeries moeten in de wet duidelijk vastleggen dat rechtbanken en arbeidsinspecties bevoegd zijn om openbaarmaking te eisen </w:t>
      </w:r>
      <w:r>
        <w:t xml:space="preserve">van</w:t>
      </w:r>
      <w:r>
        <w:t xml:space="preserve"> alle relevante algoritmische bewijsmiddelen </w:t>
      </w:r>
      <w:r w:rsidR="00D7386B">
        <w:t xml:space="preserve">– </w:t>
      </w:r>
      <w:r>
        <w:t xml:space="preserve">inclusief parameters, beslissingsgeschiedenis en controlegegevens </w:t>
      </w:r>
      <w:r w:rsidR="00D7386B">
        <w:t xml:space="preserve">– </w:t>
      </w:r>
      <w:r>
        <w:t xml:space="preserve">waarover het platform beschikt. Een beroep op het bedrijfsgeheim mag geen reden zijn voor een absolute weigering van openbaarmaking</w:t>
      </w:r>
      <w:r w:rsidR="00583744">
        <w:t xml:space="preserve">. </w:t>
      </w:r>
      <w:r>
        <w:t xml:space="preserve">De rechtbank of de inspectiedienst moet beschikken over mechanismen ter bescherming van de vertrouwelijkheid (behandeling achter gesloten deuren, </w:t>
      </w:r>
      <w:r>
        <w:t xml:space="preserve">anonimisering </w:t>
      </w:r>
      <w:r>
        <w:t xml:space="preserve">in het openbare deel van de uitspraak). Wij bevelen aan dat de wet bepaalt dat de weigering om relevante gegevens openbaar te maken zonder gegronde reden door de rechtbank wordt beschouwd als een verzwarende omstandigheid bij de beoordeling van het geschil.</w:t>
      </w:r>
    </w:p>
    <w:p w:rsidR="00583744" w:rsidP="00750824" w:rsidRDefault="00583744" w14:paraId="3D9F7CFD" w14:textId="77777777">
      <w:pPr>
        <w:jc w:val="both"/>
      </w:pPr>
    </w:p>
    <w:p w:rsidR="00583744" w:rsidP="00750824" w:rsidRDefault="00000000" w14:paraId="4148CC07" w14:textId="3CA8D641">
      <w:pPr>
        <w:pStyle w:val="Blokbesedila"/>
      </w:pPr>
      <w:r>
        <w:rPr>
          <w:b/>
          <w:bCs/>
        </w:rPr>
        <w:t xml:space="preserve">Achtergrond: </w:t>
      </w:r>
      <w:r>
        <w:t xml:space="preserve">Artikel 21 van de richtlijn vereist dat rechtbanken en bevoegde autoriteiten bevoegd zijn om de openbaarmaking van bewijsmateriaal te eisen </w:t>
      </w:r>
      <w:r w:rsidR="00D7386B">
        <w:t xml:space="preserve">– </w:t>
      </w:r>
      <w:r>
        <w:t xml:space="preserve">met inbegrip van vertrouwelijke informatie. De deskundigengroep van de Europese Commissie heeft bevestigd: een beroep op het bedrijfsgeheim vormt geen absolute belemmering. Het Hof van Justitie van de Europese Unie heeft in zaak C-634/21 uitgelegd dat er ten minste een minimale hoeveelheid informatie moet worden verstrekt, ongeacht de eisen inzake zakelijke vertrouwelijkheid.</w:t>
      </w:r>
    </w:p>
    <w:p w:rsidR="00983F19" w:rsidP="00750824" w:rsidRDefault="00000000" w14:paraId="4096C2D9" w14:textId="34BD8053">
      <w:pPr>
        <w:pStyle w:val="Naslov3"/>
        <w:jc w:val="both"/>
      </w:pPr>
      <w:r>
        <w:t xml:space="preserve">Aanbeveling 7.5 [GAAT VERDER DAN HET MINIMUM]: </w:t>
      </w:r>
      <w:r w:rsidR="00583744">
        <w:t xml:space="preserve">Strafrechtelijke aansprakelijkheid </w:t>
      </w:r>
      <w:r>
        <w:t xml:space="preserve">van bestuurders bij brievenbusbedrijven: de aansprakelijkheid moet verder reiken dan de rechtspersoon</w:t>
      </w:r>
    </w:p>
    <w:p w:rsidR="00983F19" w:rsidP="00750824" w:rsidRDefault="00000000" w14:paraId="72BDC569" w14:textId="216FC185">
      <w:pPr>
        <w:jc w:val="both"/>
      </w:pPr>
      <w:r>
        <w:t xml:space="preserve">De ministeries moeten in de wet een bepaling opnemen die de persoonlijke aansprakelijkheid van bestuurders of eigenaren </w:t>
      </w:r>
      <w:r>
        <w:t xml:space="preserve">van onderaannemers</w:t>
      </w:r>
      <w:r>
        <w:t xml:space="preserve"> vastlegt</w:t>
      </w:r>
      <w:r>
        <w:t xml:space="preserve">, wanneer wordt vastgesteld dat deze ondernemingen uitsluitend of overwegend hebben gefunctioneerd als instrument om de arbeidsrechtelijke verplichtingen van het platform te omzeilen en wanneer zij bij de sluiting betalingen, bijdragen of vergoedingen verschuldigd waren aan de werknemers. </w:t>
      </w:r>
      <w:r>
        <w:t xml:space="preserve">De </w:t>
      </w:r>
      <w:r w:rsidR="00A25A76">
        <w:t xml:space="preserve">hoofdelijke </w:t>
      </w:r>
      <w:r>
        <w:t xml:space="preserve">aansprakelijkheid van het platform moet in dergelijke gevallen onvoorwaardelijk zijn. Wij bevelen aan dat de wet het vermoeden invoert dat het platform op de hoogte was van het handelen van het stromanbedrijf, wanneer het </w:t>
      </w:r>
      <w:r w:rsidR="00583744">
        <w:t xml:space="preserve">een contractuele relatie </w:t>
      </w:r>
      <w:r>
        <w:t xml:space="preserve">met dit bedrijf </w:t>
      </w:r>
      <w:r w:rsidR="00583744">
        <w:t xml:space="preserve">had </w:t>
      </w:r>
      <w:r>
        <w:t xml:space="preserve">die langer </w:t>
      </w:r>
      <w:r w:rsidR="00583744">
        <w:t xml:space="preserve">dan drie maanden </w:t>
      </w:r>
      <w:r>
        <w:t xml:space="preserve">duurde</w:t>
      </w:r>
      <w:r>
        <w:t xml:space="preserve">.</w:t>
      </w:r>
    </w:p>
    <w:p w:rsidR="00583744" w:rsidP="00750824" w:rsidRDefault="00583744" w14:paraId="37A93A4C" w14:textId="77777777">
      <w:pPr>
        <w:jc w:val="both"/>
      </w:pPr>
    </w:p>
    <w:p w:rsidR="00583744" w:rsidP="00750824" w:rsidRDefault="00000000" w14:paraId="081FCAED" w14:textId="3430469E">
      <w:pPr>
        <w:pStyle w:val="Blokbesedila"/>
      </w:pPr>
      <w:r>
        <w:rPr>
          <w:b/>
          <w:bCs/>
        </w:rPr>
        <w:t xml:space="preserve">Achtergrond: </w:t>
      </w:r>
      <w:r>
        <w:t xml:space="preserve">De Spaanse ervaringen met de Wet op de bezorgers uit 2021 laten zien hoe platforms na de invoering van de regelgeving systematisch schijnbedrijven zijn gaan oprichten, die de rol van formele werkgever op zich namen. Wanneer deze bedrijven hun deuren sluiten, blijven de werknemers zonder loon en zonder aansprakelijke partij achter. De Spaanse autoriteiten hebben in sommige gevallen strafrechtelijke procedures ingeleid tegen de directeuren van dergelijke bedrijven. Uit een analyse van 91 platforms blijkt dat dit patroon in ten minste 41 gevallen voorkomt.</w:t>
      </w:r>
    </w:p>
    <w:p w:rsidR="00D90A18" w:rsidP="00750824" w:rsidRDefault="00000000" w14:paraId="360D6B61" w14:textId="3B11EE6B">
      <w:pPr>
        <w:pStyle w:val="Naslov3"/>
        <w:jc w:val="both"/>
      </w:pPr>
      <w:r>
        <w:t xml:space="preserve">Aanbeveling 7.6 [GAAT VERDER DAN HET MINIMUM]: Grensoverschrijdende blokkering van de app via de DSA en de ELA bij systematische inbreuken</w:t>
      </w:r>
    </w:p>
    <w:p w:rsidR="00D90A18" w:rsidP="00750824" w:rsidRDefault="00000000" w14:paraId="3BDD30EC" w14:textId="462A1AE6">
      <w:pPr>
        <w:jc w:val="both"/>
      </w:pPr>
      <w:r>
        <w:t xml:space="preserve">De ministeries moeten een formeel protocol opstellen voor grensoverschrijdende kennisgeving via het Europees Arbeidsagentschap (ELA) en het IMI-systeem (</w:t>
      </w:r>
      <w:r>
        <w:t xml:space="preserve">Internal </w:t>
      </w:r>
      <w:r>
        <w:t xml:space="preserve">Market </w:t>
      </w:r>
      <w:r>
        <w:t xml:space="preserve">Information </w:t>
      </w:r>
      <w:r>
        <w:t xml:space="preserve">System</w:t>
      </w:r>
      <w:r>
        <w:t xml:space="preserve">), wanneer de bevoegde nationale autoriteit een ernstige of systematische inbreuk op de richtlijn door een platform vaststelt. Op basis van dit protocol coördineert de ELA gezamenlijke inspecties en stelt zij gecoördineerde maatregelen voor. Bij structurele inbreuken </w:t>
      </w:r>
      <w:r>
        <w:t xml:space="preserve">die zich in meerdere lidstaten herhalen</w:t>
      </w:r>
      <w:r w:rsidR="00B357A5">
        <w:t xml:space="preserve">, </w:t>
      </w:r>
      <w:r>
        <w:t xml:space="preserve">verzamelt het ELA de documentatie en brengt het verslag uit aan </w:t>
      </w:r>
      <w:r>
        <w:t xml:space="preserve">de</w:t>
      </w:r>
      <w:r w:rsidR="00B357A5">
        <w:t xml:space="preserve"> Europese </w:t>
      </w:r>
      <w:r>
        <w:t xml:space="preserve">Commissie, die een procedure kan starten om vast te stellen of er sprake is van inbreuken op het EU-recht tegen lidstaten die de richtlijn niet naleven. Een platform dat zich schuldig maakt aan structurele inbreuken wordt uitgesloten van overheidsopdrachten in de EU overeenkomstig Richtlijn 2014/24/EU (artikel 57). Een beroep tegen geldboetes heeft geen opschortende werking; een beroep tegen een bedrijfsverbod heeft wel opschortende werking totdat de beroepsinstantie een beslissing heeft genomen.</w:t>
      </w:r>
    </w:p>
    <w:p w:rsidR="00B357A5" w:rsidP="00750824" w:rsidRDefault="00B357A5" w14:paraId="0F065822" w14:textId="77777777">
      <w:pPr>
        <w:jc w:val="both"/>
      </w:pPr>
    </w:p>
    <w:p w:rsidR="00D90A18" w:rsidP="00750824" w:rsidRDefault="00000000" w14:paraId="2FAA9F8F" w14:textId="33AF4758">
      <w:pPr>
        <w:pStyle w:val="Blokbesedila"/>
      </w:pPr>
      <w:r>
        <w:lastRenderedPageBreak/>
      </w:r>
      <w:r>
        <w:t xml:space="preserve">Achtergrond: Het SDDP-protocol (eerste pijler, herzien) voorziet in coördinatie via ELA en IMI en uitsluiting van overheidsopdrachten bij systematische inbreuken. De DSA (Verordening inzake digitale diensten) regelt onwettige online-inhoud </w:t>
      </w:r>
      <w:r w:rsidR="00D7386B">
        <w:t xml:space="preserve">– </w:t>
      </w:r>
      <w:r>
        <w:t xml:space="preserve">niet arbeidsrechtelijke geschillen </w:t>
      </w:r>
      <w:r w:rsidR="00D7386B">
        <w:t xml:space="preserve">– </w:t>
      </w:r>
      <w:r>
        <w:t xml:space="preserve">en vormt geen rechtsgrondslag voor het blokkeren van applicaties wegens schendingen van de arbeidswetgeving. Artikel 24, lid 4, van de richtlijn schept een kader voor grensoverschrijdende samenwerking; Richtlijn 2014/24/EU (artikel 57) staat uitsluiting van overheidsopdrachten toe bij ernstige schendingen van de wetgeving. Dit is een realistische en juridisch houdbare combinatie.</w:t>
      </w:r>
    </w:p>
    <w:p w:rsidR="00D90A18" w:rsidP="00750824" w:rsidRDefault="00D90A18" w14:paraId="3FB7F1EA" w14:textId="77777777">
      <w:pPr>
        <w:jc w:val="both"/>
        <w:rPr>
          <w:b/>
          <w:bCs/>
        </w:rPr>
      </w:pPr>
    </w:p>
    <w:p w:rsidR="00983F19" w:rsidP="00750824" w:rsidRDefault="00000000" w14:paraId="0EC863FF" w14:textId="77777777">
      <w:pPr>
        <w:jc w:val="both"/>
      </w:pPr>
      <w:r>
        <w:rPr>
          <w:b/>
          <w:bCs/>
        </w:rPr>
        <w:t xml:space="preserve">Opmerking over de tenuitvoerlegging</w:t>
      </w:r>
    </w:p>
    <w:p w:rsidR="00983F19" w:rsidP="00750824" w:rsidRDefault="00000000" w14:paraId="38B0D3C7" w14:textId="14DDC68A">
      <w:pPr>
        <w:jc w:val="both"/>
      </w:pPr>
      <w:r>
        <w:rPr>
          <w:i/>
          <w:iCs/>
        </w:rPr>
        <w:t xml:space="preserve">De handhaving van de richtlijn is een keten: er zijn twee zwakke schakels. Collectieve procedures zonder afschrikkende sancties lossen het probleem niet op </w:t>
      </w:r>
      <w:r w:rsidR="00D7386B">
        <w:rPr>
          <w:i/>
          <w:iCs/>
        </w:rPr>
        <w:t xml:space="preserve">– </w:t>
      </w:r>
      <w:r>
        <w:rPr>
          <w:i/>
          <w:iCs/>
        </w:rPr>
        <w:t xml:space="preserve">platforms zullen een individueel geschil verliezen, maar doorgaan met hun systematische praktijk zolang dit financieel voordeliger is dan naleving </w:t>
      </w:r>
      <w:r w:rsidR="00B357A5">
        <w:rPr>
          <w:i/>
          <w:iCs/>
        </w:rPr>
        <w:t xml:space="preserve">van de wetgeving</w:t>
      </w:r>
      <w:r>
        <w:rPr>
          <w:i/>
          <w:iCs/>
        </w:rPr>
        <w:t xml:space="preserve">. Afschrikkende sancties zonder collectieve procedures lossen het probleem niet op </w:t>
      </w:r>
      <w:r w:rsidR="00D7386B">
        <w:rPr>
          <w:i/>
          <w:iCs/>
        </w:rPr>
        <w:t xml:space="preserve">– </w:t>
      </w:r>
      <w:r>
        <w:rPr>
          <w:i/>
          <w:iCs/>
        </w:rPr>
        <w:t xml:space="preserve">werknemers zullen geen procedures starten die ze niet kunnen financieren. Beide elementen zijn tegelijkertijd noodzakelijk. Een derde noodzakelijke voorwaarde </w:t>
      </w:r>
      <w:r w:rsidR="00B357A5">
        <w:rPr>
          <w:i/>
          <w:iCs/>
        </w:rPr>
        <w:t xml:space="preserve">is dat </w:t>
      </w:r>
      <w:r w:rsidR="00B357A5">
        <w:rPr>
          <w:i/>
          <w:iCs/>
        </w:rPr>
        <w:t xml:space="preserve">de inspectiediensten</w:t>
      </w:r>
      <w:r>
        <w:rPr>
          <w:i/>
          <w:iCs/>
        </w:rPr>
        <w:t xml:space="preserve"> over </w:t>
      </w:r>
      <w:r w:rsidR="00B357A5">
        <w:rPr>
          <w:i/>
          <w:iCs/>
        </w:rPr>
        <w:t xml:space="preserve">voldoende </w:t>
      </w:r>
      <w:r>
        <w:rPr>
          <w:i/>
          <w:iCs/>
        </w:rPr>
        <w:t xml:space="preserve">financiële middelen en gekwalificeerd personeel beschikken</w:t>
      </w:r>
      <w:r>
        <w:rPr>
          <w:i/>
          <w:iCs/>
        </w:rPr>
        <w:t xml:space="preserve">.</w:t>
      </w:r>
    </w:p>
    <w:p w:rsidR="00750824" w:rsidRDefault="00750824" w14:paraId="6F777EB7" w14:textId="77777777">
      <w:pPr>
        <w:rPr>
          <w:b/>
          <w:bCs/>
          <w:color w:val="1F3864"/>
          <w:sz w:val="36"/>
          <w:szCs w:val="36"/>
        </w:rPr>
      </w:pPr>
      <w:bookmarkStart w:name="X01c0a85e2beae09c886a0133721a09d77e9ac5a" w:id="67"/>
      <w:bookmarkEnd w:id="59"/>
      <w:bookmarkEnd w:id="66"/>
      <w:r>
        <w:br w:type="page"/>
      </w:r>
    </w:p>
    <w:p w:rsidR="00983F19" w:rsidP="00750824" w:rsidRDefault="00000000" w14:paraId="72B93E39" w14:textId="39F4629A">
      <w:pPr>
        <w:pStyle w:val="Naslov1"/>
        <w:jc w:val="both"/>
      </w:pPr>
      <w:bookmarkStart w:name="_Toc233699504" w:id="68"/>
      <w:r>
        <w:lastRenderedPageBreak/>
      </w:r>
      <w:r>
        <w:t xml:space="preserve">Hoofdstuk 8: Een bredere toepassing van de richtlijn, ook buiten </w:t>
      </w:r>
      <w:r>
        <w:t xml:space="preserve">het platformwerk</w:t>
      </w:r>
      <w:bookmarkEnd w:id="68"/>
    </w:p>
    <w:p w:rsidR="00983F19" w:rsidP="00750824" w:rsidRDefault="00000000" w14:paraId="4795151B" w14:textId="602D88D5">
      <w:pPr>
        <w:jc w:val="both"/>
      </w:pPr>
      <w:r>
        <w:t xml:space="preserve">EU-richtlijn 2024/2831 is aangenomen als reactie op </w:t>
      </w:r>
      <w:r>
        <w:t xml:space="preserve">de platformeconomie</w:t>
      </w:r>
      <w:r w:rsidR="00E923E8">
        <w:t xml:space="preserve">, </w:t>
      </w:r>
      <w:r>
        <w:t xml:space="preserve">maar </w:t>
      </w:r>
      <w:r w:rsidR="00E923E8">
        <w:t xml:space="preserve">de problemen </w:t>
      </w:r>
      <w:r>
        <w:t xml:space="preserve">die hiermee worden aangepakt, zijn niet </w:t>
      </w:r>
      <w:r w:rsidR="00E923E8">
        <w:t xml:space="preserve">specifiek </w:t>
      </w:r>
      <w:r>
        <w:t xml:space="preserve">voor </w:t>
      </w:r>
      <w:r>
        <w:t xml:space="preserve">Uber </w:t>
      </w:r>
      <w:r>
        <w:t xml:space="preserve">of </w:t>
      </w:r>
      <w:r>
        <w:t xml:space="preserve">Wolt</w:t>
      </w:r>
      <w:r>
        <w:t xml:space="preserve">. Schijnzelfstandigheid, </w:t>
      </w:r>
      <w:r>
        <w:t xml:space="preserve">onderaannemersketens om arbeidsrechtelijke verplichtingen te omzeilen en algoritmisch management (AM) </w:t>
      </w:r>
      <w:r>
        <w:t xml:space="preserve">kwamen</w:t>
      </w:r>
      <w:r>
        <w:t xml:space="preserve"> bij </w:t>
      </w:r>
      <w:r>
        <w:t xml:space="preserve">platformwerk </w:t>
      </w:r>
      <w:r w:rsidR="00E923E8">
        <w:t xml:space="preserve">alleen </w:t>
      </w:r>
      <w:r>
        <w:t xml:space="preserve">in </w:t>
      </w:r>
      <w:r>
        <w:t xml:space="preserve">de</w:t>
      </w:r>
      <w:r w:rsidR="00E923E8">
        <w:t xml:space="preserve"> meest voor de hand liggende </w:t>
      </w:r>
      <w:r>
        <w:t xml:space="preserve">vorm </w:t>
      </w:r>
      <w:r>
        <w:t xml:space="preserve">naar voren</w:t>
      </w:r>
      <w:r>
        <w:t xml:space="preserve">. In sectoren zoals logistiek en bezorging zijn </w:t>
      </w:r>
      <w:r w:rsidR="00E923E8">
        <w:t xml:space="preserve">vergelijkbare </w:t>
      </w:r>
      <w:r>
        <w:t xml:space="preserve">patronen aanwezig, alleen zonder dat er een app op de voorgrond staat. De richtlijn is daarom niet alleen een sectorale regelgeving </w:t>
      </w:r>
      <w:r w:rsidR="00D7386B">
        <w:t xml:space="preserve">– </w:t>
      </w:r>
      <w:r>
        <w:t xml:space="preserve">het is een prototype voor een bredere hervorming van het arbeidsrecht in het digitale tijdperk.</w:t>
      </w:r>
    </w:p>
    <w:p w:rsidR="00983F19" w:rsidP="00750824" w:rsidRDefault="00000000" w14:paraId="3D578526" w14:textId="77777777">
      <w:pPr>
        <w:pStyle w:val="Naslov2"/>
        <w:jc w:val="both"/>
      </w:pPr>
      <w:bookmarkStart w:name="_Toc233699505" w:id="69"/>
      <w:bookmarkStart w:name="X09750c65b21f891164a18d50f383bfaf4ab216f" w:id="70"/>
      <w:r>
        <w:t xml:space="preserve">8.1 Wat de richtlijn toestaat buiten </w:t>
      </w:r>
      <w:r>
        <w:t xml:space="preserve">het platformwerk </w:t>
      </w:r>
      <w:r>
        <w:t xml:space="preserve">om</w:t>
      </w:r>
      <w:bookmarkEnd w:id="69"/>
    </w:p>
    <w:p w:rsidR="00983F19" w:rsidP="00750824" w:rsidRDefault="00000000" w14:paraId="619BE290" w14:textId="77777777">
      <w:pPr>
        <w:jc w:val="both"/>
      </w:pPr>
      <w:r>
        <w:t xml:space="preserve">Artikel 26, lid 2, van de richtlijn is een uitdrukkelijke uitnodiging tot een ambitieuzere omzetting. De richtlijn doet geen afbreuk aan het recht van de lidstaten om, in overeenstemming met de doelstellingen van de richtlijn, wetten toe te passen of in te voeren die </w:t>
      </w:r>
      <w:r>
        <w:t xml:space="preserve">gunstiger </w:t>
      </w:r>
      <w:r>
        <w:t xml:space="preserve">zijn voor </w:t>
      </w:r>
      <w:r>
        <w:t xml:space="preserve">platformwerkers, of om collectieve arbeidsovereenkomsten te bevorderen die verder gaan dan de minimumvereisten. De richtlijn stelt een minimum vast, geen maximum.</w:t>
      </w:r>
      <w:r>
        <w:rPr>
          <w:rStyle w:val="Sprotnaopomba-sklic"/>
        </w:rPr>
        <w:footnoteReference w:id="6"/>
      </w:r>
    </w:p>
    <w:p w:rsidR="00D90A18" w:rsidP="00750824" w:rsidRDefault="00D90A18" w14:paraId="344F8D66" w14:textId="77777777">
      <w:pPr>
        <w:jc w:val="both"/>
      </w:pPr>
    </w:p>
    <w:p w:rsidR="00983F19" w:rsidP="00750824" w:rsidRDefault="00000000" w14:paraId="6AF048C9" w14:textId="3A4CC47E">
      <w:pPr>
        <w:jc w:val="both"/>
      </w:pPr>
      <w:r>
        <w:t xml:space="preserve">Artikel 25 vereist van de lidstaten dat zij de rol van de sociale partners actief bevorderen en het recht op collectieve onderhandelingen bij </w:t>
      </w:r>
      <w:r>
        <w:t xml:space="preserve">platformwerk</w:t>
      </w:r>
      <w:r>
        <w:t xml:space="preserve"> handhaven </w:t>
      </w:r>
      <w:r w:rsidR="00D7386B">
        <w:t xml:space="preserve">– </w:t>
      </w:r>
      <w:r>
        <w:t xml:space="preserve">met inbegrip van het vaststellen van de juiste arbeidsstatus en het handhaven van rechten met betrekking tot algoritmisch beheer (AM) en systemen voor kunstmatige intelligentie (</w:t>
      </w:r>
      <w:r>
        <w:t xml:space="preserve">artificial </w:t>
      </w:r>
      <w:r>
        <w:t xml:space="preserve">intelligence</w:t>
      </w:r>
      <w:r>
        <w:t xml:space="preserve">, AI). Een deskundigengroep van de Europese Commissie heeft bevestigd dat deze maatregelen niet </w:t>
      </w:r>
      <w:r>
        <w:t xml:space="preserve">in afzonderlijke wettelijke bepalingen </w:t>
      </w:r>
      <w:r w:rsidR="00D17094">
        <w:t xml:space="preserve">hoeven </w:t>
      </w:r>
      <w:r>
        <w:t xml:space="preserve">te worden vastgelegd </w:t>
      </w:r>
      <w:r w:rsidR="00D7386B">
        <w:t xml:space="preserve">– </w:t>
      </w:r>
      <w:r>
        <w:t xml:space="preserve">het volstaat dat ze deel uitmaken van bredere beleidsmaatregelen of actieplannen.</w:t>
      </w:r>
    </w:p>
    <w:p w:rsidR="00D17094" w:rsidP="00750824" w:rsidRDefault="00D17094" w14:paraId="35B312B6" w14:textId="77777777">
      <w:pPr>
        <w:jc w:val="both"/>
      </w:pPr>
    </w:p>
    <w:p w:rsidR="00983F19" w:rsidP="00750824" w:rsidRDefault="00000000" w14:paraId="1F2532D8" w14:textId="26D37833">
      <w:pPr>
        <w:jc w:val="both"/>
      </w:pPr>
      <w:r>
        <w:t xml:space="preserve">Het belangrijkste argument voor de uitbreiding van de richtlijn tot buiten </w:t>
      </w:r>
      <w:r>
        <w:t xml:space="preserve">het platformwerk vloeit voort uit de aard van het probleem zelf: platforms zijn </w:t>
      </w:r>
      <w:r w:rsidR="00D17094">
        <w:t xml:space="preserve">slechts </w:t>
      </w:r>
      <w:r>
        <w:t xml:space="preserve">het meest zichtbare voorbeeld </w:t>
      </w:r>
      <w:r>
        <w:t xml:space="preserve">geworden</w:t>
      </w:r>
      <w:r>
        <w:t xml:space="preserve">, maar niet het enige voorbeeld </w:t>
      </w:r>
      <w:r>
        <w:t xml:space="preserve">van onderaannemersketens waarbij het onduidelijk is wie daadwerkelijk de werkgever is en wie verantwoordelijk is voor </w:t>
      </w:r>
      <w:r w:rsidR="00D17094">
        <w:t xml:space="preserve">het waarborgen van de arbeids- en sociale rechten van werknemers</w:t>
      </w:r>
      <w:r>
        <w:t xml:space="preserve">. </w:t>
      </w:r>
      <w:r w:rsidR="00D17094">
        <w:t xml:space="preserve">Algoritmisch beheer wordt niet alleen door platforms toegepast, maar </w:t>
      </w:r>
      <w:r>
        <w:t xml:space="preserve">vindt </w:t>
      </w:r>
      <w:r w:rsidR="00D17094">
        <w:t xml:space="preserve">ook</w:t>
      </w:r>
      <w:r>
        <w:t xml:space="preserve"> plaats </w:t>
      </w:r>
      <w:r>
        <w:t xml:space="preserve">in magazijnen</w:t>
      </w:r>
      <w:r w:rsidR="00D17094">
        <w:t xml:space="preserve">, </w:t>
      </w:r>
      <w:r>
        <w:t xml:space="preserve">callcenters </w:t>
      </w:r>
      <w:r w:rsidR="00D17094">
        <w:t xml:space="preserve">en elders</w:t>
      </w:r>
      <w:r>
        <w:t xml:space="preserve">.</w:t>
      </w:r>
    </w:p>
    <w:p w:rsidR="00983F19" w:rsidP="00750824" w:rsidRDefault="00000000" w14:paraId="711C4AA1" w14:textId="77777777">
      <w:pPr>
        <w:pStyle w:val="Naslov2"/>
        <w:jc w:val="both"/>
      </w:pPr>
      <w:bookmarkStart w:name="_Toc233699506" w:id="71"/>
      <w:bookmarkStart w:name="ugotovitve-iz-prakse-5" w:id="72"/>
      <w:bookmarkEnd w:id="70"/>
      <w:r>
        <w:t xml:space="preserve">8.2 Bevindingen uit de praktijk</w:t>
      </w:r>
      <w:bookmarkEnd w:id="71"/>
    </w:p>
    <w:p w:rsidR="00983F19" w:rsidP="00750824" w:rsidRDefault="00000000" w14:paraId="6567EB3C" w14:textId="583FA04F">
      <w:pPr>
        <w:jc w:val="both"/>
      </w:pPr>
      <w:r>
        <w:rPr>
          <w:b/>
          <w:bCs/>
        </w:rPr>
        <w:t xml:space="preserve">Onderaannemingsketens en het verdoezelen van de verantwoordelijkheid van de werkgever. </w:t>
      </w:r>
      <w:r>
        <w:t xml:space="preserve">De bijdrage aan het SDDP-project over bemiddeling bij </w:t>
      </w:r>
      <w:r>
        <w:t xml:space="preserve">platformwerk documenteert dat in bijna de helft van de geanalyseerde platforms (zie hoofdstuk 2) </w:t>
      </w:r>
      <w:r>
        <w:t xml:space="preserve">onderaannemingsketens geen uitzondering vormen, maar een structureel onderdeel </w:t>
      </w:r>
      <w:r>
        <w:t xml:space="preserve">van</w:t>
      </w:r>
      <w:r w:rsidR="000F63BC">
        <w:t xml:space="preserve"> hun </w:t>
      </w:r>
      <w:r>
        <w:t xml:space="preserve">bedrijfsmodel </w:t>
      </w:r>
      <w:r>
        <w:t xml:space="preserve">zijn</w:t>
      </w:r>
      <w:r>
        <w:t xml:space="preserve">. Het probleem beperkt zich niet tot platforms: in Duitsland waren de bemiddelingsketens in de vleesverwerkende industrie zo ingewikkeld dat niet kon worden vastgesteld wie de feitelijke werkgever was en wie de wettelijke verantwoordelijkheid droeg voor </w:t>
      </w:r>
      <w:r>
        <w:t xml:space="preserve">de arbeidsrechten van de werknemers. </w:t>
      </w:r>
      <w:r w:rsidR="000F63BC">
        <w:t xml:space="preserve">Als reactie op het systematisch verdoezelen van de werkgeversverantwoordelijkheid </w:t>
      </w:r>
      <w:r>
        <w:t xml:space="preserve">heeft Duitsland in 2021 </w:t>
      </w:r>
      <w:r>
        <w:t xml:space="preserve">de eis van directe tewerkstelling in deze sector ingevoerd.</w:t>
      </w:r>
      <w:r>
        <w:rPr>
          <w:rStyle w:val="Sprotnaopomba-sklic"/>
        </w:rPr>
        <w:footnoteReference w:id="7"/>
      </w:r>
    </w:p>
    <w:p w:rsidR="00D90A18" w:rsidP="00750824" w:rsidRDefault="00D90A18" w14:paraId="5EB85A9A" w14:textId="77777777">
      <w:pPr>
        <w:jc w:val="both"/>
      </w:pPr>
    </w:p>
    <w:p w:rsidR="00983F19" w:rsidP="00750824" w:rsidRDefault="00000000" w14:paraId="61789ECF" w14:textId="385552FF">
      <w:pPr>
        <w:jc w:val="both"/>
      </w:pPr>
      <w:r>
        <w:rPr>
          <w:b/>
          <w:bCs/>
        </w:rPr>
        <w:lastRenderedPageBreak/>
      </w:r>
      <w:r>
        <w:rPr>
          <w:b/>
          <w:bCs/>
        </w:rPr>
        <w:t xml:space="preserve">Algoritmisch beheer in magazijnen en callcenters. </w:t>
      </w:r>
      <w:r>
        <w:t xml:space="preserve">De Oostenrijkse bijdrage aan het SDDP-project documenteert dat algoritmisch beheer niet beperkt blijft tot platforms: systemen voor productiviteitsmeting, algoritmische werkverdeling en automatische sancties bij afwijkingen van de norm zijn </w:t>
      </w:r>
      <w:r w:rsidR="000F63BC">
        <w:t xml:space="preserve">ook </w:t>
      </w:r>
      <w:r>
        <w:t xml:space="preserve">actief </w:t>
      </w:r>
      <w:r>
        <w:t xml:space="preserve">in magazijnen en callcenters. De richtlijn regelt dit gedrag bij platforms, maar niet bij alle andere werkgevers</w:t>
      </w:r>
      <w:r w:rsidR="000F63BC">
        <w:t xml:space="preserve">, </w:t>
      </w:r>
      <w:r>
        <w:t xml:space="preserve">wat een asymmetrie tussen sectoren creëert.</w:t>
      </w:r>
    </w:p>
    <w:p w:rsidR="00D90A18" w:rsidP="00750824" w:rsidRDefault="00D90A18" w14:paraId="6B71555F" w14:textId="77777777">
      <w:pPr>
        <w:jc w:val="both"/>
      </w:pPr>
    </w:p>
    <w:p w:rsidR="00983F19" w:rsidP="00750824" w:rsidRDefault="00000000" w14:paraId="75E5061C" w14:textId="4B833C24">
      <w:pPr>
        <w:jc w:val="both"/>
      </w:pPr>
      <w:r>
        <w:rPr>
          <w:b/>
          <w:bCs/>
        </w:rPr>
        <w:t xml:space="preserve">Schijnzelfstandigheid buiten de platforms. </w:t>
      </w:r>
      <w:r>
        <w:t xml:space="preserve">De ZSSS constateert in haar richtsnoeren voor de implementatie van de richtlijn (april 2025) dat schijnzelfstandigheid in de Republiek Slovenië zich ver buiten </w:t>
      </w:r>
      <w:r>
        <w:t xml:space="preserve">het platformwerk</w:t>
      </w:r>
      <w:r>
        <w:t xml:space="preserve"> uitstrekt</w:t>
      </w:r>
      <w:r>
        <w:t xml:space="preserve">. De ZSSS stelt voor om voor Slovenië de logica in te voeren dat elk werk wordt beschouwd als verricht in het kader van een arbeidsverhouding </w:t>
      </w:r>
      <w:r w:rsidR="00615F18">
        <w:t xml:space="preserve">of dienstverband</w:t>
      </w:r>
      <w:r>
        <w:t xml:space="preserve">, tenzij de werkgever vooraf het tegendeel aantoont. In dit verband stelt de ZSSS voor om een register op te zetten waarin alle gevallen van atypische arbeidsvormen worden vastgelegd, samen met de redenen voor het gebruik ervan.</w:t>
      </w:r>
    </w:p>
    <w:p w:rsidR="00D90A18" w:rsidP="00750824" w:rsidRDefault="00D90A18" w14:paraId="6E284FE3" w14:textId="77777777">
      <w:pPr>
        <w:jc w:val="both"/>
      </w:pPr>
    </w:p>
    <w:p w:rsidR="00D90A18" w:rsidP="00750824" w:rsidRDefault="00000000" w14:paraId="1B8DB113" w14:textId="7EA14F35">
      <w:pPr>
        <w:jc w:val="both"/>
      </w:pPr>
      <w:r>
        <w:rPr>
          <w:b/>
          <w:bCs/>
        </w:rPr>
        <w:t xml:space="preserve">Een collectieve arbeidsovereenkomst zonder AM-regeling biedt onvoldoende bescherming. </w:t>
      </w:r>
      <w:r>
        <w:t xml:space="preserve">Twee voorbeelden uit partnerlanden bevestigen dit duidelijk. De Oostenrijkse collectieve arbeidsovereenkomst voor bezorgers (</w:t>
      </w:r>
      <w:r>
        <w:t xml:space="preserve">Gewerkschaft </w:t>
      </w:r>
      <w:r>
        <w:t xml:space="preserve">vida, geldig van 2023 tot 2025) regelde </w:t>
      </w:r>
      <w:r w:rsidR="001E67F7">
        <w:t xml:space="preserve">kwesties als loon</w:t>
      </w:r>
      <w:r>
        <w:t xml:space="preserve">, </w:t>
      </w:r>
      <w:r w:rsidR="001E67F7">
        <w:t xml:space="preserve">werktijden </w:t>
      </w:r>
      <w:r>
        <w:t xml:space="preserve">en </w:t>
      </w:r>
      <w:r w:rsidR="001E67F7">
        <w:t xml:space="preserve">onkostenvergoeding, </w:t>
      </w:r>
      <w:r w:rsidR="001E67F7">
        <w:t xml:space="preserve">maar </w:t>
      </w:r>
      <w:r>
        <w:t xml:space="preserve">ging niet in op </w:t>
      </w:r>
      <w:r>
        <w:t xml:space="preserve">algoritmisch beheer</w:t>
      </w:r>
      <w:r>
        <w:t xml:space="preserve">. De vakbond heeft de overeenkomst in juni 2025 opgezegd. De Italiaanse cao voor bezorgers van Just </w:t>
      </w:r>
      <w:r>
        <w:t xml:space="preserve">Eat </w:t>
      </w:r>
      <w:r>
        <w:t xml:space="preserve">Takeaway </w:t>
      </w:r>
      <w:r>
        <w:t xml:space="preserve">/ </w:t>
      </w:r>
      <w:r>
        <w:t xml:space="preserve">Scoober </w:t>
      </w:r>
      <w:r>
        <w:t xml:space="preserve">(geldig van januari 2025 tot december 2027) gaat een stap verder: de bezorgers zijn </w:t>
      </w:r>
      <w:r w:rsidR="00615F18">
        <w:t xml:space="preserve">in loondienst en </w:t>
      </w:r>
      <w:r>
        <w:t xml:space="preserve">de cao verwijst naar </w:t>
      </w:r>
      <w:r w:rsidR="001E67F7">
        <w:t xml:space="preserve">de</w:t>
      </w:r>
      <w:r>
        <w:t xml:space="preserve"> nationale </w:t>
      </w:r>
      <w:r w:rsidR="001E67F7">
        <w:t xml:space="preserve">cao </w:t>
      </w:r>
      <w:r>
        <w:t xml:space="preserve">voor logistiek en transport (CCNL </w:t>
      </w:r>
      <w:r>
        <w:t xml:space="preserve">Logistics</w:t>
      </w:r>
      <w:r>
        <w:t xml:space="preserve">). </w:t>
      </w:r>
    </w:p>
    <w:p w:rsidR="00D90A18" w:rsidP="00750824" w:rsidRDefault="00D90A18" w14:paraId="25CEF840" w14:textId="77777777">
      <w:pPr>
        <w:jc w:val="both"/>
      </w:pPr>
    </w:p>
    <w:p w:rsidR="00983F19" w:rsidP="00750824" w:rsidRDefault="00000000" w14:paraId="10167AA2" w14:textId="5AD59B41">
      <w:pPr>
        <w:jc w:val="both"/>
      </w:pPr>
      <w:r>
        <w:t xml:space="preserve">Toch bevat de overeenkomst geen bepalingen over de transparantie </w:t>
      </w:r>
      <w:r w:rsidR="001E67F7">
        <w:t xml:space="preserve">van</w:t>
      </w:r>
      <w:r>
        <w:t xml:space="preserve"> algoritmische parameters, hoewel </w:t>
      </w:r>
      <w:r w:rsidR="001E67F7">
        <w:t xml:space="preserve">de prestatiebonus </w:t>
      </w:r>
      <w:r>
        <w:t xml:space="preserve">(PDR) afhankelijk </w:t>
      </w:r>
      <w:r>
        <w:t xml:space="preserve">is </w:t>
      </w:r>
      <w:r>
        <w:t xml:space="preserve">van algoritmische criteria </w:t>
      </w:r>
      <w:r w:rsidR="00D7386B">
        <w:t xml:space="preserve">– </w:t>
      </w:r>
      <w:r>
        <w:t xml:space="preserve">een aanwezigheid van meer dan 93 % en een productiviteit van meer dan 1,85 opdrachten per uur </w:t>
      </w:r>
      <w:r w:rsidR="00D7386B">
        <w:t xml:space="preserve">– </w:t>
      </w:r>
      <w:r>
        <w:t xml:space="preserve">zonder enige bepaling over hoe deze criteria worden berekend en wie ze kan aanvechten. De algemene les uit beide voorbeelden: een collectieve arbeidsovereenkomst die geen regeling biedt </w:t>
      </w:r>
      <w:r w:rsidR="001E67F7">
        <w:t xml:space="preserve">voor AM</w:t>
      </w:r>
      <w:r>
        <w:t xml:space="preserve">, garandeert geen volledige bescherming in </w:t>
      </w:r>
      <w:r>
        <w:t xml:space="preserve">de platformeconomie.</w:t>
      </w:r>
      <w:r>
        <w:rPr>
          <w:rStyle w:val="Sprotnaopomba-sklic"/>
        </w:rPr>
        <w:footnoteReference w:id="8"/>
      </w:r>
      <w:r w:rsidR="00645F58">
        <w:t xml:space="preserve"> </w:t>
      </w:r>
      <w:r>
        <w:rPr>
          <w:rStyle w:val="Sprotnaopomba-sklic"/>
        </w:rPr>
        <w:footnoteReference w:id="9"/>
      </w:r>
    </w:p>
    <w:p w:rsidR="00D90A18" w:rsidP="00750824" w:rsidRDefault="00D90A18" w14:paraId="496B41FD" w14:textId="77777777">
      <w:pPr>
        <w:jc w:val="both"/>
      </w:pPr>
    </w:p>
    <w:p w:rsidR="00983F19" w:rsidP="00750824" w:rsidRDefault="00000000" w14:paraId="32CF5609" w14:textId="04E24715">
      <w:pPr>
        <w:jc w:val="both"/>
      </w:pPr>
      <w:r>
        <w:rPr>
          <w:b/>
          <w:bCs/>
        </w:rPr>
        <w:t xml:space="preserve">Geheimhoudingsovereenkomsten als pressiemiddel</w:t>
      </w:r>
      <w:r w:rsidR="00645F58">
        <w:t xml:space="preserve">. </w:t>
      </w:r>
      <w:r>
        <w:t xml:space="preserve">Bij onderhandelingen met </w:t>
      </w:r>
      <w:r>
        <w:t xml:space="preserve">platformbedrijven over collectieve arbeidsovereenkomsten en bij verzoeken om informatie over algoritmisch beheer </w:t>
      </w:r>
      <w:r>
        <w:t xml:space="preserve">eisen de platforms van de vakbonden dat zij een geheimhoudingsovereenkomst (</w:t>
      </w:r>
      <w:r>
        <w:t xml:space="preserve">‘non-disclosure </w:t>
      </w:r>
      <w:r>
        <w:t xml:space="preserve">agreement </w:t>
      </w:r>
      <w:r w:rsidR="00645F58">
        <w:t xml:space="preserve">(</w:t>
      </w:r>
      <w:r>
        <w:t xml:space="preserve">NDA</w:t>
      </w:r>
      <w:r w:rsidR="00645F58">
        <w:t xml:space="preserve">)’</w:t>
      </w:r>
      <w:r>
        <w:t xml:space="preserve">) </w:t>
      </w:r>
      <w:r>
        <w:t xml:space="preserve">ondertekenen</w:t>
      </w:r>
      <w:r>
        <w:t xml:space="preserve">. Hiermee beperken ze de vakbonden niet alleen in het publieke debat, maar schrikken ze hen ook af om klachten in te dienen en de rechten te doen gelden die de richtlijn uitdrukkelijk waarborgt. Artikel 9 van de richtlijn legt platforms de proactieve verplichting op om vakbondsvertegenwoordigers te informeren over AM/AI-systemen </w:t>
      </w:r>
      <w:r w:rsidR="00D7386B">
        <w:t xml:space="preserve">– </w:t>
      </w:r>
      <w:r>
        <w:t xml:space="preserve">deze verplichting mag niet afhankelijk worden gesteld van de ondertekening van een overeenkomst. Artikel 22 van de richtlijn verbiedt elke vorm van schadelijk gedrag jegens personen en hun vertegenwoordigers die de rechten uit de richtlijn doen gelden.</w:t>
      </w:r>
    </w:p>
    <w:p w:rsidR="00D90A18" w:rsidP="00750824" w:rsidRDefault="00D90A18" w14:paraId="572469EA" w14:textId="77777777">
      <w:pPr>
        <w:jc w:val="both"/>
      </w:pPr>
    </w:p>
    <w:p w:rsidR="00983F19" w:rsidP="00750824" w:rsidRDefault="00000000" w14:paraId="2B001D43" w14:textId="74333029">
      <w:pPr>
        <w:jc w:val="both"/>
      </w:pPr>
      <w:r>
        <w:rPr>
          <w:b/>
          <w:bCs/>
        </w:rPr>
        <w:t xml:space="preserve">Voordelen van AM voor werknemers, niet alleen voor werkgevers. </w:t>
      </w:r>
      <w:r>
        <w:t xml:space="preserve">De ZSSS wijst er in haar richtlijnen op dat de invoering van AM en AI-systemen ook voordelen voor werknemers moet opleveren </w:t>
      </w:r>
      <w:r w:rsidR="00D7386B">
        <w:t xml:space="preserve">– </w:t>
      </w:r>
      <w:r>
        <w:t xml:space="preserve">door een betere organisatie van het werk, hogere lonen, vermindering van repetitieve taken en de mogelijkheid om </w:t>
      </w:r>
      <w:r>
        <w:t xml:space="preserve">de werk</w:t>
      </w:r>
      <w:r>
        <w:lastRenderedPageBreak/>
      </w:r>
      <w:r>
        <w:t xml:space="preserve"> en</w:t>
      </w:r>
      <w:r>
        <w:t xml:space="preserve"> te verkorten</w:t>
      </w:r>
      <w:r>
        <w:t xml:space="preserve">. Regulering van AM louter als toezicht, zonder de eis van een rechtvaardige verdeling van de voordelen, volstaat niet.</w:t>
      </w:r>
    </w:p>
    <w:p w:rsidR="00983F19" w:rsidP="00750824" w:rsidRDefault="00000000" w14:paraId="3E6F525B" w14:textId="77777777">
      <w:pPr>
        <w:pStyle w:val="Naslov2"/>
        <w:jc w:val="both"/>
      </w:pPr>
      <w:bookmarkStart w:name="_Toc233699507" w:id="73"/>
      <w:bookmarkStart w:name="priporočila-5" w:id="74"/>
      <w:bookmarkEnd w:id="72"/>
      <w:r>
        <w:t xml:space="preserve">8.3 Aanbevelingen</w:t>
      </w:r>
      <w:bookmarkEnd w:id="73"/>
    </w:p>
    <w:p w:rsidRPr="00D90A18" w:rsidR="00983F19" w:rsidP="00750824" w:rsidRDefault="00000000" w14:paraId="4FB73DAE" w14:textId="77777777">
      <w:pPr>
        <w:jc w:val="both"/>
        <w:rPr>
          <w:i/>
          <w:iCs/>
        </w:rPr>
      </w:pPr>
      <w:r>
        <w:rPr>
          <w:rStyle w:val="Poudarek"/>
        </w:rPr>
        <w:t xml:space="preserve">De volgende aanbevelingen zijn gericht aan de ministeries van Arbeid en de sociale partners van alle EU-lidstaten, alsmede aan het ETUC.</w:t>
      </w:r>
    </w:p>
    <w:p w:rsidRPr="00D90A18" w:rsidR="00983F19" w:rsidP="00750824" w:rsidRDefault="00000000" w14:paraId="44040075" w14:textId="77777777">
      <w:pPr>
        <w:pStyle w:val="Naslov3"/>
        <w:jc w:val="both"/>
      </w:pPr>
      <w:r>
        <w:t xml:space="preserve">Aanbeveling 8.1 [GAAT VERDER DAN HET MINIMUM]: Verbod op misbruik van geheimhoudingsovereenkomsten ten aanzien van vakbondsvertegenwoordigers</w:t>
      </w:r>
    </w:p>
    <w:p w:rsidR="00983F19" w:rsidP="00750824" w:rsidRDefault="00000000" w14:paraId="68926663" w14:textId="7D7DDDE1">
      <w:pPr>
        <w:jc w:val="both"/>
      </w:pPr>
      <w:r>
        <w:t xml:space="preserve">De eis om een geheimhoudingsovereenkomst te ondertekenen als voorwaarde voor toegang tot gegevens waarop vakbondsvertegenwoordigers op grond van de richtlijn al recht hebben, is </w:t>
      </w:r>
      <w:r w:rsidR="00885168">
        <w:t xml:space="preserve">verboden </w:t>
      </w:r>
      <w:r>
        <w:t xml:space="preserve">op grond van artikel 22 van de richtlijn.</w:t>
      </w:r>
    </w:p>
    <w:p w:rsidRPr="00D90A18" w:rsidR="00D90A18" w:rsidP="00750824" w:rsidRDefault="00D90A18" w14:paraId="536ED4A8" w14:textId="77777777">
      <w:pPr>
        <w:jc w:val="both"/>
      </w:pPr>
    </w:p>
    <w:p w:rsidR="00983F19" w:rsidP="00750824" w:rsidRDefault="00000000" w14:paraId="5DE11210" w14:textId="1875A5AC">
      <w:pPr>
        <w:jc w:val="both"/>
      </w:pPr>
      <w:r>
        <w:t xml:space="preserve">De ministeries </w:t>
      </w:r>
      <w:r w:rsidR="00885168">
        <w:t xml:space="preserve">dienen </w:t>
      </w:r>
      <w:r>
        <w:t xml:space="preserve">dit verbod in de omzettingswet te concretiseren: een geheimhoudingsovereenkomst mag de vakbond niet beletten klachten in te dienen of gegevens aan de rechter voor te leggen. Bovendien zijn alle contractuele bepalingen die werknemers verbieden de arbeidsvoorwaarden openbaar te maken</w:t>
      </w:r>
      <w:r w:rsidR="00D7386B">
        <w:t xml:space="preserve">,</w:t>
      </w:r>
      <w:r>
        <w:t xml:space="preserve"> ongeldig </w:t>
      </w:r>
      <w:r w:rsidR="00D7386B">
        <w:t xml:space="preserve">– </w:t>
      </w:r>
      <w:r>
        <w:t xml:space="preserve">in overeenstemming </w:t>
      </w:r>
      <w:r w:rsidR="00885168">
        <w:t xml:space="preserve">met </w:t>
      </w:r>
      <w:r>
        <w:t xml:space="preserve">de derde pijler van het Protocol en de artikelen 14 en 22 van de richtlijn. Een inbreuk door een platformbedrijf wordt beschouwd als een inbreuk op de richtlijn en is onderworpen aan sancties op grond van artikel 24.</w:t>
      </w:r>
    </w:p>
    <w:p w:rsidRPr="00D90A18" w:rsidR="00885168" w:rsidP="00750824" w:rsidRDefault="00885168" w14:paraId="07CA53AF" w14:textId="77777777">
      <w:pPr>
        <w:jc w:val="both"/>
      </w:pPr>
    </w:p>
    <w:p w:rsidRPr="00D90A18" w:rsidR="00983F19" w:rsidP="00750824" w:rsidRDefault="00000000" w14:paraId="1E7ED245" w14:textId="77777777">
      <w:pPr>
        <w:pStyle w:val="Blokbesedila"/>
      </w:pPr>
      <w:r>
        <w:t xml:space="preserve">Achtergrond: Artikel 9: proactieve verplichting om vakbondsvertegenwoordigers te informeren over AM/AI. Artikel 22: verbod op nadelige behandeling van personen die hun rechten uit hoofde van de richtlijn uitoefenen.</w:t>
      </w:r>
    </w:p>
    <w:p w:rsidRPr="00D90A18" w:rsidR="00983F19" w:rsidP="00750824" w:rsidRDefault="00000000" w14:paraId="02556E79" w14:textId="77777777">
      <w:pPr>
        <w:jc w:val="both"/>
      </w:pPr>
      <w:r>
        <w:t xml:space="preserve"> </w:t>
      </w:r>
    </w:p>
    <w:p w:rsidRPr="00D90A18" w:rsidR="00983F19" w:rsidP="00750824" w:rsidRDefault="00000000" w14:paraId="227BBD6C" w14:textId="77777777">
      <w:pPr>
        <w:pStyle w:val="Naslov3"/>
        <w:jc w:val="both"/>
      </w:pPr>
      <w:r>
        <w:t xml:space="preserve">Aanbeveling 8.2 [AMBITIEUS]: Gelijke regulering van onderaannemersketens in sectoren met een hoge mate van bemiddeling</w:t>
      </w:r>
    </w:p>
    <w:p w:rsidR="00983F19" w:rsidP="00750824" w:rsidRDefault="00885168" w14:paraId="001EAB30" w14:textId="31B7457E">
      <w:pPr>
        <w:jc w:val="both"/>
      </w:pPr>
      <w:r w:rsidR="00A25A76">
        <w:t xml:space="preserve">Solidarische </w:t>
      </w:r>
      <w:r>
        <w:t xml:space="preserve">aansprakelijkheid en het in kaart brengen van onderaannemingsketens mogen niet beperkt blijven tot de platformsector.</w:t>
      </w:r>
    </w:p>
    <w:p w:rsidRPr="00D90A18" w:rsidR="00D90A18" w:rsidP="00750824" w:rsidRDefault="00D90A18" w14:paraId="3399F77A" w14:textId="77777777">
      <w:pPr>
        <w:jc w:val="both"/>
      </w:pPr>
    </w:p>
    <w:p w:rsidR="00983F19" w:rsidP="00750824" w:rsidRDefault="00000000" w14:paraId="34B7CF26" w14:textId="77777777">
      <w:pPr>
        <w:jc w:val="both"/>
      </w:pPr>
      <w:r>
        <w:t xml:space="preserve">De ministeries moeten in samenwerking met de inspectiediensten de omvang van de onderaannemingsketens in sectoren met een aantoonbaar hoge mate van bemiddeling onderzoeken en wetgevende maatregelen voorstellen om de werkgeversaansprakelijkheid in de gehele keten duidelijk te definiëren. We roepen het ETUC op om zijn eigen voorstel voor een richtlijn inzake onderaanneming en bemiddeling van november 2025 te steunen.</w:t>
      </w:r>
    </w:p>
    <w:p w:rsidRPr="00D90A18" w:rsidR="00885168" w:rsidP="00750824" w:rsidRDefault="00885168" w14:paraId="01947D24" w14:textId="77777777">
      <w:pPr>
        <w:jc w:val="both"/>
      </w:pPr>
    </w:p>
    <w:p w:rsidRPr="00D90A18" w:rsidR="00983F19" w:rsidP="00750824" w:rsidRDefault="00000000" w14:paraId="0A92C624" w14:textId="1F93BCCD">
      <w:pPr>
        <w:pStyle w:val="Blokbesedila"/>
      </w:pPr>
      <w:r>
        <w:t xml:space="preserve">Achtergrond: Duitsland 2021: eis van directe tewerkstelling in de vleesverwerkende industrie als reactie op het systematisch verdoezelen van de werkgeversaansprakelijkheid. ETUC november 2025: </w:t>
      </w:r>
      <w:r w:rsidR="00A25A76">
        <w:t xml:space="preserve">solidaire </w:t>
      </w:r>
      <w:r>
        <w:t xml:space="preserve">aansprakelijkheid voor lonen, sociale premies en het recht op vakbondsvorming.</w:t>
      </w:r>
    </w:p>
    <w:p w:rsidRPr="00D90A18" w:rsidR="00983F19" w:rsidP="00750824" w:rsidRDefault="00000000" w14:paraId="3BC804AE" w14:textId="77777777">
      <w:pPr>
        <w:jc w:val="both"/>
      </w:pPr>
      <w:r>
        <w:t xml:space="preserve"> </w:t>
      </w:r>
    </w:p>
    <w:p w:rsidRPr="00D90A18" w:rsidR="00983F19" w:rsidP="00750824" w:rsidRDefault="00000000" w14:paraId="03686A7F" w14:textId="77777777">
      <w:pPr>
        <w:pStyle w:val="Naslov3"/>
        <w:jc w:val="both"/>
      </w:pPr>
      <w:r>
        <w:t xml:space="preserve">Aanbeveling 8.3 [GAAT VERDER DAN HET MINIMUM]: De digitale werkplek als wettelijke norm voor vakbondsrechten</w:t>
      </w:r>
    </w:p>
    <w:p w:rsidR="00983F19" w:rsidP="00750824" w:rsidRDefault="00000000" w14:paraId="57CA3119" w14:textId="77777777">
      <w:pPr>
        <w:jc w:val="both"/>
      </w:pPr>
      <w:r>
        <w:t xml:space="preserve">De overdrachtswet definieert de digitale werkomgeving als gelijkwaardig aan de fysieke werkplek met het oog op de uitoefening van vakbondsrechten.</w:t>
      </w:r>
    </w:p>
    <w:p w:rsidRPr="00D90A18" w:rsidR="00D90A18" w:rsidP="00750824" w:rsidRDefault="00D90A18" w14:paraId="02CA774F" w14:textId="77777777">
      <w:pPr>
        <w:jc w:val="both"/>
      </w:pPr>
    </w:p>
    <w:p w:rsidR="00983F19" w:rsidP="00750824" w:rsidRDefault="00000000" w14:paraId="2C4FC267" w14:textId="62D52123">
      <w:pPr>
        <w:jc w:val="both"/>
      </w:pPr>
      <w:r>
        <w:t xml:space="preserve">Een vakbondsvertegenwoordiger wiens account door het platform is gedeactiveerd omdat hij vakbondsrechten heeft uitgeoefend, geniet dezelfde bescherming als een werknemer wiens </w:t>
      </w:r>
      <w:r w:rsidR="00885168">
        <w:t xml:space="preserve">arbeidsovereenkomst</w:t>
      </w:r>
      <w:r>
        <w:t xml:space="preserve"> </w:t>
      </w:r>
      <w:r w:rsidR="00885168">
        <w:t xml:space="preserve">(</w:t>
      </w:r>
      <w:r w:rsidR="00885168">
        <w:lastRenderedPageBreak/>
      </w:r>
      <w:r w:rsidR="00885168">
        <w:t xml:space="preserve"> )</w:t>
      </w:r>
      <w:r>
        <w:t xml:space="preserve"> door de werkgever is opgezegd</w:t>
      </w:r>
      <w:r>
        <w:t xml:space="preserve">. Het verbod op discriminatie op grond van vakbondslidmaatschap geldt voor iedereen die via een digitaal platform werkt, ongeacht de formele status.</w:t>
      </w:r>
    </w:p>
    <w:p w:rsidRPr="00D90A18" w:rsidR="00885168" w:rsidP="00750824" w:rsidRDefault="00885168" w14:paraId="3D85F254" w14:textId="77777777">
      <w:pPr>
        <w:jc w:val="both"/>
      </w:pPr>
    </w:p>
    <w:p w:rsidRPr="00D90A18" w:rsidR="00983F19" w:rsidP="00750824" w:rsidRDefault="00000000" w14:paraId="0AE1C5CF" w14:textId="77777777">
      <w:pPr>
        <w:pStyle w:val="Blokbesedila"/>
      </w:pPr>
      <w:r>
        <w:t xml:space="preserve">Achtergrond: Wolt-ontwerp-CAO (ZSSS en vakbond Mladi plus, 2025), artikel 17: de app wordt beschouwd als een digitale werkplek. ZSSS-richtlijnen 2025.</w:t>
      </w:r>
    </w:p>
    <w:p w:rsidRPr="00D90A18" w:rsidR="00983F19" w:rsidP="00750824" w:rsidRDefault="00000000" w14:paraId="126E5F42" w14:textId="77777777">
      <w:pPr>
        <w:pStyle w:val="Naslov3"/>
        <w:jc w:val="both"/>
      </w:pPr>
      <w:r>
        <w:t xml:space="preserve">Aanbeveling 8.4 [OVERTREEDT HET MINIMUM]: Vakbondsprikbord in de app: een recht, geen gunst</w:t>
      </w:r>
    </w:p>
    <w:p w:rsidR="00983F19" w:rsidP="00750824" w:rsidRDefault="00000000" w14:paraId="2F491E46" w14:textId="61A4F5E9">
      <w:pPr>
        <w:jc w:val="both"/>
      </w:pPr>
      <w:r>
        <w:t xml:space="preserve">Het platform </w:t>
      </w:r>
      <w:r w:rsidR="00885168">
        <w:t xml:space="preserve">in de app </w:t>
      </w:r>
      <w:r>
        <w:t xml:space="preserve">biedt een ruimte waar de vakbond vrijelijk berichten aan de werknemers kan publiceren </w:t>
      </w:r>
      <w:r w:rsidR="00D7386B">
        <w:t xml:space="preserve">– </w:t>
      </w:r>
      <w:r>
        <w:t xml:space="preserve">zonder voorafgaande goedkeuring van het platform.</w:t>
      </w:r>
    </w:p>
    <w:p w:rsidRPr="00D90A18" w:rsidR="00D90A18" w:rsidP="00750824" w:rsidRDefault="00D90A18" w14:paraId="231B3F38" w14:textId="77777777">
      <w:pPr>
        <w:jc w:val="both"/>
      </w:pPr>
    </w:p>
    <w:p w:rsidR="00983F19" w:rsidP="00750824" w:rsidRDefault="00000000" w14:paraId="67550E60" w14:textId="41B328D0">
      <w:pPr>
        <w:jc w:val="both"/>
      </w:pPr>
      <w:r>
        <w:t xml:space="preserve">De vakbond heeft het recht om ten minste tweemaal per maand </w:t>
      </w:r>
      <w:r>
        <w:t xml:space="preserve">alle werknemers </w:t>
      </w:r>
      <w:r>
        <w:t xml:space="preserve">rechtstreeks </w:t>
      </w:r>
      <w:r>
        <w:t xml:space="preserve">via de app </w:t>
      </w:r>
      <w:r w:rsidR="00FA3434">
        <w:t xml:space="preserve">te informeren</w:t>
      </w:r>
      <w:r>
        <w:t xml:space="preserve">. Het platform mag de inhoud van deze berichten niet controleren, noch de toegang ertoe voor werknemers beperken. Artikel 20 van de richtlijn vereist dat het platform digitale communicatiekanalen ter beschikking stelt die werknemers en hun vertegenwoordigers in staat stellen om vertrouwelijk en veilig te communiceren, en dat het platform zich onthoudt van toegang tot of het monitoren van deze communicatie.</w:t>
      </w:r>
      <w:r w:rsidRPr="00016B3D">
        <w:rPr>
          <w:rStyle w:val="Sprotnaopomba-sklic"/>
          <w:sz w:val="16"/>
          <w:szCs w:val="16"/>
          <w:vertAlign w:val="baseline"/>
        </w:rPr>
        <w:footnoteReference w:id="10"/>
      </w:r>
    </w:p>
    <w:p w:rsidRPr="00D90A18" w:rsidR="00885168" w:rsidP="00750824" w:rsidRDefault="00885168" w14:paraId="0186C3AD" w14:textId="77777777">
      <w:pPr>
        <w:jc w:val="both"/>
      </w:pPr>
    </w:p>
    <w:p w:rsidRPr="00D90A18" w:rsidR="00983F19" w:rsidP="00750824" w:rsidRDefault="00000000" w14:paraId="45155A35" w14:textId="77777777">
      <w:pPr>
        <w:pStyle w:val="Blokbesedila"/>
      </w:pPr>
      <w:r>
        <w:t xml:space="preserve">Achtergrond: het ontwerp van de collectieve arbeidsovereenkomst van Wolt, artikel 14: een tabblad in de app voor vakbondsberichten, tweemaal per maand een pushmelding, verbod op heimelijk toezicht op vakbondsgroepen. Richtlijnen van de ZSSS voor 2025.</w:t>
      </w:r>
    </w:p>
    <w:p w:rsidR="00983F19" w:rsidP="00750824" w:rsidRDefault="00000000" w14:paraId="5F327B38" w14:textId="77777777">
      <w:pPr>
        <w:jc w:val="both"/>
      </w:pPr>
      <w:r>
        <w:t xml:space="preserve"> </w:t>
      </w:r>
    </w:p>
    <w:p w:rsidRPr="00D90A18" w:rsidR="00983F19" w:rsidP="00750824" w:rsidRDefault="00000000" w14:paraId="2EADF6A0" w14:textId="4B93A713">
      <w:pPr>
        <w:jc w:val="both"/>
        <w:rPr>
          <w:rStyle w:val="Poudarek"/>
        </w:rPr>
      </w:pPr>
      <w:r>
        <w:rPr>
          <w:rStyle w:val="Poudarek"/>
        </w:rPr>
        <w:t xml:space="preserve">De richtlijn inzake platformwerk is juridisch gezien een sectorale regeling. Politiek gezien is het een prototype. Het gaat niet </w:t>
      </w:r>
      <w:r w:rsidR="00FA3434">
        <w:rPr>
          <w:rStyle w:val="Poudarek"/>
        </w:rPr>
        <w:t xml:space="preserve">alleen </w:t>
      </w:r>
      <w:r>
        <w:rPr>
          <w:rStyle w:val="Poudarek"/>
        </w:rPr>
        <w:t xml:space="preserve">om de bescherming </w:t>
      </w:r>
      <w:r w:rsidR="00FA3434">
        <w:rPr>
          <w:rStyle w:val="Poudarek"/>
        </w:rPr>
        <w:t xml:space="preserve">van werknemers </w:t>
      </w:r>
      <w:r>
        <w:rPr>
          <w:rStyle w:val="Poudarek"/>
        </w:rPr>
        <w:t xml:space="preserve">tegen </w:t>
      </w:r>
      <w:r w:rsidR="00FA3434">
        <w:rPr>
          <w:rStyle w:val="Poudarek"/>
        </w:rPr>
        <w:t xml:space="preserve">platforms</w:t>
      </w:r>
      <w:r>
        <w:rPr>
          <w:rStyle w:val="Poudarek"/>
        </w:rPr>
        <w:t xml:space="preserve">, maar ook om het vaststellen van een norm op basis waarvan </w:t>
      </w:r>
      <w:r w:rsidR="00FA3434">
        <w:rPr>
          <w:rStyle w:val="Poudarek"/>
        </w:rPr>
        <w:t xml:space="preserve">AM</w:t>
      </w:r>
      <w:r>
        <w:rPr>
          <w:rStyle w:val="Poudarek"/>
        </w:rPr>
        <w:t xml:space="preserve">, </w:t>
      </w:r>
      <w:r>
        <w:rPr>
          <w:rStyle w:val="Poudarek"/>
        </w:rPr>
        <w:t xml:space="preserve">onderaannemersketens en schijnzelfstandigheid in geen enkele </w:t>
      </w:r>
      <w:r w:rsidR="00FA3434">
        <w:rPr>
          <w:rStyle w:val="Poudarek"/>
        </w:rPr>
        <w:t xml:space="preserve">branche of sector </w:t>
      </w:r>
      <w:r>
        <w:rPr>
          <w:rStyle w:val="Poudarek"/>
        </w:rPr>
        <w:t xml:space="preserve">een legitiem middel mogen zijn om arbeidsrechtelijke verplichtingen te omzeilen</w:t>
      </w:r>
      <w:r>
        <w:rPr>
          <w:rStyle w:val="Poudarek"/>
        </w:rPr>
        <w:t xml:space="preserve">. Artikel 26, lid 2, van de richtlijn vormt de rechtsgrondslag voor deze stap. De wil van de sociale partners en de regeringen is bepalend voor het al dan niet realiseren ervan.</w:t>
      </w:r>
    </w:p>
    <w:p w:rsidR="00983F19" w:rsidP="00750824" w:rsidRDefault="00000000" w14:paraId="62DB2573" w14:textId="77777777">
      <w:pPr>
        <w:jc w:val="both"/>
      </w:pPr>
      <w:r>
        <w:t xml:space="preserve"> </w:t>
      </w:r>
    </w:p>
    <w:p w:rsidR="00983F19" w:rsidP="00750824" w:rsidRDefault="00000000" w14:paraId="0C389801" w14:textId="77777777">
      <w:pPr>
        <w:jc w:val="both"/>
      </w:pPr>
      <w:r>
        <w:rPr>
          <w:rStyle w:val="Sprotnaopomba-sklic"/>
        </w:rPr>
        <w:footnoteReference w:id="11"/>
      </w:r>
      <w:r>
        <w:t xml:space="preserve"> EU-richtlijn 2024/2831, artikel 20, originele tekst in het Sloveens (ingekort): </w:t>
      </w:r>
      <w:r>
        <w:rPr>
          <w:i/>
          <w:iCs/>
        </w:rPr>
        <w:t xml:space="preserve">„De lidstaten nemen de nodige maatregelen om ervoor te zorgen dat digitale werkplatforms personen die platformwerk verrichten, de mogelijkheid bieden om via digitale infrastructuur of even doeltreffende middelen contact te leggen en onderling privé en veilig te communiceren, en dat zij contact kunnen opnemen met vertegenwoordigers. De lidstaten eisen van digitale werkplatforms dat zij zich onthouden van toegang tot of monitoring van deze contacten en communicatie</w:t>
      </w:r>
      <w:r>
        <w:t xml:space="preserve">.”</w:t>
      </w:r>
    </w:p>
    <w:p w:rsidR="00750824" w:rsidRDefault="00750824" w14:paraId="369C81FF" w14:textId="77777777">
      <w:pPr>
        <w:rPr>
          <w:b/>
          <w:bCs/>
          <w:color w:val="1F3864"/>
          <w:sz w:val="36"/>
          <w:szCs w:val="36"/>
        </w:rPr>
      </w:pPr>
      <w:bookmarkStart w:name="X76a8c6d7513e997c1970b7e156028d704c0f862" w:id="75"/>
      <w:bookmarkEnd w:id="67"/>
      <w:bookmarkEnd w:id="74"/>
      <w:r>
        <w:br w:type="page"/>
      </w:r>
    </w:p>
    <w:p w:rsidR="00983F19" w:rsidP="00750824" w:rsidRDefault="00000000" w14:paraId="722C0F10" w14:textId="56452B57">
      <w:pPr>
        <w:pStyle w:val="Naslov1"/>
        <w:jc w:val="both"/>
      </w:pPr>
      <w:bookmarkStart w:name="_Toc233699508" w:id="76"/>
      <w:r>
        <w:lastRenderedPageBreak/>
      </w:r>
      <w:r>
        <w:t xml:space="preserve">Hoofdstuk 9: Uitdagingen bij de tenuitvoerlegging en ontwijkingsstrategieën</w:t>
      </w:r>
      <w:bookmarkEnd w:id="76"/>
    </w:p>
    <w:p w:rsidR="00983F19" w:rsidP="00750824" w:rsidRDefault="00000000" w14:paraId="1F4ADB91" w14:textId="1621F7E7">
      <w:pPr>
        <w:jc w:val="both"/>
      </w:pPr>
      <w:r>
        <w:t xml:space="preserve">De richtlijn is aangenomen. De omzettingstermijn loopt af in december 2026. Maar de aanneming van de richtlijn en de daadwerkelijke tenuitvoerlegging ervan zijn twee verschillende zaken. Ervaringen uit partnerlanden laten zien dat de uitdagingen bij de implementatie voorspelbaar zijn </w:t>
      </w:r>
      <w:r w:rsidR="00D7386B">
        <w:t xml:space="preserve">– </w:t>
      </w:r>
      <w:r>
        <w:t xml:space="preserve">platformbedrijven bestuderen ze grondig, terwijl vakbonden en ministeries zich erop moeten voorbereiden voordat </w:t>
      </w:r>
      <w:r>
        <w:t xml:space="preserve">ze zich voordoen</w:t>
      </w:r>
      <w:r>
        <w:t xml:space="preserve">. Dit hoofdstuk brengt de gedocumenteerde uitdagingen in kaart en stelt voor elke uitdaging een preventieve maatregel voor.</w:t>
      </w:r>
    </w:p>
    <w:p w:rsidR="00D90A18" w:rsidP="00750824" w:rsidRDefault="00D90A18" w14:paraId="15D5FBCE" w14:textId="77777777">
      <w:pPr>
        <w:jc w:val="both"/>
      </w:pPr>
    </w:p>
    <w:p w:rsidR="00983F19" w:rsidP="00750824" w:rsidRDefault="00000000" w14:paraId="4D29D52B" w14:textId="3A60F30B">
      <w:pPr>
        <w:jc w:val="both"/>
      </w:pPr>
      <w:r>
        <w:t xml:space="preserve">De rode draad: </w:t>
      </w:r>
      <w:r>
        <w:rPr>
          <w:b/>
          <w:bCs/>
        </w:rPr>
        <w:t xml:space="preserve">de uitdagingen zijn voorspelbaar. </w:t>
      </w:r>
      <w:r>
        <w:t xml:space="preserve">Ontwijkingsstrategieën werden </w:t>
      </w:r>
      <w:r w:rsidR="008C7863">
        <w:t xml:space="preserve">waargenomen </w:t>
      </w:r>
      <w:r>
        <w:t xml:space="preserve">in Spanje na </w:t>
      </w:r>
      <w:r w:rsidR="008C7863">
        <w:t xml:space="preserve">de wet </w:t>
      </w:r>
      <w:r>
        <w:t xml:space="preserve">inzake bezorgers, in Duitsland, Polen en Italië. Ministeries moeten deze preventief aanpakken, niet reactief.</w:t>
      </w:r>
    </w:p>
    <w:p w:rsidR="00983F19" w:rsidP="00750824" w:rsidRDefault="00000000" w14:paraId="58E3A976" w14:textId="77777777">
      <w:pPr>
        <w:pStyle w:val="Naslov2"/>
        <w:jc w:val="both"/>
      </w:pPr>
      <w:bookmarkStart w:name="_Toc233699509" w:id="77"/>
      <w:bookmarkStart w:name="strukturni-izzivi-implementacije" w:id="78"/>
      <w:r>
        <w:t xml:space="preserve">9.1 Structurele uitdagingen bij de implementatie</w:t>
      </w:r>
      <w:bookmarkEnd w:id="77"/>
    </w:p>
    <w:p w:rsidR="00983F19" w:rsidP="00750824" w:rsidRDefault="00000000" w14:paraId="30E901B7" w14:textId="77777777">
      <w:pPr>
        <w:pStyle w:val="RedBlock"/>
      </w:pPr>
      <w:r>
        <w:rPr>
          <w:b/>
          <w:bCs/>
        </w:rPr>
        <w:t xml:space="preserve">Uitdaging 9.1: Politieke timing: verkiezingen, stille regeringen en uitstel</w:t>
      </w:r>
    </w:p>
    <w:p w:rsidR="00983F19" w:rsidP="00750824" w:rsidRDefault="00000000" w14:paraId="75F387E5" w14:textId="45EFB64B">
      <w:pPr>
        <w:pStyle w:val="RedBlock"/>
      </w:pPr>
      <w:r>
        <w:t xml:space="preserve">De omzetting van de richtlijn in nationale wetgeving moet uiterlijk op 2 december 2026 zijn voltooid. In de Republiek Slovenië zullen de verkiezingen van maart 2026 een politiek vacuüm veroorzaken, juist op het moment dat </w:t>
      </w:r>
      <w:r w:rsidR="008C7863">
        <w:t xml:space="preserve">de omzetting van de richtlijn </w:t>
      </w:r>
      <w:r>
        <w:t xml:space="preserve">in volle gang </w:t>
      </w:r>
      <w:r>
        <w:t xml:space="preserve">zou moeten zijn</w:t>
      </w:r>
      <w:r>
        <w:t xml:space="preserve">. De ervaring leert dat Slovenië met EU-richtlijnen doorgaans tot het laatste moment wacht. In Italië heeft de regering zich tot medio 2025 volledig </w:t>
      </w:r>
      <w:r w:rsidR="008C7863">
        <w:t xml:space="preserve">stil</w:t>
      </w:r>
      <w:r>
        <w:t xml:space="preserve"> gehouden </w:t>
      </w:r>
      <w:r>
        <w:t xml:space="preserve">over de implementatie; de oppositie staat er positief tegenover, maar beschikt niet over een parlementaire meerderheid. In Duitsland bleven de vakbonden aan de zijlijn staan in het debat, omdat het onduidelijk was welke sector of welke vakbond bevoegd is voor platformwerkers.</w:t>
      </w:r>
    </w:p>
    <w:p w:rsidR="00983F19" w:rsidP="00750824" w:rsidRDefault="00000000" w14:paraId="1AB141CC" w14:textId="77777777">
      <w:pPr>
        <w:pStyle w:val="RedBlock"/>
      </w:pPr>
      <w:r>
        <w:rPr>
          <w:b/>
          <w:bCs/>
        </w:rPr>
        <w:t xml:space="preserve">Risico: </w:t>
      </w:r>
      <w:r>
        <w:t xml:space="preserve">de richtlijn zal minimaal worden omgezet, zonder ambities, onder druk van de platforms.</w:t>
      </w:r>
    </w:p>
    <w:p w:rsidR="00983F19" w:rsidP="00750824" w:rsidRDefault="00000000" w14:paraId="1D35EE47" w14:textId="77777777">
      <w:pPr>
        <w:jc w:val="both"/>
      </w:pPr>
      <w:r>
        <w:t xml:space="preserve"> </w:t>
      </w:r>
    </w:p>
    <w:p w:rsidR="00983F19" w:rsidP="00750824" w:rsidRDefault="00000000" w14:paraId="3902D1FD" w14:textId="0C2DC1A9">
      <w:pPr>
        <w:pStyle w:val="RedBlock"/>
      </w:pPr>
      <w:r>
        <w:rPr>
          <w:b/>
          <w:bCs/>
        </w:rPr>
        <w:t xml:space="preserve">Uitdaging 9.2: </w:t>
      </w:r>
      <w:r w:rsidR="008C7863">
        <w:rPr>
          <w:b/>
          <w:bCs/>
        </w:rPr>
        <w:t xml:space="preserve">De duur van gerechtelijke procedures </w:t>
      </w:r>
      <w:r>
        <w:rPr>
          <w:b/>
          <w:bCs/>
        </w:rPr>
        <w:t xml:space="preserve">en het juridische vacuüm tijdens de betwisting </w:t>
      </w:r>
      <w:r w:rsidR="008C7863">
        <w:rPr>
          <w:b/>
          <w:bCs/>
        </w:rPr>
        <w:t xml:space="preserve">van het vermoeden </w:t>
      </w:r>
      <w:r w:rsidR="00615F18">
        <w:rPr>
          <w:b/>
          <w:bCs/>
        </w:rPr>
        <w:t xml:space="preserve">van een dienstverband</w:t>
      </w:r>
    </w:p>
    <w:p w:rsidR="00983F19" w:rsidP="00750824" w:rsidRDefault="00000000" w14:paraId="3C3EB997" w14:textId="647BD448">
      <w:pPr>
        <w:pStyle w:val="RedBlock"/>
      </w:pPr>
      <w:r>
        <w:t xml:space="preserve">Zodra de richtlijn is omgezet, volgt een periode waarin de juridische veronderstelling </w:t>
      </w:r>
      <w:r w:rsidR="00615F18">
        <w:t xml:space="preserve">van een dienstverband </w:t>
      </w:r>
      <w:r>
        <w:t xml:space="preserve">voor de rechter </w:t>
      </w:r>
      <w:r>
        <w:t xml:space="preserve">wordt aangevochten</w:t>
      </w:r>
      <w:r>
        <w:t xml:space="preserve">. Rechtbanken in partnerlanden hebben voor dit soort procedures één tot vijf jaar nodig. Gedurende deze periode genieten werknemers geen bescherming </w:t>
      </w:r>
      <w:r w:rsidR="00D7386B">
        <w:t xml:space="preserve">– </w:t>
      </w:r>
      <w:r>
        <w:t xml:space="preserve">de platforms zullen de bestaande contractuele relaties voortzetten en wachten op individuele rechterlijke uitspraken.</w:t>
      </w:r>
    </w:p>
    <w:p w:rsidR="00983F19" w:rsidP="00750824" w:rsidRDefault="00000000" w14:paraId="4D62B829" w14:textId="3EFAB04B">
      <w:pPr>
        <w:pStyle w:val="RedBlock"/>
      </w:pPr>
      <w:r>
        <w:rPr>
          <w:b/>
          <w:bCs/>
        </w:rPr>
        <w:t xml:space="preserve">Risico: </w:t>
      </w:r>
      <w:r>
        <w:t xml:space="preserve">het juridische vacuüm tussen de goedkeuring van de richtlijn en de daadwerkelijke bescherming duurt jaren. Juist dit is het argument voor aanbeveling 6.5 van dit document </w:t>
      </w:r>
      <w:r w:rsidR="00D7386B">
        <w:t xml:space="preserve">– </w:t>
      </w:r>
      <w:r>
        <w:t xml:space="preserve">tijdelijke collectieve bescherming tijdens de betwisting van het rechtsvermoeden </w:t>
      </w:r>
      <w:r w:rsidR="00615F18">
        <w:t xml:space="preserve">van een dienstverband</w:t>
      </w:r>
      <w:r>
        <w:t xml:space="preserve">.</w:t>
      </w:r>
    </w:p>
    <w:p w:rsidR="00983F19" w:rsidP="00750824" w:rsidRDefault="00000000" w14:paraId="5F3FE2B8" w14:textId="77777777">
      <w:pPr>
        <w:jc w:val="both"/>
      </w:pPr>
      <w:r>
        <w:t xml:space="preserve"> </w:t>
      </w:r>
    </w:p>
    <w:p w:rsidR="00983F19" w:rsidP="00750824" w:rsidRDefault="00000000" w14:paraId="30E9A747" w14:textId="09611D7A">
      <w:pPr>
        <w:pStyle w:val="RedBlock"/>
      </w:pPr>
      <w:r>
        <w:rPr>
          <w:b/>
          <w:bCs/>
        </w:rPr>
        <w:t xml:space="preserve">Uitdaging 9.3: Onvoldoende financiering en </w:t>
      </w:r>
      <w:r w:rsidR="008C7863">
        <w:rPr>
          <w:b/>
          <w:bCs/>
        </w:rPr>
        <w:t xml:space="preserve">opleiding </w:t>
      </w:r>
      <w:r>
        <w:rPr>
          <w:b/>
          <w:bCs/>
        </w:rPr>
        <w:t xml:space="preserve">van de arbeidsinspecties</w:t>
      </w:r>
    </w:p>
    <w:p w:rsidR="00983F19" w:rsidP="00750824" w:rsidRDefault="00000000" w14:paraId="0EC320FE" w14:textId="64BFB4BA">
      <w:pPr>
        <w:pStyle w:val="RedBlock"/>
      </w:pPr>
      <w:r>
        <w:t xml:space="preserve">De arbeidsinspecties in alle vijf partnerlanden werden tijdens de SDDP-conferentie (Ljubljana, mei 2025) aangemerkt als een cruciaal zwak punt: te weinig inspecteurs, te weinig kennis over algoritmisch beheer, te weinig instrumenten voor de analyse van platformgegevens. De Oostenrijkse arbeidsinspectie heeft blijk gegeven van begrip voor de richtlijn, maar wijst zelf op de noodzaak van financiële versterking. </w:t>
      </w:r>
      <w:r>
        <w:t xml:space="preserve">De</w:t>
      </w:r>
      <w:r w:rsidR="008C7863">
        <w:t xml:space="preserve"> Sloveense </w:t>
      </w:r>
      <w:r>
        <w:t xml:space="preserve">arbeidsinspectie (IRSD) zou de bevoegdheid moeten krijgen om </w:t>
      </w:r>
      <w:r>
        <w:t xml:space="preserve">via een besluit </w:t>
      </w:r>
      <w:r>
        <w:t xml:space="preserve">vast te stellen </w:t>
      </w:r>
      <w:r w:rsidR="00615F18">
        <w:t xml:space="preserve">of</w:t>
      </w:r>
      <w:r>
        <w:t xml:space="preserve"> er sprake is van een arbeidsverhouding </w:t>
      </w:r>
      <w:r w:rsidR="00615F18">
        <w:t xml:space="preserve">of dienstverband </w:t>
      </w:r>
      <w:r w:rsidR="00D7386B">
        <w:t xml:space="preserve">– </w:t>
      </w:r>
      <w:r>
        <w:t xml:space="preserve">deze bevoegdheid ontbreekt haar momenteel formeel.</w:t>
      </w:r>
    </w:p>
    <w:p w:rsidR="00983F19" w:rsidP="00750824" w:rsidRDefault="00000000" w14:paraId="6ED56DB6" w14:textId="77777777">
      <w:pPr>
        <w:pStyle w:val="RedBlock"/>
      </w:pPr>
      <w:r>
        <w:rPr>
          <w:b/>
          <w:bCs/>
        </w:rPr>
        <w:t xml:space="preserve">Risico: </w:t>
      </w:r>
      <w:r>
        <w:t xml:space="preserve">een richtlijn op papier, zonder de mogelijkheid om deze in de praktijk door middel van inspecties te handhaven.</w:t>
      </w:r>
    </w:p>
    <w:p w:rsidR="00983F19" w:rsidP="00750824" w:rsidRDefault="00000000" w14:paraId="0CDEDD3A" w14:textId="77777777">
      <w:pPr>
        <w:pStyle w:val="Naslov2"/>
        <w:jc w:val="both"/>
      </w:pPr>
      <w:bookmarkStart w:name="_Toc233699510" w:id="79"/>
      <w:bookmarkStart w:name="strategije-izogibanja-platform" w:id="80"/>
      <w:bookmarkEnd w:id="78"/>
      <w:r>
        <w:t xml:space="preserve">9.2 Strategieën van platforms om de regels te omzeilen</w:t>
      </w:r>
      <w:bookmarkEnd w:id="79"/>
    </w:p>
    <w:p w:rsidR="00983F19" w:rsidP="00750824" w:rsidRDefault="00000000" w14:paraId="5CD9A228" w14:textId="77777777">
      <w:pPr>
        <w:pStyle w:val="RedBlock"/>
      </w:pPr>
      <w:r>
        <w:rPr>
          <w:b/>
          <w:bCs/>
        </w:rPr>
        <w:lastRenderedPageBreak/>
      </w:r>
      <w:r>
        <w:rPr>
          <w:b/>
          <w:bCs/>
        </w:rPr>
        <w:t xml:space="preserve">Uitdaging 9.4: Het vlotsysteem als primair mechanisme om regelgeving te omzeilen</w:t>
      </w:r>
    </w:p>
    <w:p w:rsidR="00983F19" w:rsidP="00750824" w:rsidRDefault="006E6A4A" w14:paraId="242EB931" w14:textId="245E7E57">
      <w:pPr>
        <w:pStyle w:val="RedBlock"/>
      </w:pPr>
      <w:r>
        <w:t xml:space="preserve">De ervaringen van de partners van het SDDP-project hebben duidelijk aangetoond dat de invoering van een vlootsysteem een van de meest voorkomende manieren is waarop platforms op regelgeving reageren. In Polen </w:t>
      </w:r>
      <w:r w:rsidR="00D7386B">
        <w:t xml:space="preserve">– </w:t>
      </w:r>
      <w:r>
        <w:t xml:space="preserve">de grootste markt van de EU, waar de bezorgsector bijna volledig via bemiddelingsstructuren is georganiseerd </w:t>
      </w:r>
      <w:r w:rsidR="00D7386B">
        <w:t xml:space="preserve">– </w:t>
      </w:r>
      <w:r>
        <w:t xml:space="preserve">is het vlootsysteem ontstaan als directe reactie op de regelgeving van 2016: toen Uber formeel moest garanderen dat het aan de vereisten voldeed, deed het dit via bemiddelaars die het juridische risico op zich namen. Tegenwoordig </w:t>
      </w:r>
      <w:r>
        <w:t xml:space="preserve">werken </w:t>
      </w:r>
      <w:r>
        <w:t xml:space="preserve">alle grote </w:t>
      </w:r>
      <w:r>
        <w:t xml:space="preserve">platformspelers in Polen volgens dit model.</w:t>
      </w:r>
      <w:r>
        <w:rPr>
          <w:rStyle w:val="Sprotnaopomba-sklic"/>
        </w:rPr>
        <w:footnoteReference w:id="12"/>
      </w:r>
    </w:p>
    <w:p w:rsidR="00983F19" w:rsidP="00750824" w:rsidRDefault="00000000" w14:paraId="2F834C6B" w14:textId="37916122">
      <w:pPr>
        <w:pStyle w:val="RedBlock"/>
      </w:pPr>
      <w:r>
        <w:t xml:space="preserve">Het Spaanse voorbeeld na de goedkeuring </w:t>
      </w:r>
      <w:r>
        <w:t xml:space="preserve">van</w:t>
      </w:r>
      <w:r w:rsidR="006E6A4A">
        <w:t xml:space="preserve"> de Wet </w:t>
      </w:r>
      <w:r>
        <w:t xml:space="preserve">op de bezorgers vertoont dezelfde dynamiek: </w:t>
      </w:r>
      <w:r>
        <w:t xml:space="preserve">platformbedrijven hebben formeel voldaan aan de eis van een dienstverband, maar hebben de onderaannemersketens behouden, waardoor verdere onderhandelingen met de regelgever mogelijk bleven. Uber Eats behoudt via tussenliggende partners de economische zeggenschap over de bezorgers, zonder direct de werkgeversverantwoordelijkheid op zich te nemen.</w:t>
      </w:r>
      <w:r>
        <w:rPr>
          <w:rStyle w:val="Sprotnaopomba-sklic"/>
        </w:rPr>
        <w:footnoteReference w:id="13"/>
      </w:r>
    </w:p>
    <w:p w:rsidR="00983F19" w:rsidP="00750824" w:rsidRDefault="00000000" w14:paraId="5B176083" w14:textId="5AE16788">
      <w:pPr>
        <w:pStyle w:val="RedBlock"/>
      </w:pPr>
      <w:r>
        <w:rPr>
          <w:b/>
          <w:bCs/>
        </w:rPr>
        <w:t xml:space="preserve">Verwachte </w:t>
      </w:r>
      <w:r w:rsidR="006E6A4A">
        <w:rPr>
          <w:b/>
          <w:bCs/>
        </w:rPr>
        <w:t xml:space="preserve">reactie </w:t>
      </w:r>
      <w:r>
        <w:rPr>
          <w:b/>
          <w:bCs/>
        </w:rPr>
        <w:t xml:space="preserve">na de implementatie van de richtlijn: </w:t>
      </w:r>
      <w:r>
        <w:t xml:space="preserve">de platforms zullen de eis van het rechtsvermoeden afwentelen op hun fleetpartners </w:t>
      </w:r>
      <w:r w:rsidR="00D7386B">
        <w:t xml:space="preserve">– </w:t>
      </w:r>
      <w:r>
        <w:t xml:space="preserve">de tussenpersonen worden formeel de werkgevers, terwijl de platforms via algoritmen de economische controle behouden. Formeel wordt aan de richtlijn voldaan, maar de bedoeling ervan wordt niet gerealiseerd.</w:t>
      </w:r>
    </w:p>
    <w:p w:rsidR="00983F19" w:rsidP="00750824" w:rsidRDefault="00000000" w14:paraId="2ADE71E9" w14:textId="77777777">
      <w:pPr>
        <w:jc w:val="both"/>
      </w:pPr>
      <w:r>
        <w:t xml:space="preserve"> </w:t>
      </w:r>
    </w:p>
    <w:p w:rsidR="00983F19" w:rsidP="00750824" w:rsidRDefault="00000000" w14:paraId="32C4B5D6" w14:textId="77777777">
      <w:pPr>
        <w:pStyle w:val="RedBlock"/>
      </w:pPr>
      <w:r>
        <w:rPr>
          <w:b/>
          <w:bCs/>
        </w:rPr>
        <w:t xml:space="preserve">Uitdaging 9.5: Het kameleontische bedrijfsmodel: formele naleving zonder inhoudelijke verandering</w:t>
      </w:r>
    </w:p>
    <w:p w:rsidR="00983F19" w:rsidP="00750824" w:rsidRDefault="00000000" w14:paraId="3F80A371" w14:textId="715DC4C4">
      <w:pPr>
        <w:pStyle w:val="RedBlock"/>
      </w:pPr>
      <w:r>
        <w:t xml:space="preserve">In de academische literatuur worden platforms beschreven als kameleontische entiteiten </w:t>
      </w:r>
      <w:r w:rsidR="00D7386B">
        <w:t xml:space="preserve">– </w:t>
      </w:r>
      <w:r>
        <w:t xml:space="preserve">organisaties die zich aanpassen aan het regelgevingsklimaat door formeel aan de vereisten te voldoen, maar tegelijkertijd de omstandigheden in stand houden die de regelgeving juist wil uitbannen. De Spaanse ervaring bevestigt dit duidelijk</w:t>
      </w:r>
      <w:r w:rsidR="006E6A4A">
        <w:t xml:space="preserve">: </w:t>
      </w:r>
      <w:r>
        <w:t xml:space="preserve">Uber </w:t>
      </w:r>
      <w:r>
        <w:t xml:space="preserve">Eats </w:t>
      </w:r>
      <w:r>
        <w:t xml:space="preserve">heeft de bemiddelingsstructuur behouden, </w:t>
      </w:r>
      <w:r>
        <w:t xml:space="preserve">terwijl</w:t>
      </w:r>
      <w:r w:rsidR="006E6A4A">
        <w:t xml:space="preserve"> de bezorgers </w:t>
      </w:r>
      <w:r>
        <w:t xml:space="preserve">in feite werden beroofd van de rechten die de wet hen formeel garandeert.</w:t>
      </w:r>
      <w:r>
        <w:rPr>
          <w:rStyle w:val="Sprotnaopomba-sklic"/>
        </w:rPr>
        <w:footnoteReference w:id="14"/>
      </w:r>
    </w:p>
    <w:p w:rsidR="00983F19" w:rsidP="00750824" w:rsidRDefault="00000000" w14:paraId="450AF194" w14:textId="732C8627">
      <w:pPr>
        <w:pStyle w:val="RedBlock"/>
      </w:pPr>
      <w:r>
        <w:rPr>
          <w:b/>
          <w:bCs/>
        </w:rPr>
        <w:t xml:space="preserve">De te verwachten reactie op de richtlijn: </w:t>
      </w:r>
      <w:r>
        <w:t xml:space="preserve">de platforms zullen de tekst van de contracten en </w:t>
      </w:r>
      <w:r>
        <w:t xml:space="preserve">de</w:t>
      </w:r>
      <w:r w:rsidR="006E6A4A">
        <w:t xml:space="preserve"> digitale </w:t>
      </w:r>
      <w:r>
        <w:t xml:space="preserve">infrastructuur </w:t>
      </w:r>
      <w:r>
        <w:t xml:space="preserve">aanpassen</w:t>
      </w:r>
      <w:r>
        <w:t xml:space="preserve">, zodat ze formeel niet langer blijk geven van ‘aansturing en toezicht’, maar tegelijkertijd hun economische invloed behouden via beoordelingssystemen en de toewijzing van bestellingen. Het algoritmische toezicht zal verborgen zijn, niet afgeschaft.</w:t>
      </w:r>
    </w:p>
    <w:p w:rsidR="00983F19" w:rsidP="00750824" w:rsidRDefault="00000000" w14:paraId="4FE29833" w14:textId="77777777">
      <w:pPr>
        <w:jc w:val="both"/>
      </w:pPr>
      <w:r>
        <w:t xml:space="preserve"> </w:t>
      </w:r>
    </w:p>
    <w:p w:rsidR="00983F19" w:rsidP="00750824" w:rsidRDefault="00000000" w14:paraId="42F5C9C6" w14:textId="3F1B2DB2">
      <w:pPr>
        <w:pStyle w:val="RedBlock"/>
      </w:pPr>
      <w:r>
        <w:rPr>
          <w:b/>
          <w:bCs/>
        </w:rPr>
        <w:t xml:space="preserve">Uitdaging 9.6: Strobedrijven: strafrechtelijke vlucht na </w:t>
      </w:r>
      <w:r>
        <w:rPr>
          <w:b/>
          <w:bCs/>
        </w:rPr>
        <w:t xml:space="preserve">een</w:t>
      </w:r>
      <w:r w:rsidR="006E6A4A">
        <w:rPr>
          <w:b/>
          <w:bCs/>
        </w:rPr>
        <w:t xml:space="preserve"> inspectiebesluit</w:t>
      </w:r>
    </w:p>
    <w:p w:rsidR="00983F19" w:rsidP="00750824" w:rsidRDefault="006E6A4A" w14:paraId="6A4A8453" w14:textId="5DFFA6E3">
      <w:pPr>
        <w:pStyle w:val="RedBlock"/>
      </w:pPr>
      <w:r>
        <w:t xml:space="preserve">In Kroatië en Servië is een praktijk gedocumenteerd waarbij bemiddelingsbedrijven </w:t>
      </w:r>
      <w:r w:rsidR="00D7386B">
        <w:t xml:space="preserve">– </w:t>
      </w:r>
      <w:r>
        <w:t xml:space="preserve">meestal geregistreerd als zelfstandigen of eenvoudige </w:t>
      </w:r>
      <w:r>
        <w:t xml:space="preserve">bv’s </w:t>
      </w:r>
      <w:r w:rsidR="00D7386B">
        <w:t xml:space="preserve">– </w:t>
      </w:r>
      <w:r>
        <w:t xml:space="preserve">na een inspectiebesluit of rechtszaak simpelweg het bedrijf sluiten en een nieuw bedrijf openen, terwijl de werknemers achterblijven zonder loon, premies en rechtsmiddelen. Werknemers in Kroatië en Servië hielden voor deze gevallen zelfs zogenaamde zwarte lijsten bij op Facebook, waar ze informatie met namen verzamelden over onbereikbare onderaannemers.</w:t>
      </w:r>
      <w:r>
        <w:rPr>
          <w:rStyle w:val="Sprotnaopomba-sklic"/>
        </w:rPr>
        <w:footnoteReference w:id="15"/>
      </w:r>
    </w:p>
    <w:p w:rsidR="00983F19" w:rsidP="00750824" w:rsidRDefault="00000000" w14:paraId="47C3445C" w14:textId="2C5DA71D">
      <w:pPr>
        <w:pStyle w:val="RedBlock"/>
      </w:pPr>
      <w:r>
        <w:rPr>
          <w:b/>
          <w:bCs/>
        </w:rPr>
        <w:t xml:space="preserve">Verwachte reactie op de richtlijn: </w:t>
      </w:r>
      <w:r>
        <w:t xml:space="preserve">de </w:t>
      </w:r>
      <w:r w:rsidR="00A25A76">
        <w:t xml:space="preserve">solidaire </w:t>
      </w:r>
      <w:r>
        <w:t xml:space="preserve">aansprakelijkheid van platforms zal een cruciaal afschrikkingsmiddel zijn </w:t>
      </w:r>
      <w:r w:rsidR="00D7386B">
        <w:t xml:space="preserve">– </w:t>
      </w:r>
      <w:r>
        <w:t xml:space="preserve">maar alleen als dit in de omzettingswet als verplicht wordt vastgelegd, en niet louter als een mogelijkheid.</w:t>
      </w:r>
    </w:p>
    <w:p w:rsidR="00983F19" w:rsidP="00750824" w:rsidRDefault="00000000" w14:paraId="29225FF4" w14:textId="77777777">
      <w:pPr>
        <w:jc w:val="both"/>
      </w:pPr>
      <w:r>
        <w:t xml:space="preserve"> </w:t>
      </w:r>
    </w:p>
    <w:p w:rsidR="00983F19" w:rsidP="00750824" w:rsidRDefault="00000000" w14:paraId="26C7E803" w14:textId="77777777">
      <w:pPr>
        <w:pStyle w:val="RedBlock"/>
      </w:pPr>
      <w:r>
        <w:rPr>
          <w:b/>
          <w:bCs/>
        </w:rPr>
        <w:t xml:space="preserve">Uitdaging 9.7: Derde status: legitimering van een tussenpositie</w:t>
      </w:r>
    </w:p>
    <w:p w:rsidR="00983F19" w:rsidP="00750824" w:rsidRDefault="00000000" w14:paraId="5E1C82CB" w14:textId="5D883196">
      <w:pPr>
        <w:pStyle w:val="RedBlock"/>
      </w:pPr>
      <w:r>
        <w:lastRenderedPageBreak/>
      </w:r>
      <w:r>
        <w:t xml:space="preserve">In Italië, Polen en Oostenrijk bestaan er tussenstatussen tussen werknemer en zelfstandige, of worden deze voorgesteld (in Italië ‘parasubordinati’, in Polen </w:t>
      </w:r>
      <w:r>
        <w:t xml:space="preserve">‘umowa </w:t>
      </w:r>
      <w:r w:rsidR="006E6A4A">
        <w:t xml:space="preserve">zlecenie’</w:t>
      </w:r>
      <w:r>
        <w:t xml:space="preserve">). De SDDP-conferentie (Ljubljana, mei 2025) heeft de druk </w:t>
      </w:r>
      <w:r w:rsidR="006E6A4A">
        <w:t xml:space="preserve">van de platforms </w:t>
      </w:r>
      <w:r>
        <w:t xml:space="preserve">om een derde status in te voeren </w:t>
      </w:r>
      <w:r>
        <w:t xml:space="preserve">geïdentificeerd </w:t>
      </w:r>
      <w:r>
        <w:t xml:space="preserve">als een mogelijke reactie op de richtlijn. Het voorstel voor implementatie van NIdiL-CGIL Firenze wijst er expliciet op: tussenliggende statussen lossen </w:t>
      </w:r>
      <w:r>
        <w:t xml:space="preserve">de precarisering</w:t>
      </w:r>
      <w:r>
        <w:t xml:space="preserve"> niet op </w:t>
      </w:r>
      <w:r w:rsidR="00D7386B">
        <w:t xml:space="preserve">– </w:t>
      </w:r>
      <w:r>
        <w:t xml:space="preserve">ze versterken deze juist. Ze garanderen bepaalde rechten, maar niet alle, waardoor ze gereguleerde </w:t>
      </w:r>
      <w:r>
        <w:t xml:space="preserve">onzekerheid</w:t>
      </w:r>
      <w:r>
        <w:t xml:space="preserve"> creëren </w:t>
      </w:r>
      <w:r>
        <w:t xml:space="preserve">in plaats van </w:t>
      </w:r>
      <w:r w:rsidR="00615F18">
        <w:t xml:space="preserve">een </w:t>
      </w:r>
      <w:r w:rsidR="006E6A4A">
        <w:t xml:space="preserve">veilige </w:t>
      </w:r>
      <w:r w:rsidR="00615F18">
        <w:t xml:space="preserve">baan</w:t>
      </w:r>
      <w:r>
        <w:t xml:space="preserve">.</w:t>
      </w:r>
      <w:r>
        <w:rPr>
          <w:rStyle w:val="Sprotnaopomba-sklic"/>
        </w:rPr>
        <w:footnoteReference w:id="16"/>
      </w:r>
    </w:p>
    <w:p w:rsidR="00D90A18" w:rsidP="00750824" w:rsidRDefault="00000000" w14:paraId="06D29F6F" w14:textId="04DD21FF">
      <w:pPr>
        <w:pStyle w:val="RedBlock"/>
      </w:pPr>
      <w:r>
        <w:rPr>
          <w:b/>
          <w:bCs/>
        </w:rPr>
        <w:t xml:space="preserve">Het risico van de richtlijn: </w:t>
      </w:r>
      <w:r>
        <w:t xml:space="preserve">een derde status zal voor de platforms een oplossing vormen die formeel voldoet aan de eis van de richtlijn om de ‘arbeidsomstandigheden te verbeteren’, maar in feite </w:t>
      </w:r>
      <w:r>
        <w:t xml:space="preserve">de </w:t>
      </w:r>
      <w:r>
        <w:t xml:space="preserve">onzekere </w:t>
      </w:r>
      <w:r>
        <w:t xml:space="preserve">positie </w:t>
      </w:r>
      <w:r w:rsidR="006E6A4A">
        <w:t xml:space="preserve">van de werknemers </w:t>
      </w:r>
      <w:r w:rsidR="006E6A4A">
        <w:t xml:space="preserve">in stand houdt</w:t>
      </w:r>
      <w:r>
        <w:t xml:space="preserve">.</w:t>
      </w:r>
    </w:p>
    <w:p w:rsidRPr="00D90A18" w:rsidR="00D90A18" w:rsidP="00750824" w:rsidRDefault="00000000" w14:paraId="593B1833" w14:textId="77777777">
      <w:pPr>
        <w:jc w:val="both"/>
      </w:pPr>
      <w:r>
        <w:t xml:space="preserve"> </w:t>
      </w:r>
    </w:p>
    <w:p w:rsidR="00983F19" w:rsidP="00750824" w:rsidRDefault="00000000" w14:paraId="4B1C432E" w14:textId="77777777">
      <w:pPr>
        <w:pStyle w:val="RedBlock"/>
      </w:pPr>
      <w:r>
        <w:rPr>
          <w:b/>
          <w:bCs/>
        </w:rPr>
        <w:t xml:space="preserve">Uitdaging 9.8: Platforms wachten bewust op de implementatie</w:t>
      </w:r>
    </w:p>
    <w:p w:rsidR="00983F19" w:rsidP="00750824" w:rsidRDefault="00000000" w14:paraId="164A0FB5" w14:textId="6D5BC8FB">
      <w:pPr>
        <w:pStyle w:val="RedBlock"/>
      </w:pPr>
      <w:r>
        <w:t xml:space="preserve">Een bijdrage aan het SDDP-project uit Italië documenteert een bevinding die door de vakbonden in alle partnerlanden is bevestigd: platformbedrijven passen hun model bewust niet aan vóór de omzettingstermijn van de richtlijn, om geen precedent te scheppen dat verder gaat dan de minimumvereisten. De logica is duidelijk: elke vrijwillig gesloten collectieve arbeidsovereenkomst of </w:t>
      </w:r>
      <w:r>
        <w:t xml:space="preserve">statuswijziging vóór december 2026 zou een referentiepunt worden voor onderhandelingen na de omzetting.</w:t>
      </w:r>
    </w:p>
    <w:p w:rsidR="00983F19" w:rsidP="00750824" w:rsidRDefault="00000000" w14:paraId="32495DFC" w14:textId="3CED9928">
      <w:pPr>
        <w:pStyle w:val="RedBlock"/>
      </w:pPr>
      <w:r>
        <w:rPr>
          <w:b/>
          <w:bCs/>
        </w:rPr>
        <w:t xml:space="preserve">Gevolg: </w:t>
      </w:r>
      <w:r>
        <w:t xml:space="preserve">onderhandelingen over collectieve arbeidsovereenkomsten vóór de deadline zijn enerzijds mogelijk </w:t>
      </w:r>
      <w:r w:rsidR="00D7386B">
        <w:t xml:space="preserve">– </w:t>
      </w:r>
      <w:r>
        <w:t xml:space="preserve">de platforms zijn bereid deze onder bepaalde voorwaarden te sluiten </w:t>
      </w:r>
      <w:r w:rsidR="00D7386B">
        <w:t xml:space="preserve">– </w:t>
      </w:r>
      <w:r>
        <w:t xml:space="preserve">en anderzijds strategisch bemoeilijkt door de platforms, die eisen dat de inhoud ervan wordt bevroren totdat de implementatie is afgerond.</w:t>
      </w:r>
    </w:p>
    <w:p w:rsidR="00983F19" w:rsidP="00750824" w:rsidRDefault="00000000" w14:paraId="43A74E1C" w14:textId="77777777">
      <w:pPr>
        <w:jc w:val="both"/>
      </w:pPr>
      <w:r>
        <w:t xml:space="preserve"> </w:t>
      </w:r>
    </w:p>
    <w:p w:rsidR="00983F19" w:rsidP="00750824" w:rsidRDefault="00000000" w14:paraId="046C5F8B" w14:textId="77777777">
      <w:pPr>
        <w:pStyle w:val="RedBlock"/>
      </w:pPr>
      <w:r>
        <w:rPr>
          <w:b/>
          <w:bCs/>
        </w:rPr>
        <w:t xml:space="preserve">Uitdaging 9.9: Migrantenwerknemers: specifieke kwetsbaarheid</w:t>
      </w:r>
    </w:p>
    <w:p w:rsidR="00983F19" w:rsidP="00750824" w:rsidRDefault="00000000" w14:paraId="4C9A0307" w14:textId="0FC600DE">
      <w:pPr>
        <w:pStyle w:val="RedBlock"/>
      </w:pPr>
      <w:r>
        <w:t xml:space="preserve">De bezorgsector bestaat in alle vijf partnerlanden voor een bovengemiddeld deel uit migrantenwerknemers. Hun specifieke kwetsbaarheid is drieledig: de taalbarrière belemmert het begrip van hun rechten; een onzekere juridische status </w:t>
      </w:r>
      <w:r w:rsidR="006E6A4A">
        <w:t xml:space="preserve">weerhoudt hen </w:t>
      </w:r>
      <w:r>
        <w:t xml:space="preserve">ervan overtredingen te melden; economische afhankelijkheid van inkomsten uit platformwerk bemoeilijkt collectieve actie. Het Fairwork-project constateert dat migrerende werknemers vaak </w:t>
      </w:r>
      <w:r w:rsidR="006E6A4A">
        <w:t xml:space="preserve">het meest </w:t>
      </w:r>
      <w:r>
        <w:t xml:space="preserve">te lijden hebben onder de gevolgen van bemiddelingsstructuren die lonen niet uitbetalen of geen sociale premies afdragen.</w:t>
      </w:r>
      <w:r>
        <w:rPr>
          <w:rStyle w:val="Sprotnaopomba-sklic"/>
        </w:rPr>
        <w:footnoteReference w:id="17"/>
      </w:r>
    </w:p>
    <w:p w:rsidR="00983F19" w:rsidP="00750824" w:rsidRDefault="00000000" w14:paraId="4B7311D6" w14:textId="77777777">
      <w:pPr>
        <w:pStyle w:val="RedBlock"/>
      </w:pPr>
      <w:r>
        <w:rPr>
          <w:b/>
          <w:bCs/>
        </w:rPr>
        <w:t xml:space="preserve">Risico voor de richtlijn: </w:t>
      </w:r>
      <w:r>
        <w:t xml:space="preserve">zonder specifieke maatregelen voor migrerende werknemers zal de richtlijn in werkelijkheid alleen toegankelijk zijn voor werknemers die de moed en kennis hebben om hun rechten te doen gelden.</w:t>
      </w:r>
    </w:p>
    <w:p w:rsidR="00983F19" w:rsidP="00750824" w:rsidRDefault="00000000" w14:paraId="188026F8" w14:textId="77777777">
      <w:pPr>
        <w:jc w:val="both"/>
      </w:pPr>
      <w:r>
        <w:t xml:space="preserve"> </w:t>
      </w:r>
    </w:p>
    <w:p w:rsidR="00983F19" w:rsidP="00750824" w:rsidRDefault="00000000" w14:paraId="0763C4F9" w14:textId="77777777">
      <w:pPr>
        <w:pStyle w:val="RedBlock"/>
      </w:pPr>
      <w:r>
        <w:rPr>
          <w:b/>
          <w:bCs/>
        </w:rPr>
        <w:t xml:space="preserve">Uitdaging 9.10: Algoritmische evolutie: systemen die zich aan regulering onttrekken</w:t>
      </w:r>
    </w:p>
    <w:p w:rsidR="00983F19" w:rsidP="00750824" w:rsidRDefault="00000000" w14:paraId="198845DF" w14:textId="1AD7ACA1">
      <w:pPr>
        <w:pStyle w:val="RedBlock"/>
      </w:pPr>
      <w:r>
        <w:t xml:space="preserve">De richtlijn is gebaseerd op het concept van ‘aansturing en toezicht’ via geautomatiseerde systemen. Platforms zullen de opzet van algoritmen zodanig aanpassen dat de omvang en intensiteit van het toezicht minder opvallend worden. In plaats van </w:t>
      </w:r>
      <w:r w:rsidR="006E6A4A">
        <w:t xml:space="preserve">directe sancties </w:t>
      </w:r>
      <w:r>
        <w:t xml:space="preserve">zullen ze </w:t>
      </w:r>
      <w:r>
        <w:t xml:space="preserve">‘aanbevelingen’ invoeren; in plaats van deactiveringsdrempels zullen ze ‘beschikbaarheidsbonussen’ invoeren. Formele controle zal minder zichtbaar zijn </w:t>
      </w:r>
      <w:r w:rsidR="00D7386B">
        <w:t xml:space="preserve">– </w:t>
      </w:r>
      <w:r>
        <w:t xml:space="preserve">de feitelijke economische controle blijft bestaan. De deskundigengroep van de Europese Commissie wijst er in haar rapport op dat de platformeconomie voortdurend in ontwikkeling is en dat het begrip 'aansturing en controle' dynamisch moet worden opgevat, met inbegrip van indirecte vormen van druk via negatieve maatregelen of discriminerende toewijzing van taken.</w:t>
      </w:r>
      <w:r>
        <w:rPr>
          <w:rStyle w:val="Sprotnaopomba-sklic"/>
        </w:rPr>
        <w:footnoteReference w:id="18"/>
      </w:r>
    </w:p>
    <w:p w:rsidR="00983F19" w:rsidP="00750824" w:rsidRDefault="00000000" w14:paraId="1BED4572" w14:textId="77777777">
      <w:pPr>
        <w:pStyle w:val="RedBlock"/>
      </w:pPr>
      <w:r>
        <w:rPr>
          <w:b/>
          <w:bCs/>
        </w:rPr>
        <w:lastRenderedPageBreak/>
      </w:r>
      <w:r>
        <w:rPr>
          <w:b/>
          <w:bCs/>
        </w:rPr>
        <w:t xml:space="preserve">Risico: </w:t>
      </w:r>
      <w:r>
        <w:t xml:space="preserve">wettelijke toetsingen voor ‘instructies en toezicht’ raken achterhaald door de algoritmische evolutie van platforms.</w:t>
      </w:r>
    </w:p>
    <w:p w:rsidR="00983F19" w:rsidP="00750824" w:rsidRDefault="00000000" w14:paraId="788DDA30" w14:textId="77777777">
      <w:pPr>
        <w:jc w:val="both"/>
      </w:pPr>
      <w:r>
        <w:t xml:space="preserve"> </w:t>
      </w:r>
    </w:p>
    <w:p w:rsidR="00983F19" w:rsidP="00750824" w:rsidRDefault="00000000" w14:paraId="74F850FB" w14:textId="77777777">
      <w:pPr>
        <w:pStyle w:val="RedBlock"/>
      </w:pPr>
      <w:r>
        <w:rPr>
          <w:b/>
          <w:bCs/>
        </w:rPr>
        <w:t xml:space="preserve">Uitdaging 9.11: Grensoverschrijdende platforms en vestigingsplaats buiten de EU</w:t>
      </w:r>
    </w:p>
    <w:p w:rsidR="00983F19" w:rsidP="00750824" w:rsidRDefault="00000000" w14:paraId="75479C99" w14:textId="5357D298">
      <w:pPr>
        <w:pStyle w:val="RedBlock"/>
      </w:pPr>
      <w:r>
        <w:t xml:space="preserve">De richtlijn is van toepassing op alle digitale werkplatforms die het werk van werknemers met een verblijfplaats in de EU organiseren </w:t>
      </w:r>
      <w:r w:rsidR="00D7386B">
        <w:t xml:space="preserve">– </w:t>
      </w:r>
      <w:r>
        <w:t xml:space="preserve">ongeacht waar het platform is gevestigd. Artikel 24, lid 4, van de richtlijn voorziet in grensoverschrijdende samenwerking tussen de bevoegde autoriteiten. De uitvoering vereist echter actieve coördinatie, die wordt gewaarborgd door het Europees Arbeidsagentschap (ELA). In de praktijk zal het afdwingen van de rechten van werknemers bij platforms met een vestigingsplaats buiten de EU of in landen met minimale uitvoeringsnormen mechanismen vereisen die de capaciteiten van afzonderlijke nationale inspectiediensten te boven gaan.</w:t>
      </w:r>
      <w:r>
        <w:rPr>
          <w:rStyle w:val="Sprotnaopomba-sklic"/>
        </w:rPr>
        <w:footnoteReference w:id="19"/>
      </w:r>
    </w:p>
    <w:p w:rsidR="00983F19" w:rsidP="00750824" w:rsidRDefault="00000000" w14:paraId="574F9DAE" w14:textId="3C2D4A67">
      <w:pPr>
        <w:pStyle w:val="RedBlock"/>
      </w:pPr>
      <w:r>
        <w:rPr>
          <w:b/>
          <w:bCs/>
        </w:rPr>
        <w:t xml:space="preserve">Risico: </w:t>
      </w:r>
      <w:r>
        <w:t xml:space="preserve">platforms zullen hun vestiging buiten de EU of in een gunstiger lidstaat aanvoeren als excuus om </w:t>
      </w:r>
      <w:r w:rsidR="00E56EFA">
        <w:t xml:space="preserve">hun verantwoordelijkheid</w:t>
      </w:r>
      <w:r>
        <w:t xml:space="preserve"> te ontlopen</w:t>
      </w:r>
      <w:r w:rsidR="00E56EFA">
        <w:t xml:space="preserve">.</w:t>
      </w:r>
    </w:p>
    <w:p w:rsidR="00983F19" w:rsidP="00750824" w:rsidRDefault="00000000" w14:paraId="2460FF0B" w14:textId="77777777">
      <w:pPr>
        <w:pStyle w:val="Naslov2"/>
        <w:jc w:val="both"/>
      </w:pPr>
      <w:bookmarkStart w:name="_Toc233699511" w:id="81"/>
      <w:bookmarkStart w:name="priporočila-6" w:id="82"/>
      <w:bookmarkEnd w:id="80"/>
      <w:r>
        <w:t xml:space="preserve">9.3 Aanbevelingen</w:t>
      </w:r>
      <w:bookmarkEnd w:id="81"/>
    </w:p>
    <w:p w:rsidR="00983F19" w:rsidP="00750824" w:rsidRDefault="00000000" w14:paraId="382512E0" w14:textId="77777777">
      <w:pPr>
        <w:jc w:val="both"/>
      </w:pPr>
      <w:r>
        <w:t xml:space="preserve">De volgende aanbevelingen vormen een directe reactie op de geïdentificeerde uitdagingen. Ze zijn gericht aan de ministeries van Arbeid en het ETUC.</w:t>
      </w:r>
    </w:p>
    <w:p w:rsidR="00983F19" w:rsidP="00750824" w:rsidRDefault="00000000" w14:paraId="0151F8F7" w14:textId="77777777">
      <w:pPr>
        <w:jc w:val="both"/>
      </w:pPr>
      <w:r>
        <w:t xml:space="preserve"> </w:t>
      </w:r>
    </w:p>
    <w:p w:rsidR="00983F19" w:rsidP="00750824" w:rsidRDefault="00000000" w14:paraId="14ED26AD" w14:textId="6AE9AC4D">
      <w:pPr>
        <w:pStyle w:val="RedBlock"/>
      </w:pPr>
      <w:r>
        <w:rPr>
          <w:b/>
          <w:bCs/>
        </w:rPr>
        <w:t xml:space="preserve">Aanbeveling 9.1 [GAAT VERDER DAN HET MINIMUM]: Voorkoming van een derde status: binaire toets </w:t>
      </w:r>
      <w:r w:rsidR="00615F18">
        <w:rPr>
          <w:b/>
          <w:bCs/>
        </w:rPr>
        <w:t xml:space="preserve">voor het dienstverband</w:t>
      </w:r>
    </w:p>
    <w:p w:rsidR="00983F19" w:rsidP="00750824" w:rsidRDefault="00000000" w14:paraId="68F179EF" w14:textId="77777777">
      <w:pPr>
        <w:pStyle w:val="RedBlock"/>
      </w:pPr>
      <w:r>
        <w:rPr>
          <w:b/>
          <w:bCs/>
        </w:rPr>
        <w:t xml:space="preserve">De omzettingswet mag geen tussenliggende statussen tussen werknemer en zelfstandige invoeren.</w:t>
      </w:r>
    </w:p>
    <w:p w:rsidR="00983F19" w:rsidP="00750824" w:rsidRDefault="00000000" w14:paraId="12DFC3C8" w14:textId="7525039A">
      <w:pPr>
        <w:pStyle w:val="RedBlock"/>
      </w:pPr>
      <w:r>
        <w:t xml:space="preserve">De richtlijn is gebaseerd op een binaire toets: ofwel </w:t>
      </w:r>
      <w:r w:rsidR="00615F18">
        <w:t xml:space="preserve">een dienstverband, </w:t>
      </w:r>
      <w:r>
        <w:t xml:space="preserve">ofwel zelfstandigheid. Alle tussenliggende statussen </w:t>
      </w:r>
      <w:r w:rsidR="00D7386B">
        <w:t xml:space="preserve">– </w:t>
      </w:r>
      <w:r>
        <w:t xml:space="preserve">parasubordinatie</w:t>
      </w:r>
      <w:r>
        <w:t xml:space="preserve">, afhankelijke zelfstandigheid, economisch afhankelijke werknemers met gedeeltelijke rechten </w:t>
      </w:r>
      <w:r w:rsidR="00D7386B">
        <w:t xml:space="preserve">– </w:t>
      </w:r>
      <w:r>
        <w:t xml:space="preserve">die zouden worden ingevoerd in plaats van een alomvattende wettelijke vermoeden </w:t>
      </w:r>
      <w:r w:rsidR="00615F18">
        <w:t xml:space="preserve">van loondienst</w:t>
      </w:r>
      <w:r>
        <w:t xml:space="preserve">, voldoen niet aan het doel van de richtlijn. </w:t>
      </w:r>
      <w:r>
        <w:rPr>
          <w:b/>
          <w:bCs/>
        </w:rPr>
        <w:t xml:space="preserve">De ministeries moeten ervoor zorgen dat de omzettingswet geen derde status als ‘oplossing’ biedt. </w:t>
      </w:r>
      <w:r>
        <w:t xml:space="preserve">Werknemers in welke tussenliggende status dan ook moeten dezelfde toegang hebben tot het recht op </w:t>
      </w:r>
      <w:r>
        <w:t xml:space="preserve">organisatie en collectieve onderhandelingen als </w:t>
      </w:r>
      <w:r w:rsidR="00615F18">
        <w:t xml:space="preserve">werknemers in loondienst</w:t>
      </w:r>
      <w:r>
        <w:t xml:space="preserve">.</w:t>
      </w:r>
    </w:p>
    <w:p w:rsidR="00983F19" w:rsidP="00750824" w:rsidRDefault="00000000" w14:paraId="2D669019" w14:textId="3D52C24E">
      <w:pPr>
        <w:pStyle w:val="RedBlock"/>
      </w:pPr>
      <w:r>
        <w:rPr>
          <w:b/>
          <w:bCs/>
        </w:rPr>
        <w:t xml:space="preserve">Bron/maatregel: </w:t>
      </w:r>
      <w:r>
        <w:t xml:space="preserve">Bijdrage van NIdiL-CGIL Firenze (Voorstel voor aanbevelingen, 2025): het risico van een derde status als </w:t>
      </w:r>
      <w:r>
        <w:t xml:space="preserve">legitimatie </w:t>
      </w:r>
      <w:r>
        <w:t xml:space="preserve">van prekarisering </w:t>
      </w:r>
      <w:r w:rsidR="00D7386B">
        <w:t xml:space="preserve">– </w:t>
      </w:r>
      <w:r>
        <w:t xml:space="preserve">Italië, Kroatië. </w:t>
      </w:r>
    </w:p>
    <w:p w:rsidR="00983F19" w:rsidP="00750824" w:rsidRDefault="00000000" w14:paraId="52B2CAA6" w14:textId="77777777">
      <w:pPr>
        <w:jc w:val="both"/>
      </w:pPr>
      <w:r>
        <w:t xml:space="preserve"> </w:t>
      </w:r>
    </w:p>
    <w:p w:rsidR="00983F19" w:rsidP="00750824" w:rsidRDefault="00000000" w14:paraId="726848E4" w14:textId="1FE45EEF">
      <w:pPr>
        <w:pStyle w:val="RedBlock"/>
      </w:pPr>
      <w:r>
        <w:rPr>
          <w:b/>
          <w:bCs/>
        </w:rPr>
        <w:t xml:space="preserve">Aanbeveling 9.2 [AMBITIEUS]: Dynamische interpretatie van instructies en toezicht </w:t>
      </w:r>
      <w:r w:rsidR="00D7386B">
        <w:rPr>
          <w:b/>
          <w:bCs/>
        </w:rPr>
        <w:t xml:space="preserve">– </w:t>
      </w:r>
      <w:r>
        <w:rPr>
          <w:b/>
          <w:bCs/>
        </w:rPr>
        <w:t xml:space="preserve">weerbaarheid tegen algoritmische evolutie</w:t>
      </w:r>
    </w:p>
    <w:p w:rsidR="00983F19" w:rsidP="00750824" w:rsidRDefault="00000000" w14:paraId="25C137D5" w14:textId="77777777">
      <w:pPr>
        <w:pStyle w:val="RedBlock"/>
      </w:pPr>
      <w:r>
        <w:rPr>
          <w:b/>
          <w:bCs/>
        </w:rPr>
        <w:t xml:space="preserve">De overdrachtswet mag geen statische lijst van criteria voor instructies en toezicht bevatten die door de evolutie van algoritmen achterhaald zou raken.</w:t>
      </w:r>
    </w:p>
    <w:p w:rsidR="00983F19" w:rsidP="00750824" w:rsidRDefault="00000000" w14:paraId="0087BA87" w14:textId="3C43930E">
      <w:pPr>
        <w:pStyle w:val="RedBlock"/>
      </w:pPr>
      <w:r>
        <w:t xml:space="preserve">De richtlijn is gebaseerd op feiten, niet op formele criteria </w:t>
      </w:r>
      <w:r w:rsidR="00D7386B">
        <w:t xml:space="preserve">– </w:t>
      </w:r>
      <w:r>
        <w:t xml:space="preserve">het is</w:t>
      </w:r>
      <w:r w:rsidR="00E56EFA">
        <w:t xml:space="preserve"> van cruciaal belang </w:t>
      </w:r>
      <w:r>
        <w:t xml:space="preserve">of de feitelijke indicatoren voor instructies en toezicht aanwezig zijn, niet of er precies bepaalde formele elementen aanwezig zijn. De omzettingswet moet deze dynamiek behouden: </w:t>
      </w:r>
      <w:r w:rsidR="00E56EFA">
        <w:t xml:space="preserve">de lijst </w:t>
      </w:r>
      <w:r>
        <w:t xml:space="preserve">met indicatieve criteria moet </w:t>
      </w:r>
      <w:r>
        <w:rPr>
          <w:b/>
          <w:bCs/>
        </w:rPr>
        <w:t xml:space="preserve">bij wijze van voorbeeld</w:t>
      </w:r>
      <w:r>
        <w:t xml:space="preserve"> worden </w:t>
      </w:r>
      <w:r>
        <w:rPr>
          <w:b/>
          <w:bCs/>
        </w:rPr>
        <w:t xml:space="preserve">vermeld, niet </w:t>
      </w:r>
      <w:r w:rsidR="00E56EFA">
        <w:rPr>
          <w:b/>
          <w:bCs/>
        </w:rPr>
        <w:t xml:space="preserve">uitputtend zijn</w:t>
      </w:r>
      <w:r>
        <w:t xml:space="preserve">. Inspecteuren en rechtbanken moeten de bevoegdheid hebben om rekening te houden met nieuwe vormen van algoritmische controle die bij de vaststelling van de wet niet waren voorzien. Juist voor dit doel moeten inspecteurs toegang hebben tot de algoritmische gegevens van de platforms.</w:t>
      </w:r>
    </w:p>
    <w:p w:rsidR="00983F19" w:rsidP="00750824" w:rsidRDefault="00000000" w14:paraId="720B7FD7" w14:textId="2C2DA4D1">
      <w:pPr>
        <w:pStyle w:val="RedBlock"/>
      </w:pPr>
      <w:r>
        <w:rPr>
          <w:b/>
          <w:bCs/>
        </w:rPr>
        <w:t xml:space="preserve">Bron/maatregel: </w:t>
      </w:r>
      <w:r>
        <w:t xml:space="preserve">deskundigengroep van de Europese Commissie: de richtlijn vereist geen criteria</w:t>
      </w:r>
      <w:r w:rsidR="00E56EFA">
        <w:t xml:space="preserve">; </w:t>
      </w:r>
      <w:r>
        <w:t xml:space="preserve">een </w:t>
      </w:r>
      <w:r>
        <w:t xml:space="preserve">prima </w:t>
      </w:r>
      <w:r>
        <w:t xml:space="preserve">fac</w:t>
      </w:r>
      <w:r>
        <w:t xml:space="preserve">ie-norm </w:t>
      </w:r>
      <w:r>
        <w:t xml:space="preserve">volstaat</w:t>
      </w:r>
      <w:r>
        <w:t xml:space="preserve">, evenals feitelijke indicatoren voor instructies en toezicht. Artikel 5, lid 1, van de richtlijn</w:t>
      </w:r>
      <w:r w:rsidR="00E56EFA">
        <w:t xml:space="preserve">: </w:t>
      </w:r>
      <w:r>
        <w:t xml:space="preserve">„</w:t>
      </w:r>
      <w:r>
        <w:t xml:space="preserve">Labour</w:t>
      </w:r>
      <w:r>
        <w:lastRenderedPageBreak/>
      </w:r>
      <w:r>
        <w:t xml:space="preserve"> intermediation</w:t>
      </w:r>
      <w:r w:rsidR="00E56EFA">
        <w:t xml:space="preserve">“; </w:t>
      </w:r>
      <w:r>
        <w:t xml:space="preserve">platforms zijn kameleontische entiteiten die zich aanpassen aan het regelgevingsklimaat.</w:t>
      </w:r>
    </w:p>
    <w:p w:rsidR="00983F19" w:rsidP="00750824" w:rsidRDefault="00000000" w14:paraId="3E346127" w14:textId="77777777">
      <w:pPr>
        <w:jc w:val="both"/>
      </w:pPr>
      <w:r>
        <w:t xml:space="preserve"> </w:t>
      </w:r>
    </w:p>
    <w:p w:rsidR="00983F19" w:rsidP="00750824" w:rsidRDefault="00000000" w14:paraId="0A00D1FE" w14:textId="77777777">
      <w:pPr>
        <w:jc w:val="both"/>
      </w:pPr>
      <w:r>
        <w:t xml:space="preserve"> </w:t>
      </w:r>
    </w:p>
    <w:p w:rsidR="00983F19" w:rsidP="00750824" w:rsidRDefault="00000000" w14:paraId="377E7C66" w14:textId="47DDC2DB">
      <w:pPr>
        <w:jc w:val="both"/>
      </w:pPr>
      <w:r>
        <w:rPr>
          <w:i/>
          <w:iCs/>
        </w:rPr>
        <w:t xml:space="preserve">De uitdagingen bij de implementatie komen niet als een verrassing </w:t>
      </w:r>
      <w:r w:rsidR="00D7386B">
        <w:rPr>
          <w:i/>
          <w:iCs/>
        </w:rPr>
        <w:t xml:space="preserve">– </w:t>
      </w:r>
      <w:r>
        <w:rPr>
          <w:i/>
          <w:iCs/>
        </w:rPr>
        <w:t xml:space="preserve">ze zijn het voorspelbare gevolg van bedrijfsmodellen die bewust zijn opgezet om </w:t>
      </w:r>
      <w:r w:rsidR="00E56EFA">
        <w:rPr>
          <w:i/>
          <w:iCs/>
        </w:rPr>
        <w:t xml:space="preserve">de</w:t>
      </w:r>
      <w:r>
        <w:rPr>
          <w:i/>
          <w:iCs/>
        </w:rPr>
        <w:t xml:space="preserve"> arbeidsrechtelijke </w:t>
      </w:r>
      <w:r w:rsidR="00E56EFA">
        <w:rPr>
          <w:i/>
          <w:iCs/>
        </w:rPr>
        <w:t xml:space="preserve">verantwoordelijkheden van de platforms </w:t>
      </w:r>
      <w:r>
        <w:rPr>
          <w:i/>
          <w:iCs/>
        </w:rPr>
        <w:t xml:space="preserve">te omzeilen</w:t>
      </w:r>
      <w:r>
        <w:rPr>
          <w:i/>
          <w:iCs/>
        </w:rPr>
        <w:t xml:space="preserve">. De ministeries hebben een wetgevende kans die zich maar eens in de generatie voordoet: de richtlijn geeft hen het mandaat, de middelen en de termijn. De vraag is niet of </w:t>
      </w:r>
      <w:r>
        <w:rPr>
          <w:i/>
          <w:iCs/>
        </w:rPr>
        <w:t xml:space="preserve">de platforms zullen proberen de richtlijn te omzeilen. De vraag is of de omzettingswet en </w:t>
      </w:r>
      <w:r w:rsidR="00E56EFA">
        <w:rPr>
          <w:i/>
          <w:iCs/>
        </w:rPr>
        <w:t xml:space="preserve">het toezicht op de uitvoering ervan </w:t>
      </w:r>
      <w:r>
        <w:rPr>
          <w:i/>
          <w:iCs/>
        </w:rPr>
        <w:t xml:space="preserve">robuust genoeg </w:t>
      </w:r>
      <w:r>
        <w:rPr>
          <w:i/>
          <w:iCs/>
        </w:rPr>
        <w:t xml:space="preserve">zullen zijn </w:t>
      </w:r>
      <w:r>
        <w:rPr>
          <w:i/>
          <w:iCs/>
        </w:rPr>
        <w:t xml:space="preserve">om dit te voorkomen.</w:t>
      </w:r>
    </w:p>
    <w:p w:rsidR="00750824" w:rsidRDefault="00750824" w14:paraId="3A6CA70A" w14:textId="77777777">
      <w:pPr>
        <w:rPr>
          <w:b/>
          <w:bCs/>
          <w:color w:val="1F3864"/>
          <w:sz w:val="36"/>
          <w:szCs w:val="36"/>
        </w:rPr>
      </w:pPr>
      <w:bookmarkStart w:name="poglavje-11-zaključek" w:id="83"/>
      <w:bookmarkEnd w:id="75"/>
      <w:bookmarkEnd w:id="82"/>
      <w:r>
        <w:br w:type="page"/>
      </w:r>
    </w:p>
    <w:p w:rsidR="00983F19" w:rsidP="00750824" w:rsidRDefault="00000000" w14:paraId="0A7728D4" w14:textId="2D33E1DD">
      <w:pPr>
        <w:pStyle w:val="Naslov1"/>
        <w:jc w:val="both"/>
      </w:pPr>
      <w:bookmarkStart w:name="_Toc233699512" w:id="84"/>
      <w:r>
        <w:lastRenderedPageBreak/>
      </w:r>
      <w:r>
        <w:t xml:space="preserve">Hoofdstuk 10: Conclusie</w:t>
      </w:r>
      <w:bookmarkEnd w:id="84"/>
    </w:p>
    <w:p w:rsidR="00983F19" w:rsidP="00750824" w:rsidRDefault="00000000" w14:paraId="18660357" w14:textId="7822C9AE">
      <w:pPr>
        <w:jc w:val="both"/>
      </w:pPr>
      <w:r>
        <w:t xml:space="preserve">Richtlijn (EU) 2024/2831 betreffende de verbetering van de arbeidsomstandigheden in platformwerk is niet zomaar weer een wetgevingsbesluit dat in nationaal recht moet worden omgezet. Het is het eerste systematische antwoord van de Europese Unie op een bedrijfsmodel dat in vijftien jaar tijd een nieuwe vorm van werk heeft gecreëerd </w:t>
      </w:r>
      <w:r w:rsidR="00D7386B">
        <w:t xml:space="preserve">– </w:t>
      </w:r>
      <w:r>
        <w:t xml:space="preserve">werk zonder fundamentele bescherming, georganiseerd via digitale platforms voor miljoenen mensen, met algoritmische aansturing in plaats van menselijk toezicht en met controle zonder verantwoordelijkheid. De vraag die in dit document aan de orde komt, is niet of de richtlijn zal worden omgezet </w:t>
      </w:r>
      <w:r w:rsidR="00D7386B">
        <w:t xml:space="preserve">– </w:t>
      </w:r>
      <w:r>
        <w:t xml:space="preserve">dat is een wettelijke verplichting die uiterlijk op 2 december 2026 moet zijn vervuld. De vraag is of de richtlijn zodanig zal worden omgezet dat zij daadwerkelijk de arbeidsomstandigheden </w:t>
      </w:r>
      <w:r w:rsidR="00BD4E18">
        <w:t xml:space="preserve">voor steeds meer werknemers in de EU </w:t>
      </w:r>
      <w:r>
        <w:t xml:space="preserve">kan veranderen en verbeteren</w:t>
      </w:r>
      <w:r>
        <w:t xml:space="preserve">, of dat zij slechts een nieuw formeel kader zal worden dat door de platforms sneller wordt omzeild dan dat de lidstaten het kunnen invoeren.</w:t>
      </w:r>
    </w:p>
    <w:p w:rsidR="00D90A18" w:rsidP="00750824" w:rsidRDefault="00D90A18" w14:paraId="1C9AEE89" w14:textId="77777777">
      <w:pPr>
        <w:jc w:val="both"/>
      </w:pPr>
    </w:p>
    <w:p w:rsidRPr="009742D7" w:rsidR="009742D7" w:rsidP="00750824" w:rsidRDefault="00000000" w14:paraId="7EBDADA5" w14:textId="60D8CD34">
      <w:pPr>
        <w:jc w:val="both"/>
      </w:pPr>
      <w:r>
        <w:t xml:space="preserve">Een analyse </w:t>
      </w:r>
      <w:r w:rsidR="00BD4E18">
        <w:t xml:space="preserve">van de situatie in </w:t>
      </w:r>
      <w:r w:rsidR="00BD4E18">
        <w:t xml:space="preserve">de</w:t>
      </w:r>
      <w:r>
        <w:t xml:space="preserve"> vijf </w:t>
      </w:r>
      <w:r w:rsidR="00BD4E18">
        <w:t xml:space="preserve">partnerlanden van het project</w:t>
      </w:r>
      <w:r>
        <w:t xml:space="preserve">, drie collectieve arbeidsovereenkomsten en de praktijk van grensoverschrijdende omzeiling van regelgeving </w:t>
      </w:r>
      <w:r w:rsidR="00BD4E18">
        <w:t xml:space="preserve">onderbouwen </w:t>
      </w:r>
      <w:r>
        <w:t xml:space="preserve">de centrale zorg van dit document: de ervaringen in Spanje na de goedkeuring </w:t>
      </w:r>
      <w:r>
        <w:t xml:space="preserve">van</w:t>
      </w:r>
      <w:r w:rsidR="00BD4E18">
        <w:t xml:space="preserve"> de Wet </w:t>
      </w:r>
      <w:r>
        <w:t xml:space="preserve">op de bezorgers</w:t>
      </w:r>
      <w:r w:rsidR="00BD4E18">
        <w:t xml:space="preserve">, </w:t>
      </w:r>
      <w:r>
        <w:t xml:space="preserve">in België na de invoering van het rechtsvermoeden in 2023 en in Oostenrijk, waar Lieferando in maart 2025 het ontslag van bijna duizend bezorgers en de overgang naar contracten voor </w:t>
      </w:r>
      <w:r w:rsidR="00BD4E18">
        <w:t xml:space="preserve">‘</w:t>
      </w:r>
      <w:r>
        <w:t xml:space="preserve">vrije dienstverleners</w:t>
      </w:r>
      <w:r w:rsidR="00BD4E18">
        <w:t xml:space="preserve">’ </w:t>
      </w:r>
      <w:r>
        <w:t xml:space="preserve">(</w:t>
      </w:r>
      <w:r>
        <w:rPr>
          <w:i/>
          <w:iCs/>
        </w:rPr>
        <w:t xml:space="preserve">‘Freier </w:t>
      </w:r>
      <w:r>
        <w:rPr>
          <w:i/>
          <w:iCs/>
        </w:rPr>
        <w:t xml:space="preserve">Dienstnehmer</w:t>
      </w:r>
      <w:r w:rsidR="00BD4E18">
        <w:t xml:space="preserve">’</w:t>
      </w:r>
      <w:r>
        <w:t xml:space="preserve">) </w:t>
      </w:r>
      <w:r>
        <w:t xml:space="preserve">aankondigde</w:t>
      </w:r>
      <w:r w:rsidR="00BD4E18">
        <w:t xml:space="preserve">, </w:t>
      </w:r>
    </w:p>
    <w:p w:rsidR="00D90A18" w:rsidP="00750824" w:rsidRDefault="00000000" w14:paraId="4DBB95C4" w14:textId="47421CF2">
      <w:pPr>
        <w:jc w:val="both"/>
      </w:pPr>
      <w:r>
        <w:t xml:space="preserve">tonen aan dat platforms op elke nieuwe regelgeving reageren met een herstructurering die het doel ervan tenietdoet.</w:t>
      </w:r>
    </w:p>
    <w:p w:rsidR="00D90A18" w:rsidP="00750824" w:rsidRDefault="00D90A18" w14:paraId="306D5FBD" w14:textId="77777777">
      <w:pPr>
        <w:jc w:val="both"/>
      </w:pPr>
    </w:p>
    <w:p w:rsidR="00983F19" w:rsidP="00750824" w:rsidRDefault="00000000" w14:paraId="6EFE9FD6" w14:textId="7BB7435B">
      <w:pPr>
        <w:jc w:val="both"/>
      </w:pPr>
      <w:r>
        <w:t xml:space="preserve">Er bestaat een reëel gevaar dat zich na de omzetting van de richtlijn hetzelfde patroon zal herhalen: de platforms zullen de rechtsvermoeden </w:t>
      </w:r>
      <w:r w:rsidR="00615F18">
        <w:t xml:space="preserve">van een dienstverband</w:t>
      </w:r>
      <w:r>
        <w:t xml:space="preserve"> aanvechten</w:t>
      </w:r>
      <w:r>
        <w:t xml:space="preserve">, </w:t>
      </w:r>
      <w:r w:rsidR="00BD4E18">
        <w:t xml:space="preserve">de gerechtelijke procedures zullen </w:t>
      </w:r>
      <w:r>
        <w:t xml:space="preserve">jaren </w:t>
      </w:r>
      <w:r w:rsidR="00BD4E18">
        <w:t xml:space="preserve">duren </w:t>
      </w:r>
      <w:r>
        <w:t xml:space="preserve">en de werknemers zullen in de tussentijd zonder bescherming blijven zitten. De richtlijn onderkent dit probleem, maar lost het zelf niet op. De oplossing die in dit document wordt voorgesteld, is sociale dialoog als brug: geen vervanging voor de wet, maar een mechanisme dat werknemers beschermt </w:t>
      </w:r>
      <w:r w:rsidR="00304218">
        <w:t xml:space="preserve">zolang de juridische molens malen</w:t>
      </w:r>
      <w:r>
        <w:t xml:space="preserve">. Het SDDP-protocol, dat als bijlage bij dit document is gevoegd, biedt een concreet kader voor een dergelijke dialoog.</w:t>
      </w:r>
    </w:p>
    <w:p w:rsidR="00D90A18" w:rsidP="00750824" w:rsidRDefault="00D90A18" w14:paraId="3946CE34" w14:textId="77777777">
      <w:pPr>
        <w:jc w:val="both"/>
      </w:pPr>
    </w:p>
    <w:p w:rsidRPr="00D90A18" w:rsidR="00983F19" w:rsidP="00750824" w:rsidRDefault="00000000" w14:paraId="6C61654C" w14:textId="77777777">
      <w:pPr>
        <w:jc w:val="both"/>
        <w:rPr>
          <w:b/>
          <w:bCs/>
        </w:rPr>
      </w:pPr>
      <w:r>
        <w:rPr>
          <w:b/>
          <w:bCs/>
        </w:rPr>
        <w:t xml:space="preserve">Uit het gehele document vloeien vijf aanbevelingen voort die prioritair moeten worden behandeld:</w:t>
      </w:r>
    </w:p>
    <w:p w:rsidR="00D90A18" w:rsidP="00750824" w:rsidRDefault="00D90A18" w14:paraId="6F780E97" w14:textId="77777777">
      <w:pPr>
        <w:jc w:val="both"/>
      </w:pPr>
    </w:p>
    <w:p w:rsidR="00983F19" w:rsidP="00750824" w:rsidRDefault="00304218" w14:paraId="6BD4ABF7" w14:textId="57B2A235">
      <w:pPr>
        <w:jc w:val="both"/>
      </w:pPr>
      <w:r>
        <w:t xml:space="preserve">Ten eerste: de lidstaten mogen bij de omzetting van artikel 5 geen eigen criteria toevoegen voor het in werking treden van het rechtsvermoeden </w:t>
      </w:r>
      <w:r w:rsidR="00615F18">
        <w:t xml:space="preserve">van een dienstverband</w:t>
      </w:r>
      <w:r>
        <w:t xml:space="preserve">. De richtlijn stelt een norm voor aanvankelijke geloofwaardigheid vast: feiten die wijzen op instructies en toezicht zijn voldoende. De Belgische wet van 2023 stelde twee sets criteria vast (twee van de vijf of drie van de acht), maar is in de praktijk ondoeltreffend gebleken </w:t>
      </w:r>
      <w:r w:rsidR="00D7386B">
        <w:t xml:space="preserve">– </w:t>
      </w:r>
      <w:r>
        <w:t xml:space="preserve">steeds meer grote platforms hebben verklaard dat zij niet aan de criteria voldoen, en de wet voorzag niet in uitvoeringsmechanismen waarmee de arbeidsinspectie het vermoeden rechtstreeks zou kunnen afdwingen. Een vakbondsvertegenwoordiger van ACV-CSC stelde het ministerie van Arbeid de vraag wat zij van plan waren te doen; het antwoord was of de vakbond zelf naar de rechter zou stappen. Een wet zonder uitvoeringsprocedures is slechts een dode letter op papier gebleven. Elk extra criterium is een extra excuus voor het platform en een extra maand zonder bescherming voor de werknemer </w:t>
      </w:r>
      <w:r w:rsidR="00D7386B">
        <w:t xml:space="preserve">– </w:t>
      </w:r>
      <w:r>
        <w:t xml:space="preserve">een extra uitvoeringsmechanisme is echter een voorwaarde zonder welke zelfs de meest ambitieuze wet niets verandert.</w:t>
      </w:r>
    </w:p>
    <w:p w:rsidR="00D90A18" w:rsidP="00750824" w:rsidRDefault="00D90A18" w14:paraId="58D61F56" w14:textId="77777777">
      <w:pPr>
        <w:jc w:val="both"/>
      </w:pPr>
    </w:p>
    <w:p w:rsidR="00983F19" w:rsidP="00750824" w:rsidRDefault="00304218" w14:paraId="297D02C8" w14:textId="7DD53D38">
      <w:pPr>
        <w:jc w:val="both"/>
      </w:pPr>
      <w:r>
        <w:t xml:space="preserve">Ten tweede: de procedures voor het vaststellen van de juiste arbeidsstatus moeten doeltreffend zijn en in de eerste plaats administratief, niet gerechtelijk. Gerechtelijke procedures duren jaren </w:t>
      </w:r>
      <w:r w:rsidR="00D7386B">
        <w:t xml:space="preserve">– </w:t>
      </w:r>
      <w:r>
        <w:t xml:space="preserve">de Spaanse ervaring </w:t>
      </w:r>
      <w:r>
        <w:t xml:space="preserve">bewijst </w:t>
      </w:r>
      <w:r>
        <w:t xml:space="preserve">dit</w:t>
      </w:r>
      <w:r>
        <w:lastRenderedPageBreak/>
      </w:r>
      <w:r>
        <w:t xml:space="preserve"> met bijna vier jaar aan procedures na de goedkeuring van de Wet op de bezorgers. Versterkte arbeidsinspecties moeten de bevoegdheid en de plicht hebben om de arbeidsstatus vast te stellen door middel van een besluit, zonder te wachten op een gerechtelijke procedure en zonder toestemming van de werknemer. De richtlijn bevat deze verplichting in artikel 5, lid 5, maar voor een doeltreffende tenuitvoerlegging ervan is het noodzakelijk dat deze bevoegdheid uitdrukkelijk in de nationale omzettingsmaatregelen wordt opgenomen.</w:t>
      </w:r>
    </w:p>
    <w:p w:rsidR="00D90A18" w:rsidP="00750824" w:rsidRDefault="00D90A18" w14:paraId="3BE072A5" w14:textId="77777777">
      <w:pPr>
        <w:jc w:val="both"/>
      </w:pPr>
    </w:p>
    <w:p w:rsidR="00983F19" w:rsidP="00750824" w:rsidRDefault="00304218" w14:paraId="2C9B026D" w14:textId="47E904F8">
      <w:pPr>
        <w:jc w:val="both"/>
      </w:pPr>
      <w:r>
        <w:t xml:space="preserve">Ten derde: tijdelijke collectieve bescherming tijdens de betwisting van het rechtsvermoeden </w:t>
      </w:r>
      <w:r w:rsidR="00D7386B">
        <w:t xml:space="preserve">– </w:t>
      </w:r>
      <w:r>
        <w:t xml:space="preserve">aanbeveling 6.5 van dit document </w:t>
      </w:r>
      <w:r w:rsidR="00D7386B">
        <w:t xml:space="preserve">– </w:t>
      </w:r>
      <w:r>
        <w:t xml:space="preserve">is een cruciale innovatie die verder gaat dan de eisen van de richtlijn. Zodra de arbeidsinspectie vaststelt dat het platform de werkgever is, moet uiterlijk binnen vijftien dagen </w:t>
      </w:r>
      <w:r w:rsidR="00D7386B">
        <w:t xml:space="preserve">– </w:t>
      </w:r>
      <w:r>
        <w:t xml:space="preserve">of binnen een kortere termijn die door de nationale wetgeving is toegestaan </w:t>
      </w:r>
      <w:r w:rsidR="00D7386B">
        <w:t xml:space="preserve">– </w:t>
      </w:r>
      <w:r>
        <w:t xml:space="preserve">een verplichte tripartiete dialoog tot stand worden gebracht die zorgt voor een voorlopige collectieve overeenkomst over het minimumloon, de arbeidstijd en de socialezekerheidsbijdragen. De vergoedingen voor verrichte arbeid en de betaalde premies blijven bij de werknemers, ongeacht de uitkomst van de gerechtelijke procedure; het platform heeft </w:t>
      </w:r>
      <w:r>
        <w:t xml:space="preserve">slechts </w:t>
      </w:r>
      <w:r>
        <w:t xml:space="preserve">recht op </w:t>
      </w:r>
      <w:r>
        <w:t xml:space="preserve">een</w:t>
      </w:r>
      <w:r>
        <w:t xml:space="preserve"> beperkte </w:t>
      </w:r>
      <w:r>
        <w:t xml:space="preserve">terugvordering </w:t>
      </w:r>
      <w:r>
        <w:t xml:space="preserve">van het verschil bovenop de vergoeding voor zelfstandigen </w:t>
      </w:r>
      <w:r w:rsidR="00D7386B">
        <w:t xml:space="preserve">– </w:t>
      </w:r>
      <w:r>
        <w:t xml:space="preserve">niet op de vergoedingen voor verrichte arbeid. De last van de rechtsonzekerheid rust op het platform dat de omstreden verhouding heeft gecreëerd, niet op de werknemers. De staat neemt het risico van een onjuiste vaststelling op zich: als de inspectiebeslissing onjuist blijkt te zijn, draagt de staat de last van de terugbetaling van de uitkeringen </w:t>
      </w:r>
      <w:r w:rsidR="00D7386B">
        <w:t xml:space="preserve">– </w:t>
      </w:r>
      <w:r>
        <w:t xml:space="preserve">hiermee staat hij garant voor de geloofwaardigheid van de beslissing en creëert hij een stimulans voor kwalitatief hoogstaand werk van de inspectiedienst. Geen enkele lidstaat zou de richtlijn mogen omzetten zonder een mechanisme dat het juridische vacuüm tussen de beslissing van de inspectiedienst en een definitieve rechterlijke uitspraak opvult.</w:t>
      </w:r>
    </w:p>
    <w:p w:rsidR="00D90A18" w:rsidP="00750824" w:rsidRDefault="00D90A18" w14:paraId="51B8EB4F" w14:textId="77777777">
      <w:pPr>
        <w:jc w:val="both"/>
      </w:pPr>
    </w:p>
    <w:p w:rsidR="00983F19" w:rsidP="00750824" w:rsidRDefault="00492887" w14:paraId="3E281C20" w14:textId="70AA0B6E">
      <w:pPr>
        <w:jc w:val="both"/>
      </w:pPr>
      <w:r>
        <w:t xml:space="preserve">Ten vierde: verplichte </w:t>
      </w:r>
      <w:r w:rsidR="00A25A76">
        <w:t xml:space="preserve">hoofdelijke </w:t>
      </w:r>
      <w:r>
        <w:t xml:space="preserve">aansprakelijkheid over de gehele keten van tussenpersonen. Het „flot“-systeem </w:t>
      </w:r>
      <w:r w:rsidR="00D7386B">
        <w:t xml:space="preserve">– </w:t>
      </w:r>
      <w:r>
        <w:t xml:space="preserve">het gebruik van ketens van tussenpersonen om het juridische risico over te dragen aan brievenbusbedrijven </w:t>
      </w:r>
      <w:r w:rsidR="00D7386B">
        <w:t xml:space="preserve">– </w:t>
      </w:r>
      <w:r>
        <w:t xml:space="preserve">is een structureel onderdeel van het bedrijfsmodel van de platforms, geen uitzondering: het komt voor bij bijna de helft van de geanalyseerde platforms (zie hoofdstuk 2). De richtlijn staat in artikel 3 solidaire aansprakelijkheid toe, maar eist deze niet. Deze dubbelzinnigheid biedt kansen voor de ministeries: verplichte </w:t>
      </w:r>
      <w:r w:rsidR="00A25A76">
        <w:t xml:space="preserve">solidaire </w:t>
      </w:r>
      <w:r>
        <w:t xml:space="preserve">aansprakelijkheid, waarbij het platform automatisch de schulden van de onderaannemer jegens de werknemers overneemt, is de enige effectieve maatregel tegen een model dat juist is ontworpen om aansprakelijkheid te ontlopen. Het ETUC dringt aan op de goedkeuring van een richtlijn inzake onderaanneming en arbeidsbemiddeling, die deze aansprakelijkheid op Europees niveau wettelijk zou vastleggen.</w:t>
      </w:r>
    </w:p>
    <w:p w:rsidR="00D90A18" w:rsidP="00750824" w:rsidRDefault="00D90A18" w14:paraId="23CBDD14" w14:textId="77777777">
      <w:pPr>
        <w:jc w:val="both"/>
      </w:pPr>
    </w:p>
    <w:p w:rsidR="00983F19" w:rsidP="00750824" w:rsidRDefault="00492887" w14:paraId="5EED1FDB" w14:textId="63369F4B">
      <w:pPr>
        <w:jc w:val="both"/>
      </w:pPr>
      <w:r>
        <w:t xml:space="preserve">Ten vijfde: sociale dialoog met een proactieve rol van de staat en de instellingen als voorwaarde voor een effectieve uitvoering. De richtlijn voorziet in een uitgebreide reeks rechten </w:t>
      </w:r>
      <w:r w:rsidR="00D7386B">
        <w:t xml:space="preserve">– </w:t>
      </w:r>
      <w:r>
        <w:t xml:space="preserve">van transparantie van algoritmen tot het verbod op vergeldingsmaatregelen </w:t>
      </w:r>
      <w:r w:rsidR="00D7386B">
        <w:t xml:space="preserve">– </w:t>
      </w:r>
      <w:r>
        <w:t xml:space="preserve">maar rechten zonder mechanismen om ze af te dwingen zijn zinloos. De staat mag niet louter een passieve toeschouwer bij de onderhandelingen zijn, maar moet een actieve bemiddelaar en garant zijn: met een versterkte arbeidsinspectie die gespecialiseerd is in algoritmische systemen, met duidelijke sancties voor schendingen van de transparantie (waaronder de automatische ongeldigheid van een niet-gemotiveerde algoritmische beslissing), met de mogelijkheid tot collectieve en groepsprocedures, die in verschillende lidstaten </w:t>
      </w:r>
      <w:r w:rsidR="00D7386B">
        <w:t xml:space="preserve">– </w:t>
      </w:r>
      <w:r>
        <w:t xml:space="preserve">waaronder Duitsland en Slovenië </w:t>
      </w:r>
      <w:r w:rsidR="00D7386B">
        <w:t xml:space="preserve">– </w:t>
      </w:r>
      <w:r>
        <w:t xml:space="preserve">momenteel wettelijk niet zijn toegestaan, en met stimulansen voor platforms die vrijwillig aan de onderhandelingen deelnemen.</w:t>
      </w:r>
    </w:p>
    <w:p w:rsidR="00D90A18" w:rsidP="00750824" w:rsidRDefault="00D90A18" w14:paraId="49EBFB5C" w14:textId="77777777">
      <w:pPr>
        <w:jc w:val="both"/>
      </w:pPr>
    </w:p>
    <w:p w:rsidRPr="00D90A18" w:rsidR="00983F19" w:rsidP="00750824" w:rsidRDefault="00000000" w14:paraId="7D16DA5A" w14:textId="7A673C1C">
      <w:pPr>
        <w:jc w:val="both"/>
        <w:rPr>
          <w:rStyle w:val="Poudarek"/>
        </w:rPr>
      </w:pPr>
      <w:r>
        <w:rPr>
          <w:rStyle w:val="Poudarek"/>
        </w:rPr>
        <w:t xml:space="preserve">Deze aanbevelingen zijn uitgebreid </w:t>
      </w:r>
      <w:r w:rsidR="00D7386B">
        <w:rPr>
          <w:rStyle w:val="Poudarek"/>
        </w:rPr>
        <w:t xml:space="preserve">– </w:t>
      </w:r>
      <w:r>
        <w:rPr>
          <w:rStyle w:val="Poudarek"/>
        </w:rPr>
        <w:t xml:space="preserve">het document bevat er meer dan veertig. Maar het zijn tegelijkertijd de aanbevelingen zonder welke de omzetting van de richtlijn niets zal veranderen voor de werknemer die om tien uur ’s avonds in de regen op de fiets eten bezorgt en niet weet of het algoritme hem vandaag nog werk zal aanbieden </w:t>
      </w:r>
      <w:r w:rsidR="004F26A1">
        <w:rPr>
          <w:rStyle w:val="Poudarek"/>
        </w:rPr>
        <w:t xml:space="preserve">en</w:t>
      </w:r>
      <w:r>
        <w:rPr>
          <w:rStyle w:val="Poudarek"/>
        </w:rPr>
        <w:t xml:space="preserve"> hem </w:t>
      </w:r>
      <w:r>
        <w:rPr>
          <w:rStyle w:val="Poudarek"/>
        </w:rPr>
        <w:t xml:space="preserve">morgen toegang tot de app zal verlenen.</w:t>
      </w:r>
    </w:p>
    <w:p w:rsidR="00D90A18" w:rsidP="00750824" w:rsidRDefault="00D90A18" w14:paraId="70C3980B" w14:textId="77777777">
      <w:pPr>
        <w:jc w:val="both"/>
      </w:pPr>
    </w:p>
    <w:p w:rsidR="00983F19" w:rsidP="00750824" w:rsidRDefault="00000000" w14:paraId="1AACC6D3" w14:textId="532213F9">
      <w:pPr>
        <w:jc w:val="both"/>
      </w:pPr>
      <w:r>
        <w:rPr>
          <w:rStyle w:val="Krepko"/>
        </w:rPr>
        <w:t xml:space="preserve">De richtlijn lost niet alles op. </w:t>
      </w:r>
      <w:r>
        <w:t xml:space="preserve">Ze biedt geen oplossing voor de bijzondere kwetsbaarheid van migrerende werknemers, die in alle vijf partnerlanden een groot deel van de platformarbeidskrachten uitmaken en </w:t>
      </w:r>
      <w:r w:rsidR="004F26A1">
        <w:t xml:space="preserve">die</w:t>
      </w:r>
      <w:r>
        <w:lastRenderedPageBreak/>
      </w:r>
      <w:r>
        <w:t xml:space="preserve"> vanwege taalbarrières, een onzekere verblijfsstatus en afhankelijkheid van het platform niet durven op te komen voor hun rechten. Ze biedt geen oplossing voor het risico dat sommige lidstaten </w:t>
      </w:r>
      <w:r>
        <w:t xml:space="preserve">een</w:t>
      </w:r>
      <w:r>
        <w:t xml:space="preserve"> tussenliggende </w:t>
      </w:r>
      <w:r>
        <w:t xml:space="preserve">‘derde </w:t>
      </w:r>
      <w:r w:rsidR="00016B3D">
        <w:t xml:space="preserve">status’ </w:t>
      </w:r>
      <w:r>
        <w:t xml:space="preserve">zullen invoeren </w:t>
      </w:r>
      <w:r w:rsidR="00D7386B">
        <w:t xml:space="preserve">– </w:t>
      </w:r>
      <w:r>
        <w:t xml:space="preserve">naar het voorbeeld van de Italiaanse </w:t>
      </w:r>
      <w:r w:rsidRPr="00016B3D">
        <w:t xml:space="preserve">‘anders georganiseerde </w:t>
      </w:r>
      <w:r w:rsidRPr="00016B3D" w:rsidR="004F26A1">
        <w:t xml:space="preserve">medewerker’</w:t>
      </w:r>
      <w:r w:rsidRPr="004F26A1">
        <w:t xml:space="preserve"> (</w:t>
      </w:r>
      <w:r w:rsidRPr="00016B3D">
        <w:t xml:space="preserve">'collaboratore </w:t>
      </w:r>
      <w:r w:rsidRPr="00016B3D" w:rsidR="004F26A1">
        <w:t xml:space="preserve">etero-organizzato'</w:t>
      </w:r>
      <w:r w:rsidRPr="004F26A1">
        <w:t xml:space="preserve">) </w:t>
      </w:r>
      <w:r>
        <w:t xml:space="preserve">of de Oostenrijkse ‘vrije contractant’ (</w:t>
      </w:r>
      <w:r w:rsidRPr="00016B3D">
        <w:t xml:space="preserve">‘Freier </w:t>
      </w:r>
      <w:r w:rsidRPr="00016B3D" w:rsidR="004F26A1">
        <w:t xml:space="preserve">Dienstnehmer’</w:t>
      </w:r>
      <w:r w:rsidRPr="004F26A1">
        <w:t xml:space="preserve">) </w:t>
      </w:r>
      <w:r w:rsidR="00D7386B">
        <w:t xml:space="preserve">– </w:t>
      </w:r>
      <w:r>
        <w:t xml:space="preserve">die noch een dienstverband, noch zelfstandig ondernemerschap is, maar </w:t>
      </w:r>
      <w:r w:rsidR="004F26A1">
        <w:t xml:space="preserve">een legalisering </w:t>
      </w:r>
      <w:r>
        <w:t xml:space="preserve">van bestaande uitbuiting onder een nieuwe naam. Dit zijn taken die een verdere Europese sociale dialoog, versterkte inspectiediensten en politieke wil vereisen, die niet zal verslappen na de eerste lobbyronde van de platforms.</w:t>
      </w:r>
    </w:p>
    <w:p w:rsidR="00D90A18" w:rsidP="00750824" w:rsidRDefault="00D90A18" w14:paraId="7154449F" w14:textId="77777777">
      <w:pPr>
        <w:jc w:val="both"/>
      </w:pPr>
    </w:p>
    <w:p w:rsidRPr="009742D7" w:rsidR="009742D7" w:rsidP="00750824" w:rsidRDefault="009742D7" w14:paraId="48D97BE6" w14:textId="77777777">
      <w:pPr>
        <w:jc w:val="both"/>
      </w:pPr>
      <w:r>
        <w:t xml:space="preserve">De richtlijn biedt een uitzonderlijke kans die we niet mogen laten liggen. Platformwerk, zoals we dat vandaag de dag kennen, is in wezen precair werk dat door algoritmen wordt aangestuurd: werk zonder gegarandeerd minimumloon, zonder sociale zekerheid, zonder recht op uitleg over beslissingen – en met een algoritme in plaats van een mens dat beslist wie er vandaag werkt, hoeveel hij zal verdienen en of hij morgen überhaupt nog werk zal hebben. Als we deze mechanismen nu niet reguleren, zullen we ze binnenkort overal tegenkomen: in de logistiek, de detailhandel, de horeca, de gezondheidszorg en callcenters. Platforms hebben de onzekerheid van het werk niet uitgevonden – ze hebben alleen alle bestaande mazen in de arbeidswetgeving uitgebuit en deze nog versterkt met algoritmische controle en grensoverschrijdende activiteiten. Daarom stelt de richtlijn ons in staat om deze mazen te dichten, niet alleen voor platformwerk, maar voor alle vormen van werk waarin dezelfde uitbuitingsmechanismen voorkomen.</w:t>
      </w:r>
    </w:p>
    <w:p w:rsidRPr="00D90A18" w:rsidR="00983F19" w:rsidP="00750824" w:rsidRDefault="00000000" w14:paraId="5A73155F" w14:textId="42529446">
      <w:pPr>
        <w:jc w:val="both"/>
        <w:rPr>
          <w:rStyle w:val="Krepko"/>
        </w:rPr>
      </w:pPr>
      <w:r>
        <w:rPr>
          <w:rStyle w:val="Krepko"/>
        </w:rPr>
        <w:t xml:space="preserve">Als we deze kans laten liggen, betekent dat niet alleen dat </w:t>
      </w:r>
      <w:r>
        <w:rPr>
          <w:rStyle w:val="Krepko"/>
        </w:rPr>
        <w:t xml:space="preserve">platformwerkers zonder bescherming </w:t>
      </w:r>
      <w:r>
        <w:rPr>
          <w:rStyle w:val="Krepko"/>
        </w:rPr>
        <w:t xml:space="preserve">blijven</w:t>
      </w:r>
      <w:r>
        <w:rPr>
          <w:rStyle w:val="Krepko"/>
        </w:rPr>
        <w:t xml:space="preserve">, maar ook dat hun model </w:t>
      </w:r>
      <w:r w:rsidR="00BB1A2F">
        <w:rPr>
          <w:rStyle w:val="Krepko"/>
        </w:rPr>
        <w:t xml:space="preserve">de</w:t>
      </w:r>
      <w:r>
        <w:rPr>
          <w:rStyle w:val="Krepko"/>
        </w:rPr>
        <w:t xml:space="preserve"> nieuwe norm </w:t>
      </w:r>
      <w:r w:rsidR="00BB1A2F">
        <w:rPr>
          <w:rStyle w:val="Krepko"/>
        </w:rPr>
        <w:t xml:space="preserve">voor iedereen </w:t>
      </w:r>
      <w:r>
        <w:rPr>
          <w:rStyle w:val="Krepko"/>
        </w:rPr>
        <w:t xml:space="preserve">wordt</w:t>
      </w:r>
      <w:r>
        <w:rPr>
          <w:rStyle w:val="Krepko"/>
        </w:rPr>
        <w:t xml:space="preserve">.</w:t>
      </w:r>
    </w:p>
    <w:p w:rsidR="00D90A18" w:rsidP="00750824" w:rsidRDefault="00D90A18" w14:paraId="0C07D028" w14:textId="77777777">
      <w:pPr>
        <w:jc w:val="both"/>
      </w:pPr>
    </w:p>
    <w:p w:rsidR="00983F19" w:rsidP="00750824" w:rsidRDefault="00000000" w14:paraId="22C93E90" w14:textId="0D97D13C">
      <w:pPr>
        <w:jc w:val="both"/>
      </w:pPr>
      <w:r>
        <w:rPr>
          <w:rStyle w:val="Krepko"/>
        </w:rPr>
        <w:t xml:space="preserve">De deadline is duidelijk: 2 december 2026.</w:t>
      </w:r>
      <w:r>
        <w:t xml:space="preserve"> Na analyse van vijf landen, drie collectieve arbeidsovereenkomsten en gedocumenteerde ontwijkingsstrategieën sluit dit document af met een conclusie die tegelijkertijd een waarschuwing is: de uitdagingen bij de implementatie zijn niet onvoorspelbaar </w:t>
      </w:r>
      <w:r w:rsidR="00D7386B">
        <w:t xml:space="preserve">– </w:t>
      </w:r>
      <w:r>
        <w:t xml:space="preserve">het is een herhalend patroon dat de platforms al hebben getest in Spanje, Duitsland en elders. Ministeries die preventief handelen, zullen de richtlijn doeltreffend omzetten. Ministeries die wachten op het eerste geschil, zullen de Belgische ervaring herhalen: wetgeving op papier, prekarisering in de praktijk.</w:t>
      </w:r>
    </w:p>
    <w:p w:rsidR="00D90A18" w:rsidP="00750824" w:rsidRDefault="00D90A18" w14:paraId="1D71DE5A" w14:textId="77777777">
      <w:pPr>
        <w:jc w:val="both"/>
      </w:pPr>
    </w:p>
    <w:p w:rsidR="00983F19" w:rsidP="00750824" w:rsidRDefault="00000000" w14:paraId="346BD37A" w14:textId="48F70648">
      <w:pPr>
        <w:jc w:val="both"/>
      </w:pPr>
      <w:r>
        <w:t xml:space="preserve">Het SDDP-project </w:t>
      </w:r>
      <w:r w:rsidR="00D7386B">
        <w:t xml:space="preserve">– </w:t>
      </w:r>
      <w:r>
        <w:t xml:space="preserve">vijf landen, het ETUC en aangesloten vakbondsconfederaties, twee jaar veldwerk </w:t>
      </w:r>
      <w:r w:rsidR="00D7386B">
        <w:t xml:space="preserve">– </w:t>
      </w:r>
      <w:r>
        <w:t xml:space="preserve">heeft met dit document concrete, toetsbare aanbevelingen gedaan. Het consortium blijft ter beschikking staan van elke lidstaat en elke sociale partner die de richtlijn zodanig wil omzetten dat degenen op wie deze </w:t>
      </w:r>
      <w:r>
        <w:t xml:space="preserve">betrekking heeft</w:t>
      </w:r>
      <w:r>
        <w:t xml:space="preserve">, daadwerkelijk worden beschermd</w:t>
      </w:r>
      <w:r>
        <w:t xml:space="preserve">.</w:t>
      </w:r>
      <w:bookmarkEnd w:id="83"/>
    </w:p>
    <w:sectPr w:rsidR="00983F19">
      <w:footerReference w:type="default" r:id="rId8"/>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79E" w:rsidRDefault="00AA779E" w14:paraId="14AEC7F3" w14:textId="77777777">
      <w:r>
        <w:separator/>
      </w:r>
    </w:p>
  </w:endnote>
  <w:endnote w:type="continuationSeparator" w:id="0">
    <w:p w:rsidR="00AA779E" w:rsidRDefault="00AA779E" w14:paraId="045AD2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30D3" w:rsidRDefault="007D30D3" w14:paraId="27F72AFB" w14:textId="517F802B">
    <w:pPr>
      <w:pStyle w:val="Noga"/>
    </w:pPr>
    <w:r>
      <w:rPr>
        <w:noProof/>
      </w:rPr>
      <w:drawing>
        <wp:inline distT="0" distB="0" distL="0" distR="0" wp14:anchorId="69CF034E" wp14:editId="0EAC88DC">
          <wp:extent cx="2513607" cy="525780"/>
          <wp:effectExtent l="0" t="0" r="0" b="7620"/>
          <wp:docPr id="14102094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09493" name="Slika 1410209493"/>
                  <pic:cNvPicPr/>
                </pic:nvPicPr>
                <pic:blipFill>
                  <a:blip r:embed="rId1">
                    <a:extLst>
                      <a:ext uri="{28A0092B-C50C-407E-A947-70E740481C1C}">
                        <a14:useLocalDpi xmlns:a14="http://schemas.microsoft.com/office/drawing/2010/main" val="0"/>
                      </a:ext>
                    </a:extLst>
                  </a:blip>
                  <a:stretch>
                    <a:fillRect/>
                  </a:stretch>
                </pic:blipFill>
                <pic:spPr>
                  <a:xfrm>
                    <a:off x="0" y="0"/>
                    <a:ext cx="2524927" cy="528148"/>
                  </a:xfrm>
                  <a:prstGeom prst="rect">
                    <a:avLst/>
                  </a:prstGeom>
                </pic:spPr>
              </pic:pic>
            </a:graphicData>
          </a:graphic>
        </wp:inline>
      </w:drawing>
    </w:r>
    <w:r>
      <w:tab/>
    </w:r>
    <w:r>
      <w:tab/>
    </w:r>
    <w:r>
      <w:rPr>
        <w:noProof/>
      </w:rPr>
      <w:drawing>
        <wp:inline distT="0" distB="0" distL="0" distR="0" wp14:anchorId="66E248D6" wp14:editId="24D34EB0">
          <wp:extent cx="1318260" cy="643872"/>
          <wp:effectExtent l="0" t="0" r="0" b="4445"/>
          <wp:docPr id="10789567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5670" name="Slika 107895670"/>
                  <pic:cNvPicPr/>
                </pic:nvPicPr>
                <pic:blipFill>
                  <a:blip r:embed="rId2">
                    <a:extLst>
                      <a:ext uri="{28A0092B-C50C-407E-A947-70E740481C1C}">
                        <a14:useLocalDpi xmlns:a14="http://schemas.microsoft.com/office/drawing/2010/main" val="0"/>
                      </a:ext>
                    </a:extLst>
                  </a:blip>
                  <a:stretch>
                    <a:fillRect/>
                  </a:stretch>
                </pic:blipFill>
                <pic:spPr>
                  <a:xfrm>
                    <a:off x="0" y="0"/>
                    <a:ext cx="1333079" cy="651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79E" w:rsidRDefault="00AA779E" w14:paraId="3F50196E" w14:textId="77777777">
      <w:r>
        <w:separator/>
      </w:r>
    </w:p>
  </w:footnote>
  <w:footnote w:type="continuationSeparator" w:id="0">
    <w:p w:rsidR="00AA779E" w:rsidRDefault="00AA779E" w14:paraId="4F9902D5" w14:textId="77777777">
      <w:r>
        <w:continuationSeparator/>
      </w:r>
    </w:p>
  </w:footnote>
  <w:footnote w:id="1">
    <w:p w:rsidR="00983F19" w:rsidRDefault="00000000" w14:paraId="593AD28F" w14:textId="77777777">
      <w:pPr>
        <w:pStyle w:val="Sprotnaopomba-besedilo"/>
      </w:pPr>
      <w:r>
        <w:rPr>
          <w:rStyle w:val="Sprotnaopomba-sklic"/>
        </w:rPr>
        <w:footnoteRef/>
      </w:r>
      <w:r>
        <w:t xml:space="preserve"> Verordening (EU) 2016/679 (AVG), met name artikel 5 (beginselen van de verwerking) en artikel 25 (ingebouwde en standaard gegevensbescherming). Anonimisering en aggregatie van gegevens zijn een voorwaarde voor de verenigbaarheid van het register met de AVG.</w:t>
      </w:r>
    </w:p>
  </w:footnote>
  <w:footnote w:id="2">
    <w:p w:rsidR="00983F19" w:rsidRDefault="00000000" w14:paraId="40ACB082" w14:textId="77777777">
      <w:pPr>
        <w:pStyle w:val="Sprotnaopomba-besedilo"/>
      </w:pPr>
      <w:r>
        <w:rPr>
          <w:rStyle w:val="Sprotnaopomba-sklic"/>
        </w:rPr>
        <w:footnoteRef/>
      </w:r>
      <w:r>
        <w:t xml:space="preserve"> Verordening (EU) 2022/2065 betreffende digitale diensten (DSA), artikel 13: aanbieders van bemiddelingsdiensten die niet in de EU zijn gevestigd, moeten een wettelijke vertegenwoordiger in de Unie aanwijzen.</w:t>
      </w:r>
    </w:p>
  </w:footnote>
  <w:footnote w:id="3">
    <w:p w:rsidR="00983F19" w:rsidRDefault="00000000" w14:paraId="3BFC4F08" w14:textId="77777777">
      <w:pPr>
        <w:pStyle w:val="Sprotnaopomba-besedilo"/>
      </w:pPr>
      <w:r>
        <w:rPr>
          <w:rStyle w:val="Sprotnaopomba-sklic"/>
        </w:rPr>
        <w:footnoteRef/>
      </w:r>
      <w:r>
        <w:t xml:space="preserve"> Verordening (EG) nr. 593/2008 betreffende het recht dat van toepassing is op verbintenissen uit overeenkomst (Rome I), artikel 8: een contractuele bepaling inzake de keuze van buitenlands recht mag de werknemer niet de bescherming ontnemen die hem wordt geboden door de dwingende bepalingen van het recht van de staat waarin of van waaruit de werknemer gewoonlijk zijn werkzaamheden verricht.</w:t>
      </w:r>
    </w:p>
  </w:footnote>
  <w:footnote w:id="4">
    <w:p w:rsidR="00983F19" w:rsidRDefault="00000000" w14:paraId="5970BDA5" w14:textId="77777777">
      <w:pPr>
        <w:pStyle w:val="Sprotnaopomba-besedilo"/>
      </w:pPr>
      <w:r>
        <w:rPr>
          <w:rStyle w:val="Sprotnaopomba-sklic"/>
        </w:rPr>
        <w:footnoteRef/>
      </w:r>
      <w:r>
        <w:t xml:space="preserve"> Verordening (EU) 2016/679 van het Europees Parlement en de Raad van 27 april 2016 betreffende de bescherming van natuurlijke personen in verband met de verwerking van persoonsgegevens en betreffende het vrije verkeer van die gegevens (AVG). EU-richtlijn 2024/2831 op het gebied van platformwerk voert strengere specifieke bepalingen in.</w:t>
      </w:r>
    </w:p>
  </w:footnote>
  <w:footnote w:id="5">
    <w:p w:rsidR="00983F19" w:rsidRDefault="00000000" w14:paraId="552857AE" w14:textId="77777777">
      <w:pPr>
        <w:pStyle w:val="Sprotnaopomba-besedilo"/>
      </w:pPr>
      <w:r>
        <w:rPr>
          <w:rStyle w:val="Sprotnaopomba-sklic"/>
        </w:rPr>
        <w:footnoteRef/>
      </w:r>
      <w:r>
        <w:t xml:space="preserve"> AVG, artikel 35, lid 1: een effectbeoordeling is verplicht wanneer de verwerking waarschijnlijk een hoog risico met zich meebrengt. De richtlijn beschouwt dit risico als vanzelfsprekend voor elke verwerking via AMDMS in het kader van platformwerk.</w:t>
      </w:r>
    </w:p>
  </w:footnote>
  <w:footnote w:id="6">
    <w:p w:rsidR="00983F19" w:rsidRDefault="00000000" w14:paraId="07B887E7" w14:textId="77777777">
      <w:pPr>
        <w:pStyle w:val="Sprotnaopomba-besedilo"/>
      </w:pPr>
      <w:r>
        <w:rPr>
          <w:rStyle w:val="Sprotnaopomba-sklic"/>
        </w:rPr>
        <w:footnoteRef/>
      </w:r>
      <w:r>
        <w:t xml:space="preserve"> EU-richtlijn 2024/2831, artikel 26, lid 2: de richtlijn doet geen afbreuk aan het recht van de lidstaten om gunstigere wetgeving in te voeren of gunstigere collectieve arbeidsovereenkomsten te bevorderen.</w:t>
      </w:r>
    </w:p>
  </w:footnote>
  <w:footnote w:id="7">
    <w:p w:rsidR="00983F19" w:rsidRDefault="00000000" w14:paraId="4D426CA7" w14:textId="77777777">
      <w:pPr>
        <w:pStyle w:val="Sprotnaopomba-besedilo"/>
      </w:pPr>
      <w:r>
        <w:rPr>
          <w:rStyle w:val="Sprotnaopomba-sklic"/>
        </w:rPr>
        <w:footnoteRef/>
      </w:r>
      <w:r>
        <w:t xml:space="preserve"> Ametowobla, D. en Kirchner, S. (2025). Varieties of platform capitalism? Socio-Economic Review, 23(2). Het flot-systeem is bij 41 van de 91 platforms gedocumenteerd.</w:t>
      </w:r>
    </w:p>
  </w:footnote>
  <w:footnote w:id="8">
    <w:p w:rsidR="00983F19" w:rsidRDefault="00000000" w14:paraId="084F244E" w14:textId="77777777">
      <w:pPr>
        <w:pStyle w:val="Sprotnaopomba-besedilo"/>
      </w:pPr>
      <w:r>
        <w:rPr>
          <w:rStyle w:val="Sprotnaopomba-sklic"/>
        </w:rPr>
        <w:footnoteRef/>
      </w:r>
      <w:r>
        <w:t xml:space="preserve"> Vernieuwing van de aanvullende bedrijfsovereenkomst, Takeaway.com Express Italy S.r.l. / FILT-CGIL, FIT-CISL, UILTRASPORTI. Ondertekend op 11–12 februari 2026.</w:t>
      </w:r>
    </w:p>
  </w:footnote>
  <w:footnote w:id="9">
    <w:p w:rsidR="00983F19" w:rsidRDefault="00000000" w14:paraId="5F306B72" w14:textId="77777777">
      <w:pPr>
        <w:pStyle w:val="Sprotnaopomba-besedilo"/>
      </w:pPr>
      <w:r>
        <w:rPr>
          <w:rStyle w:val="Sprotnaopomba-sklic"/>
        </w:rPr>
        <w:footnoteRef/>
      </w:r>
      <w:r>
        <w:t xml:space="preserve"> Collectieve arbeidsovereenkomst voor fietskoeriers, vakbond vida. Geldigheidsduur: 1 januari 2023–30 september 2025. Opzegging: juni 2025.</w:t>
      </w:r>
    </w:p>
  </w:footnote>
  <w:footnote w:id="10">
    <w:p w:rsidR="00983F19" w:rsidRDefault="00000000" w14:paraId="5F96ED92" w14:textId="77777777">
      <w:pPr>
        <w:pStyle w:val="Sprotnaopomba-besedilo"/>
      </w:pPr>
      <w:r>
        <w:rPr>
          <w:rStyle w:val="Sprotnaopomba-sklic"/>
        </w:rPr>
        <w:footnoteRef/>
      </w:r>
      <w:r>
        <w:t xml:space="preserve"> EU-richtlijn 2024/2831, artikel 20: digitale communicatiekanalen voor werknemers en hun vertegenwoordigers.</w:t>
      </w:r>
    </w:p>
  </w:footnote>
  <w:footnote w:id="11">
    <w:p w:rsidRPr="00016B3D" w:rsidR="00FC19E2" w:rsidRDefault="00000000" w14:paraId="3C24EF3A" w14:textId="77777777">
      <w:pPr>
        <w:rPr>
          <w:sz w:val="20"/>
          <w:szCs w:val="20"/>
        </w:rPr>
      </w:pPr>
      <w:r w:rsidRPr="00016B3D">
        <w:rPr>
          <w:sz w:val="16"/>
          <w:szCs w:val="16"/>
        </w:rPr>
        <w:footnoteRef/>
      </w:r>
      <w:r w:rsidRPr="00016B3D">
        <w:rPr>
          <w:sz w:val="20"/>
          <w:szCs w:val="20"/>
        </w:rPr>
        <w:t xml:space="preserve"> Richtlijn (EU) 2024/2831, artikel 20: de lidstaten zorgen ervoor dat digitale werkplatforms personen die platformwerk verrichten in staat stellen onderling te communiceren via digitale infrastructuur of even effectieve middelen, en contact op te nemen met vertegenwoordigers. Platforms onthouden zich van het inzien of monitoren van deze communicatie.</w:t>
      </w:r>
    </w:p>
  </w:footnote>
  <w:footnote w:id="12">
    <w:p w:rsidR="00983F19" w:rsidRDefault="00000000" w14:paraId="6FFA6134" w14:textId="70429696">
      <w:pPr>
        <w:pStyle w:val="Sprotnaopomba-besedilo"/>
      </w:pPr>
      <w:r>
        <w:rPr>
          <w:rStyle w:val="Sprotnaopomba-sklic"/>
        </w:rPr>
        <w:footnoteRef/>
      </w:r>
      <w:r>
        <w:t xml:space="preserve"> Arbeidsbemiddeling in de Richtlijn inzake platformwerk. Mika, B. en Polkowska, D. (2022). Werk op aanvraag in het lappendekenkapitalisme.</w:t>
      </w:r>
    </w:p>
  </w:footnote>
  <w:footnote w:id="13">
    <w:p w:rsidR="00983F19" w:rsidRDefault="00000000" w14:paraId="736FFFA0" w14:textId="77777777">
      <w:pPr>
        <w:pStyle w:val="Sprotnaopomba-besedilo"/>
      </w:pPr>
      <w:r>
        <w:rPr>
          <w:rStyle w:val="Sprotnaopomba-sklic"/>
        </w:rPr>
        <w:footnoteRef/>
      </w:r>
      <w:r>
        <w:t xml:space="preserve"> Vieira, T. en Mendonça, P. (2025). The times, are they changing? Socio-Economic Review, 23(2).</w:t>
      </w:r>
    </w:p>
  </w:footnote>
  <w:footnote w:id="14">
    <w:p w:rsidR="00983F19" w:rsidRDefault="00000000" w14:paraId="2AAE8128" w14:textId="77777777">
      <w:pPr>
        <w:pStyle w:val="Sprotnaopomba-besedilo"/>
      </w:pPr>
      <w:r>
        <w:rPr>
          <w:rStyle w:val="Sprotnaopomba-sklic"/>
        </w:rPr>
        <w:footnoteRef/>
      </w:r>
      <w:r>
        <w:t xml:space="preserve"> Richtlijn inzake arbeidsbemiddeling en platformwerk, blz. 1: platforms worden opgevat als kameleontische entiteiten.</w:t>
      </w:r>
    </w:p>
  </w:footnote>
  <w:footnote w:id="15">
    <w:p w:rsidR="00983F19" w:rsidRDefault="00000000" w14:paraId="039DA1E5" w14:textId="77777777">
      <w:pPr>
        <w:pStyle w:val="Sprotnaopomba-besedilo"/>
      </w:pPr>
      <w:r>
        <w:rPr>
          <w:rStyle w:val="Sprotnaopomba-sklic"/>
        </w:rPr>
        <w:footnoteRef/>
      </w:r>
      <w:r>
        <w:t xml:space="preserve"> Starčević, J. (2023). Platformwerk in Kroatië en Servië. Blz. 71: strobedrijven en de zwarte lijsten van Facebook.</w:t>
      </w:r>
    </w:p>
  </w:footnote>
  <w:footnote w:id="16">
    <w:p w:rsidR="00983F19" w:rsidRDefault="00000000" w14:paraId="515870CF" w14:textId="77777777">
      <w:pPr>
        <w:pStyle w:val="Sprotnaopomba-besedilo"/>
      </w:pPr>
      <w:r>
        <w:rPr>
          <w:rStyle w:val="Sprotnaopomba-sklic"/>
        </w:rPr>
        <w:footnoteRef/>
      </w:r>
      <w:r>
        <w:t xml:space="preserve"> NIdiL-CGIL Firenze: Voorstel voor aanbevelingen voor de uitvoering van de richtlijn inzake platformwerk (2025). Punt 8.4: het risico van een derde status.</w:t>
      </w:r>
    </w:p>
  </w:footnote>
  <w:footnote w:id="17">
    <w:p w:rsidR="00983F19" w:rsidRDefault="00000000" w14:paraId="48EC8BE4" w14:textId="77777777">
      <w:pPr>
        <w:pStyle w:val="Sprotnaopomba-besedilo"/>
      </w:pPr>
      <w:r>
        <w:rPr>
          <w:rStyle w:val="Sprotnaopomba-sklic"/>
        </w:rPr>
        <w:footnoteRef/>
      </w:r>
      <w:r>
        <w:t xml:space="preserve"> Fairwork (2025). Fairwork Germany Ratings 2025. Blz. 30–31: onderaannemers die de lonen van migrerende werknemers inhouden.</w:t>
      </w:r>
    </w:p>
  </w:footnote>
  <w:footnote w:id="18">
    <w:p w:rsidR="00983F19" w:rsidRDefault="00000000" w14:paraId="35BF89BD" w14:textId="77777777">
      <w:pPr>
        <w:pStyle w:val="Sprotnaopomba-besedilo"/>
      </w:pPr>
      <w:r>
        <w:rPr>
          <w:rStyle w:val="Sprotnaopomba-sklic"/>
        </w:rPr>
        <w:footnoteRef/>
      </w:r>
      <w:r>
        <w:t xml:space="preserve"> Deskundigengroep van de Europese Commissie: Verslag van de deskundigengroep over de omzetting van Richtlijn (EU) 2024/2831, januari 2026. Overweging 30.</w:t>
      </w:r>
    </w:p>
  </w:footnote>
  <w:footnote w:id="19">
    <w:p w:rsidR="00983F19" w:rsidRDefault="00000000" w14:paraId="1013DE52" w14:textId="77777777">
      <w:pPr>
        <w:pStyle w:val="Sprotnaopomba-besedilo"/>
      </w:pPr>
      <w:r>
        <w:rPr>
          <w:rStyle w:val="Sprotnaopomba-sklic"/>
        </w:rPr>
        <w:footnoteRef/>
      </w:r>
      <w:r>
        <w:t xml:space="preserve"> EU-richtlijn 2024/2831, artikel 24, lid 4: grensoverschrijdende samenwerking tussen bevoegde autoriteiten.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54F0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0390FD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28A7BF6"/>
    <w:multiLevelType w:val="hybridMultilevel"/>
    <w:tmpl w:val="2160C404"/>
    <w:lvl w:ilvl="0" w:tplc="076896B4">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F7A6A2E"/>
    <w:multiLevelType w:val="hybridMultilevel"/>
    <w:tmpl w:val="8F1220A6"/>
    <w:lvl w:ilvl="0" w:tplc="096CC94E">
      <w:start w:val="1"/>
      <w:numFmt w:val="bullet"/>
      <w:lvlText w:val="●"/>
      <w:lvlJc w:val="left"/>
      <w:pPr>
        <w:ind w:left="720" w:hanging="360"/>
      </w:pPr>
    </w:lvl>
    <w:lvl w:ilvl="1" w:tplc="3760EED0">
      <w:start w:val="1"/>
      <w:numFmt w:val="bullet"/>
      <w:lvlText w:val="○"/>
      <w:lvlJc w:val="left"/>
      <w:pPr>
        <w:ind w:left="1440" w:hanging="360"/>
      </w:pPr>
    </w:lvl>
    <w:lvl w:ilvl="2" w:tplc="2F80938E">
      <w:start w:val="1"/>
      <w:numFmt w:val="bullet"/>
      <w:lvlText w:val="■"/>
      <w:lvlJc w:val="left"/>
      <w:pPr>
        <w:ind w:left="2160" w:hanging="360"/>
      </w:pPr>
    </w:lvl>
    <w:lvl w:ilvl="3" w:tplc="142C3356">
      <w:start w:val="1"/>
      <w:numFmt w:val="bullet"/>
      <w:lvlText w:val="●"/>
      <w:lvlJc w:val="left"/>
      <w:pPr>
        <w:ind w:left="2880" w:hanging="360"/>
      </w:pPr>
    </w:lvl>
    <w:lvl w:ilvl="4" w:tplc="BE486E12">
      <w:start w:val="1"/>
      <w:numFmt w:val="bullet"/>
      <w:lvlText w:val="○"/>
      <w:lvlJc w:val="left"/>
      <w:pPr>
        <w:ind w:left="3600" w:hanging="360"/>
      </w:pPr>
    </w:lvl>
    <w:lvl w:ilvl="5" w:tplc="35FA1DAC">
      <w:start w:val="1"/>
      <w:numFmt w:val="bullet"/>
      <w:lvlText w:val="■"/>
      <w:lvlJc w:val="left"/>
      <w:pPr>
        <w:ind w:left="4320" w:hanging="360"/>
      </w:pPr>
    </w:lvl>
    <w:lvl w:ilvl="6" w:tplc="99B05B28">
      <w:start w:val="1"/>
      <w:numFmt w:val="bullet"/>
      <w:lvlText w:val="●"/>
      <w:lvlJc w:val="left"/>
      <w:pPr>
        <w:ind w:left="5040" w:hanging="360"/>
      </w:pPr>
    </w:lvl>
    <w:lvl w:ilvl="7" w:tplc="8A2AF95A">
      <w:start w:val="1"/>
      <w:numFmt w:val="bullet"/>
      <w:lvlText w:val="●"/>
      <w:lvlJc w:val="left"/>
      <w:pPr>
        <w:ind w:left="5760" w:hanging="360"/>
      </w:pPr>
    </w:lvl>
    <w:lvl w:ilvl="8" w:tplc="9C38A386">
      <w:start w:val="1"/>
      <w:numFmt w:val="bullet"/>
      <w:lvlText w:val="●"/>
      <w:lvlJc w:val="left"/>
      <w:pPr>
        <w:ind w:left="6480" w:hanging="360"/>
      </w:pPr>
    </w:lvl>
  </w:abstractNum>
  <w:abstractNum w:abstractNumId="4" w15:restartNumberingAfterBreak="0">
    <w:nsid w:val="693609F4"/>
    <w:multiLevelType w:val="hybridMultilevel"/>
    <w:tmpl w:val="FFBA1DBA"/>
    <w:lvl w:ilvl="0" w:tplc="18C8FE5E">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4398708">
    <w:abstractNumId w:val="3"/>
    <w:lvlOverride w:ilvl="0">
      <w:startOverride w:val="1"/>
    </w:lvlOverride>
  </w:num>
  <w:num w:numId="2" w16cid:durableId="952592849">
    <w:abstractNumId w:val="0"/>
  </w:num>
  <w:num w:numId="3" w16cid:durableId="1977680526">
    <w:abstractNumId w:val="1"/>
  </w:num>
  <w:num w:numId="4" w16cid:durableId="1868640215">
    <w:abstractNumId w:val="1"/>
  </w:num>
  <w:num w:numId="5" w16cid:durableId="2032684937">
    <w:abstractNumId w:val="4"/>
  </w:num>
  <w:num w:numId="6" w16cid:durableId="102610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19"/>
    <w:rsid w:val="000052A5"/>
    <w:rsid w:val="00016B3D"/>
    <w:rsid w:val="000617C4"/>
    <w:rsid w:val="00061B6E"/>
    <w:rsid w:val="00084394"/>
    <w:rsid w:val="00096C72"/>
    <w:rsid w:val="000B201C"/>
    <w:rsid w:val="000D74B6"/>
    <w:rsid w:val="000F63BC"/>
    <w:rsid w:val="0013617B"/>
    <w:rsid w:val="001627FA"/>
    <w:rsid w:val="00191599"/>
    <w:rsid w:val="001B1A93"/>
    <w:rsid w:val="001E67F7"/>
    <w:rsid w:val="0021360E"/>
    <w:rsid w:val="00247A59"/>
    <w:rsid w:val="00297684"/>
    <w:rsid w:val="002A147E"/>
    <w:rsid w:val="0030041A"/>
    <w:rsid w:val="00304218"/>
    <w:rsid w:val="00304B8F"/>
    <w:rsid w:val="003134E5"/>
    <w:rsid w:val="00320506"/>
    <w:rsid w:val="00352350"/>
    <w:rsid w:val="0036704F"/>
    <w:rsid w:val="00370D81"/>
    <w:rsid w:val="003A5607"/>
    <w:rsid w:val="003D2CF3"/>
    <w:rsid w:val="003F2469"/>
    <w:rsid w:val="00471B0E"/>
    <w:rsid w:val="00492887"/>
    <w:rsid w:val="00494E86"/>
    <w:rsid w:val="004A4679"/>
    <w:rsid w:val="004F26A1"/>
    <w:rsid w:val="005418CA"/>
    <w:rsid w:val="00557445"/>
    <w:rsid w:val="00583744"/>
    <w:rsid w:val="005B4341"/>
    <w:rsid w:val="005C5C0F"/>
    <w:rsid w:val="005D1CAF"/>
    <w:rsid w:val="00615AD5"/>
    <w:rsid w:val="00615F18"/>
    <w:rsid w:val="00645F58"/>
    <w:rsid w:val="00677FF5"/>
    <w:rsid w:val="006928D1"/>
    <w:rsid w:val="0069475D"/>
    <w:rsid w:val="006B029C"/>
    <w:rsid w:val="006E6A4A"/>
    <w:rsid w:val="006F2B87"/>
    <w:rsid w:val="00750824"/>
    <w:rsid w:val="00775A45"/>
    <w:rsid w:val="0078378B"/>
    <w:rsid w:val="00792F1C"/>
    <w:rsid w:val="007D30D3"/>
    <w:rsid w:val="00827187"/>
    <w:rsid w:val="00844626"/>
    <w:rsid w:val="0086131C"/>
    <w:rsid w:val="00873676"/>
    <w:rsid w:val="00885168"/>
    <w:rsid w:val="008920C5"/>
    <w:rsid w:val="008A2B03"/>
    <w:rsid w:val="008A4BD4"/>
    <w:rsid w:val="008A7718"/>
    <w:rsid w:val="008C7863"/>
    <w:rsid w:val="008F0A64"/>
    <w:rsid w:val="008F1CB6"/>
    <w:rsid w:val="008F70CF"/>
    <w:rsid w:val="00902859"/>
    <w:rsid w:val="00944A43"/>
    <w:rsid w:val="00954281"/>
    <w:rsid w:val="009742D7"/>
    <w:rsid w:val="00983F19"/>
    <w:rsid w:val="009870EF"/>
    <w:rsid w:val="00987363"/>
    <w:rsid w:val="009B7FA3"/>
    <w:rsid w:val="009C0D64"/>
    <w:rsid w:val="009E2CF3"/>
    <w:rsid w:val="009F3F9C"/>
    <w:rsid w:val="00A14D12"/>
    <w:rsid w:val="00A16E80"/>
    <w:rsid w:val="00A25A76"/>
    <w:rsid w:val="00A275F6"/>
    <w:rsid w:val="00A55B3A"/>
    <w:rsid w:val="00A56C5B"/>
    <w:rsid w:val="00A60485"/>
    <w:rsid w:val="00A60CFC"/>
    <w:rsid w:val="00AA779E"/>
    <w:rsid w:val="00AC6992"/>
    <w:rsid w:val="00B11C0F"/>
    <w:rsid w:val="00B33E59"/>
    <w:rsid w:val="00B357A5"/>
    <w:rsid w:val="00B833F8"/>
    <w:rsid w:val="00BB1A2F"/>
    <w:rsid w:val="00BB574B"/>
    <w:rsid w:val="00BD3FB5"/>
    <w:rsid w:val="00BD4E18"/>
    <w:rsid w:val="00C60A82"/>
    <w:rsid w:val="00C91807"/>
    <w:rsid w:val="00CB6C6D"/>
    <w:rsid w:val="00CB75BF"/>
    <w:rsid w:val="00CE0CAD"/>
    <w:rsid w:val="00CF3B80"/>
    <w:rsid w:val="00D10C79"/>
    <w:rsid w:val="00D17094"/>
    <w:rsid w:val="00D21719"/>
    <w:rsid w:val="00D7386B"/>
    <w:rsid w:val="00D90A18"/>
    <w:rsid w:val="00DB0B6E"/>
    <w:rsid w:val="00DB7748"/>
    <w:rsid w:val="00DC4393"/>
    <w:rsid w:val="00DC6DE9"/>
    <w:rsid w:val="00DF6109"/>
    <w:rsid w:val="00E11794"/>
    <w:rsid w:val="00E11FBD"/>
    <w:rsid w:val="00E56EFA"/>
    <w:rsid w:val="00E57F82"/>
    <w:rsid w:val="00E872A3"/>
    <w:rsid w:val="00E923E8"/>
    <w:rsid w:val="00EA618C"/>
    <w:rsid w:val="00EB5A7D"/>
    <w:rsid w:val="00F067CA"/>
    <w:rsid w:val="00F16419"/>
    <w:rsid w:val="00F2296E"/>
    <w:rsid w:val="00F2754C"/>
    <w:rsid w:val="00FA3434"/>
    <w:rsid w:val="00FC19E2"/>
    <w:rsid w:val="00FD0595"/>
    <w:rsid w:val="00FF3A12"/>
    <w:rsid w:val="00FF4B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99BD"/>
  <w15:docId w15:val="{202E13D6-9D18-4B92-AC1C-FCB4ACE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400" w:after="240"/>
      <w:outlineLvl w:val="0"/>
    </w:pPr>
    <w:rPr>
      <w:b/>
      <w:bCs/>
      <w:color w:val="1F3864"/>
      <w:sz w:val="36"/>
      <w:szCs w:val="36"/>
    </w:rPr>
  </w:style>
  <w:style w:type="paragraph" w:styleId="Naslov2">
    <w:name w:val="heading 2"/>
    <w:uiPriority w:val="9"/>
    <w:unhideWhenUsed/>
    <w:qFormat/>
    <w:pPr>
      <w:spacing w:before="300" w:after="160"/>
      <w:outlineLvl w:val="1"/>
    </w:pPr>
    <w:rPr>
      <w:b/>
      <w:bCs/>
      <w:color w:val="2E75B6"/>
      <w:sz w:val="28"/>
      <w:szCs w:val="28"/>
    </w:rPr>
  </w:style>
  <w:style w:type="paragraph" w:styleId="Naslov3">
    <w:name w:val="heading 3"/>
    <w:uiPriority w:val="9"/>
    <w:unhideWhenUsed/>
    <w:qFormat/>
    <w:pPr>
      <w:spacing w:before="200" w:after="120"/>
      <w:outlineLvl w:val="2"/>
    </w:pPr>
    <w:rPr>
      <w:b/>
      <w:bCs/>
      <w:color w:val="1F5C99"/>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link w:val="NaslovZnak"/>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lokbesedila">
    <w:name w:val="Block Text"/>
    <w:qFormat/>
    <w:pPr>
      <w:pBdr>
        <w:left w:val="thick" w:sz="18" w:space="10" w:color="1F5C99"/>
      </w:pBdr>
      <w:spacing w:before="60" w:after="60"/>
      <w:ind w:left="360" w:right="360"/>
      <w:jc w:val="both"/>
    </w:pPr>
    <w:rPr>
      <w:color w:val="666666"/>
      <w:sz w:val="22"/>
      <w:szCs w:val="22"/>
    </w:rPr>
  </w:style>
  <w:style w:type="paragraph" w:customStyle="1" w:styleId="RedBlock">
    <w:name w:val="Red Block"/>
    <w:qFormat/>
    <w:pPr>
      <w:pBdr>
        <w:left w:val="thick" w:sz="18" w:space="10" w:color="C00000"/>
      </w:pBdr>
      <w:spacing w:before="60" w:after="60"/>
      <w:ind w:left="360" w:right="360"/>
      <w:jc w:val="both"/>
    </w:pPr>
    <w:rPr>
      <w:color w:val="C00000"/>
      <w:sz w:val="22"/>
      <w:szCs w:val="22"/>
    </w:rPr>
  </w:style>
  <w:style w:type="paragraph" w:styleId="Kazalovsebine1">
    <w:name w:val="toc 1"/>
    <w:basedOn w:val="Navaden"/>
    <w:next w:val="Navaden"/>
    <w:autoRedefine/>
    <w:uiPriority w:val="39"/>
    <w:unhideWhenUsed/>
    <w:rsid w:val="00D90A18"/>
    <w:pPr>
      <w:spacing w:after="100"/>
    </w:pPr>
  </w:style>
  <w:style w:type="paragraph" w:styleId="Kazalovsebine2">
    <w:name w:val="toc 2"/>
    <w:basedOn w:val="Navaden"/>
    <w:next w:val="Navaden"/>
    <w:autoRedefine/>
    <w:uiPriority w:val="39"/>
    <w:unhideWhenUsed/>
    <w:rsid w:val="00D90A18"/>
    <w:pPr>
      <w:spacing w:after="100"/>
      <w:ind w:left="240"/>
    </w:pPr>
  </w:style>
  <w:style w:type="character" w:customStyle="1" w:styleId="NaslovZnak">
    <w:name w:val="Naslov Znak"/>
    <w:basedOn w:val="Privzetapisavaodstavka"/>
    <w:link w:val="Naslov"/>
    <w:rsid w:val="00D90A18"/>
    <w:rPr>
      <w:sz w:val="56"/>
      <w:szCs w:val="56"/>
    </w:rPr>
  </w:style>
  <w:style w:type="paragraph" w:customStyle="1" w:styleId="Author">
    <w:name w:val="Author"/>
    <w:next w:val="Telobesedila"/>
    <w:qFormat/>
    <w:rsid w:val="00D90A18"/>
    <w:pPr>
      <w:keepNext/>
      <w:keepLines/>
      <w:spacing w:after="200"/>
      <w:jc w:val="center"/>
    </w:pPr>
    <w:rPr>
      <w:rFonts w:asciiTheme="minorHAnsi" w:eastAsiaTheme="minorHAnsi" w:hAnsiTheme="minorHAnsi" w:cstheme="minorBidi"/>
      <w:lang w:val="sl" w:eastAsia="en-US"/>
    </w:rPr>
  </w:style>
  <w:style w:type="paragraph" w:styleId="Datum">
    <w:name w:val="Date"/>
    <w:next w:val="Telobesedila"/>
    <w:link w:val="DatumZnak"/>
    <w:qFormat/>
    <w:rsid w:val="00D90A18"/>
    <w:pPr>
      <w:keepNext/>
      <w:keepLines/>
      <w:spacing w:after="200"/>
      <w:jc w:val="center"/>
    </w:pPr>
    <w:rPr>
      <w:rFonts w:asciiTheme="minorHAnsi" w:eastAsiaTheme="minorHAnsi" w:hAnsiTheme="minorHAnsi" w:cstheme="minorBidi"/>
      <w:lang w:val="sl" w:eastAsia="en-US"/>
    </w:rPr>
  </w:style>
  <w:style w:type="character" w:customStyle="1" w:styleId="DatumZnak">
    <w:name w:val="Datum Znak"/>
    <w:basedOn w:val="Privzetapisavaodstavka"/>
    <w:link w:val="Datum"/>
    <w:rsid w:val="00D90A18"/>
    <w:rPr>
      <w:rFonts w:asciiTheme="minorHAnsi" w:eastAsiaTheme="minorHAnsi" w:hAnsiTheme="minorHAnsi" w:cstheme="minorBidi"/>
      <w:lang w:val="sl" w:eastAsia="en-US"/>
    </w:rPr>
  </w:style>
  <w:style w:type="paragraph" w:styleId="Telobesedila">
    <w:name w:val="Body Text"/>
    <w:basedOn w:val="Navaden"/>
    <w:link w:val="TelobesedilaZnak"/>
    <w:uiPriority w:val="99"/>
    <w:unhideWhenUsed/>
    <w:rsid w:val="00D90A18"/>
    <w:pPr>
      <w:spacing w:after="120"/>
    </w:pPr>
  </w:style>
  <w:style w:type="character" w:customStyle="1" w:styleId="TelobesedilaZnak">
    <w:name w:val="Telo besedila Znak"/>
    <w:basedOn w:val="Privzetapisavaodstavka"/>
    <w:link w:val="Telobesedila"/>
    <w:uiPriority w:val="99"/>
    <w:rsid w:val="00D90A18"/>
  </w:style>
  <w:style w:type="character" w:styleId="Intenzivensklic">
    <w:name w:val="Intense Reference"/>
    <w:basedOn w:val="Privzetapisavaodstavka"/>
    <w:uiPriority w:val="32"/>
    <w:qFormat/>
    <w:rsid w:val="00D90A18"/>
    <w:rPr>
      <w:b/>
      <w:bCs/>
      <w:smallCaps/>
      <w:color w:val="4F81BD" w:themeColor="accent1"/>
      <w:spacing w:val="5"/>
    </w:rPr>
  </w:style>
  <w:style w:type="character" w:customStyle="1" w:styleId="Naslov1Znak">
    <w:name w:val="Naslov 1 Znak"/>
    <w:basedOn w:val="Privzetapisavaodstavka"/>
    <w:link w:val="Naslov1"/>
    <w:uiPriority w:val="9"/>
    <w:rsid w:val="00D90A18"/>
    <w:rPr>
      <w:b/>
      <w:bCs/>
      <w:color w:val="1F3864"/>
      <w:sz w:val="36"/>
      <w:szCs w:val="36"/>
    </w:rPr>
  </w:style>
  <w:style w:type="character" w:styleId="Neenpoudarek">
    <w:name w:val="Subtle Emphasis"/>
    <w:basedOn w:val="Privzetapisavaodstavka"/>
    <w:uiPriority w:val="19"/>
    <w:qFormat/>
    <w:rsid w:val="00D90A18"/>
    <w:rPr>
      <w:i/>
      <w:iCs/>
      <w:color w:val="404040" w:themeColor="text1" w:themeTint="BF"/>
    </w:rPr>
  </w:style>
  <w:style w:type="character" w:styleId="Poudarek">
    <w:name w:val="Emphasis"/>
    <w:basedOn w:val="Privzetapisavaodstavka"/>
    <w:uiPriority w:val="20"/>
    <w:qFormat/>
    <w:rsid w:val="00D90A18"/>
    <w:rPr>
      <w:i/>
      <w:iCs/>
    </w:rPr>
  </w:style>
  <w:style w:type="character" w:styleId="Krepko">
    <w:name w:val="Strong"/>
    <w:basedOn w:val="Privzetapisavaodstavka"/>
    <w:uiPriority w:val="22"/>
    <w:qFormat/>
    <w:rsid w:val="00D90A18"/>
    <w:rPr>
      <w:b/>
      <w:bCs/>
    </w:rPr>
  </w:style>
  <w:style w:type="paragraph" w:styleId="Revizija">
    <w:name w:val="Revision"/>
    <w:hidden/>
    <w:uiPriority w:val="99"/>
    <w:semiHidden/>
    <w:rsid w:val="0013617B"/>
  </w:style>
  <w:style w:type="character" w:styleId="Pripombasklic">
    <w:name w:val="annotation reference"/>
    <w:basedOn w:val="Privzetapisavaodstavka"/>
    <w:uiPriority w:val="99"/>
    <w:semiHidden/>
    <w:unhideWhenUsed/>
    <w:rsid w:val="00EA618C"/>
    <w:rPr>
      <w:sz w:val="16"/>
      <w:szCs w:val="16"/>
    </w:rPr>
  </w:style>
  <w:style w:type="paragraph" w:styleId="Pripombabesedilo">
    <w:name w:val="annotation text"/>
    <w:basedOn w:val="Navaden"/>
    <w:link w:val="PripombabesediloZnak"/>
    <w:uiPriority w:val="99"/>
    <w:semiHidden/>
    <w:unhideWhenUsed/>
    <w:rsid w:val="00EA618C"/>
    <w:rPr>
      <w:sz w:val="20"/>
      <w:szCs w:val="20"/>
    </w:rPr>
  </w:style>
  <w:style w:type="character" w:customStyle="1" w:styleId="PripombabesediloZnak">
    <w:name w:val="Pripomba – besedilo Znak"/>
    <w:basedOn w:val="Privzetapisavaodstavka"/>
    <w:link w:val="Pripombabesedilo"/>
    <w:uiPriority w:val="99"/>
    <w:semiHidden/>
    <w:rsid w:val="00EA618C"/>
    <w:rPr>
      <w:sz w:val="20"/>
      <w:szCs w:val="20"/>
    </w:rPr>
  </w:style>
  <w:style w:type="paragraph" w:styleId="Zadevapripombe">
    <w:name w:val="annotation subject"/>
    <w:basedOn w:val="Pripombabesedilo"/>
    <w:next w:val="Pripombabesedilo"/>
    <w:link w:val="ZadevapripombeZnak"/>
    <w:uiPriority w:val="99"/>
    <w:semiHidden/>
    <w:unhideWhenUsed/>
    <w:rsid w:val="00EA618C"/>
    <w:rPr>
      <w:b/>
      <w:bCs/>
    </w:rPr>
  </w:style>
  <w:style w:type="character" w:customStyle="1" w:styleId="ZadevapripombeZnak">
    <w:name w:val="Zadeva pripombe Znak"/>
    <w:basedOn w:val="PripombabesediloZnak"/>
    <w:link w:val="Zadevapripombe"/>
    <w:uiPriority w:val="99"/>
    <w:semiHidden/>
    <w:rsid w:val="00EA618C"/>
    <w:rPr>
      <w:b/>
      <w:bCs/>
      <w:sz w:val="20"/>
      <w:szCs w:val="20"/>
    </w:rPr>
  </w:style>
  <w:style w:type="paragraph" w:styleId="Glava">
    <w:name w:val="header"/>
    <w:basedOn w:val="Navaden"/>
    <w:link w:val="GlavaZnak"/>
    <w:uiPriority w:val="99"/>
    <w:unhideWhenUsed/>
    <w:rsid w:val="007D30D3"/>
    <w:pPr>
      <w:tabs>
        <w:tab w:val="center" w:pos="4536"/>
        <w:tab w:val="right" w:pos="9072"/>
      </w:tabs>
    </w:pPr>
  </w:style>
  <w:style w:type="character" w:customStyle="1" w:styleId="GlavaZnak">
    <w:name w:val="Glava Znak"/>
    <w:basedOn w:val="Privzetapisavaodstavka"/>
    <w:link w:val="Glava"/>
    <w:uiPriority w:val="99"/>
    <w:rsid w:val="007D30D3"/>
  </w:style>
  <w:style w:type="paragraph" w:styleId="Noga">
    <w:name w:val="footer"/>
    <w:basedOn w:val="Navaden"/>
    <w:link w:val="NogaZnak"/>
    <w:uiPriority w:val="99"/>
    <w:unhideWhenUsed/>
    <w:rsid w:val="007D30D3"/>
    <w:pPr>
      <w:tabs>
        <w:tab w:val="center" w:pos="4536"/>
        <w:tab w:val="right" w:pos="9072"/>
      </w:tabs>
    </w:pPr>
  </w:style>
  <w:style w:type="character" w:customStyle="1" w:styleId="NogaZnak">
    <w:name w:val="Noga Znak"/>
    <w:basedOn w:val="Privzetapisavaodstavka"/>
    <w:link w:val="Noga"/>
    <w:uiPriority w:val="99"/>
    <w:rsid w:val="007D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D50D2A4-60D7-4EFB-AFA4-727AB02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57</Pages>
  <Words>22165</Words>
  <Characters>126344</Characters>
  <Application>Microsoft Office Word</Application>
  <DocSecurity>0</DocSecurity>
  <Lines>1052</Lines>
  <Paragraphs>296</Paragraphs>
  <ScaleCrop>false</ScaleCrop>
  <HeadingPairs>
    <vt:vector size="2" baseType="variant">
      <vt:variant>
        <vt:lpstr>Naslov</vt:lpstr>
      </vt:variant>
      <vt:variant>
        <vt:i4>1</vt:i4>
      </vt:variant>
    </vt:vector>
  </HeadingPairs>
  <TitlesOfParts>
    <vt:vector size="1" baseType="lpstr">
      <vt:lpstr>Priporočila za implementacijo Direktive (EU) 2024/2831 o izboljšanju delovnih pogojev v platformnem delu</vt:lpstr>
    </vt:vector>
  </TitlesOfParts>
  <Company/>
  <LinksUpToDate>false</LinksUpToDate>
  <CharactersWithSpaces>148213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Priporočila za implementacijo Direktive (EU) 2024/2831 o izboljšanju delovnih pogojev v platformnem delu</dc:title>
  <dc:subject>Predajni dokument projekta SDDP (D3.1)</dc:subject>
  <dc:creator>SDDP konzorcij: ZSSS, ETUC, ÖGB, CGIL, UIL</dc:creator>
  <keywords>platformno delo, direktiva, socialni dialog, algoritmično upravljanje, docId:6819F43D4E5F33852AB3B9A407FABB62</keywords>
  <lastModifiedBy>Mladi Plus</lastModifiedBy>
  <revision>86</revision>
  <dcterms:created xsi:type="dcterms:W3CDTF">2026-02-25T00:00:00.0000000Z</dcterms:created>
  <dcterms:modified xsi:type="dcterms:W3CDTF">2026-09-09T10:14:00.0000000Z</dcterms:modified>
</coreProperties>
</file>