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90A18" w:rsidP="00750824" w:rsidRDefault="00D90A18" w14:paraId="5A9BF215" w14:textId="77777777">
      <w:pPr>
        <w:jc w:val="both"/>
      </w:pPr>
    </w:p>
    <w:p w:rsidR="00BD3FB5" w:rsidP="00750824" w:rsidRDefault="00D90A18" w14:paraId="2BA2F456" w14:textId="375C769E">
      <w:pPr>
        <w:pStyle w:val="Naslov"/>
        <w:jc w:val="center"/>
        <w:rPr>
          <w:rStyle w:val="Intenzivensklic"/>
          <w:b w:val="0"/>
          <w:bCs w:val="0"/>
          <w:i/>
          <w:iCs/>
          <w:u w:val="single"/>
        </w:rPr>
      </w:pPr>
      <w:r>
        <w:rPr>
          <w:rStyle w:val="Intenzivensklic"/>
          <w:b w:val="0"/>
          <w:bCs w:val="0"/>
          <w:i/>
          <w:iCs/>
          <w:u w:val="single"/>
        </w:rPr>
        <w:t xml:space="preserve">Zalecenia dotyczące wdrożenia dyrektywy (UE) 2024/2831</w:t>
      </w:r>
    </w:p>
    <w:p w:rsidR="00D90A18" w:rsidP="00750824" w:rsidRDefault="00D90A18" w14:paraId="25843F84" w14:textId="77777777">
      <w:pPr>
        <w:pStyle w:val="Naslov"/>
        <w:jc w:val="center"/>
        <w:rPr>
          <w:rStyle w:val="Intenzivensklic"/>
          <w:b w:val="0"/>
          <w:bCs w:val="0"/>
          <w:i/>
          <w:iCs/>
          <w:u w:val="single"/>
        </w:rPr>
      </w:pPr>
      <w:r>
        <w:rPr>
          <w:rStyle w:val="Intenzivensklic"/>
          <w:b w:val="0"/>
          <w:bCs w:val="0"/>
          <w:i/>
          <w:iCs/>
          <w:u w:val="single"/>
        </w:rPr>
        <w:t xml:space="preserve">w sprawie poprawy warunków pracy w </w:t>
      </w:r>
      <w:r>
        <w:rPr>
          <w:rStyle w:val="Intenzivensklic"/>
          <w:b w:val="0"/>
          <w:bCs w:val="0"/>
          <w:i/>
          <w:iCs/>
          <w:u w:val="single"/>
        </w:rPr>
        <w:t xml:space="preserve">sektorze </w:t>
      </w:r>
      <w:r>
        <w:rPr>
          <w:rStyle w:val="Intenzivensklic"/>
          <w:b w:val="0"/>
          <w:bCs w:val="0"/>
          <w:i/>
          <w:iCs/>
          <w:u w:val="single"/>
        </w:rPr>
        <w:t xml:space="preserve">platformowym</w:t>
      </w:r>
    </w:p>
    <w:p w:rsidRPr="00BD3FB5" w:rsidR="00A60CFC" w:rsidP="00750824" w:rsidRDefault="00A60CFC" w14:paraId="12B3F942" w14:textId="77777777">
      <w:pPr>
        <w:pStyle w:val="Naslov"/>
        <w:jc w:val="center"/>
        <w:rPr>
          <w:rStyle w:val="Intenzivensklic"/>
          <w:b w:val="0"/>
          <w:bCs w:val="0"/>
          <w:i/>
          <w:iCs/>
          <w:u w:val="single"/>
        </w:rPr>
      </w:pPr>
    </w:p>
    <w:p w:rsidRPr="00D90A18" w:rsidR="00D90A18" w:rsidP="00750824" w:rsidRDefault="00D90A18" w14:paraId="5D856E3D" w14:textId="77777777">
      <w:pPr>
        <w:pStyle w:val="Naslov"/>
        <w:jc w:val="center"/>
        <w:rPr>
          <w:rStyle w:val="Intenzivensklic"/>
        </w:rPr>
      </w:pPr>
    </w:p>
    <w:p w:rsidR="00D90A18" w:rsidP="00750824" w:rsidRDefault="00D90A18" w14:paraId="62E2F858" w14:textId="3725485B">
      <w:pPr>
        <w:pStyle w:val="Author"/>
      </w:pPr>
      <w:r>
        <w:t xml:space="preserve">Konsorcjum SDDP </w:t>
      </w:r>
      <w:r w:rsidR="00D7386B">
        <w:t xml:space="preserve">– </w:t>
      </w:r>
      <w:r>
        <w:t xml:space="preserve">ZSSS, ÖGB, CGIL, OPZZ, ABVV-FTB, we współpracy z ETUC</w:t>
      </w:r>
    </w:p>
    <w:p w:rsidR="00D90A18" w:rsidP="00750824" w:rsidRDefault="00D90A18" w14:paraId="2C3A4E1A" w14:textId="5D40D7A6">
      <w:pPr>
        <w:pStyle w:val="Datum"/>
      </w:pPr>
      <w:r>
        <w:t xml:space="preserve">Luty 2026</w:t>
      </w:r>
    </w:p>
    <w:p w:rsidR="00A60CFC" w:rsidP="00750824" w:rsidRDefault="00A60CFC" w14:paraId="4DEA4B84" w14:textId="77777777">
      <w:pPr>
        <w:pStyle w:val="Telobesedila"/>
        <w:jc w:val="both"/>
        <w:rPr>
          <w:lang w:val="sl" w:eastAsia="en-US"/>
        </w:rPr>
      </w:pPr>
    </w:p>
    <w:p w:rsidR="00A60CFC" w:rsidP="00750824" w:rsidRDefault="00A60CFC" w14:paraId="69341DEF" w14:textId="77777777">
      <w:pPr>
        <w:pStyle w:val="Telobesedila"/>
        <w:jc w:val="both"/>
        <w:rPr>
          <w:lang w:val="sl" w:eastAsia="en-US"/>
        </w:rPr>
      </w:pPr>
    </w:p>
    <w:p w:rsidRPr="00A60CFC" w:rsidR="00A60CFC" w:rsidP="00750824" w:rsidRDefault="00A60CFC" w14:paraId="6DCAF6C0" w14:textId="77777777">
      <w:pPr>
        <w:pStyle w:val="Telobesedila"/>
        <w:jc w:val="both"/>
        <w:rPr>
          <w:lang w:val="sl" w:eastAsia="en-US"/>
        </w:rPr>
      </w:pPr>
    </w:p>
    <w:p w:rsidR="00D90A18" w:rsidP="00750824" w:rsidRDefault="00D90A18" w14:paraId="53D301A7" w14:textId="77777777">
      <w:pPr>
        <w:pStyle w:val="Telobesedila"/>
        <w:jc w:val="both"/>
        <w:rPr>
          <w:lang w:val="sl" w:eastAsia="en-US"/>
        </w:rPr>
      </w:pPr>
    </w:p>
    <w:p w:rsidR="00D90A18" w:rsidP="00750824" w:rsidRDefault="00D90A18" w14:paraId="60F34513" w14:textId="77777777">
      <w:pPr>
        <w:pStyle w:val="Naslov1"/>
        <w:jc w:val="both"/>
      </w:pPr>
      <w:bookmarkStart w:name="_Toc233699476" w:id="0"/>
      <w:r>
        <w:t xml:space="preserve">Streszczenie</w:t>
      </w:r>
      <w:bookmarkEnd w:id="0"/>
    </w:p>
    <w:p w:rsidR="00FC19E2" w:rsidP="00750824" w:rsidRDefault="00000000" w14:paraId="6FADC8D5" w14:textId="7889377D">
      <w:pPr>
        <w:jc w:val="both"/>
      </w:pPr>
      <w:r>
        <w:t xml:space="preserve">Niniejszy dokument zawiera zalecenia dotyczące transpozycji dyrektywy (UE) 2024/2831 </w:t>
      </w:r>
      <w:r w:rsidR="0013617B">
        <w:t xml:space="preserve">(zwanej dalej „dyrektywą”) </w:t>
      </w:r>
      <w:r>
        <w:t xml:space="preserve">w sprawie poprawy warunków pracy w </w:t>
      </w:r>
      <w:r>
        <w:t xml:space="preserve">sektorze </w:t>
      </w:r>
      <w:r>
        <w:t xml:space="preserve">platformowym </w:t>
      </w:r>
      <w:r>
        <w:t xml:space="preserve">do ustawodawstwa krajowego państw członkowskich UE. Zalecenia zostały opracowane przez konsorcjum </w:t>
      </w:r>
      <w:r w:rsidR="0013617B">
        <w:t xml:space="preserve">projektu </w:t>
      </w:r>
      <w:r w:rsidR="00DB0B6E">
        <w:t xml:space="preserve">„Establishing </w:t>
      </w:r>
      <w:r w:rsidR="00DB0B6E">
        <w:t xml:space="preserve">and </w:t>
      </w:r>
      <w:r w:rsidR="00DB0B6E">
        <w:t xml:space="preserve">Strengthening </w:t>
      </w:r>
      <w:r w:rsidR="00DB0B6E">
        <w:t xml:space="preserve">Social </w:t>
      </w:r>
      <w:r w:rsidR="00DB0B6E">
        <w:t xml:space="preserve">Dialogue </w:t>
      </w:r>
      <w:r w:rsidR="00DB0B6E">
        <w:t xml:space="preserve">in </w:t>
      </w:r>
      <w:r w:rsidR="00DB0B6E">
        <w:t xml:space="preserve">Digital </w:t>
      </w:r>
      <w:r w:rsidR="00DB0B6E">
        <w:t xml:space="preserve">Platforms” </w:t>
      </w:r>
      <w:r w:rsidR="0013617B">
        <w:t xml:space="preserve">(</w:t>
      </w:r>
      <w:r>
        <w:t xml:space="preserve">SDDP</w:t>
      </w:r>
      <w:r w:rsidR="0013617B">
        <w:t xml:space="preserve">) </w:t>
      </w:r>
      <w:r>
        <w:t xml:space="preserve">(ZSSS, ÖGB, CGIL, OPZZ, ABVV-FTB, we współpracy z ETUC) w oparciu o </w:t>
      </w:r>
      <w:r w:rsidR="0013617B">
        <w:t xml:space="preserve">dwuletni </w:t>
      </w:r>
      <w:r>
        <w:t xml:space="preserve">projekt </w:t>
      </w:r>
      <w:r w:rsidR="0013617B">
        <w:t xml:space="preserve">realizowany </w:t>
      </w:r>
      <w:r>
        <w:t xml:space="preserve">w pięciu krajach partnerskich (Słowenia, Austria, Włochy, Belgia, Polska). Dokument obejmuje dziesięć rozdziałów tematycznych: zakres i definicje, prawne domniemanie </w:t>
      </w:r>
      <w:r w:rsidR="00CF3B80">
        <w:t xml:space="preserve">zatrudnienia </w:t>
      </w:r>
      <w:r>
        <w:t xml:space="preserve">(</w:t>
      </w:r>
      <w:r>
        <w:t xml:space="preserve">„legal </w:t>
      </w:r>
      <w:r>
        <w:t xml:space="preserve">presumption </w:t>
      </w:r>
      <w:r>
        <w:t xml:space="preserve">of </w:t>
      </w:r>
      <w:r w:rsidR="0013617B">
        <w:t xml:space="preserve">employment”</w:t>
      </w:r>
      <w:r>
        <w:t xml:space="preserve">), zarządzanie algorytmiczne (</w:t>
      </w:r>
      <w:r>
        <w:t xml:space="preserve">„algorithmic </w:t>
      </w:r>
      <w:r>
        <w:t xml:space="preserve">management </w:t>
      </w:r>
      <w:r w:rsidR="0013617B">
        <w:t xml:space="preserve">(AM)”</w:t>
      </w:r>
      <w:r>
        <w:t xml:space="preserve">), ochrona </w:t>
      </w:r>
      <w:r>
        <w:t xml:space="preserve">danych</w:t>
      </w:r>
      <w:r w:rsidR="0013617B">
        <w:t xml:space="preserve"> osobowych </w:t>
      </w:r>
      <w:r>
        <w:t xml:space="preserve">i prywatności, prawa zbiorowe i dialog społeczny, wdrażanie dyrektywy, szerszy zakres stosowania oraz wyzwania związane z wdrożeniem.</w:t>
      </w:r>
      <w:r w:rsidR="0013617B">
        <w:t xml:space="preserve"> Termin transpozycji do prawa krajowego upływa 2 grudnia 2026 r.</w:t>
      </w:r>
    </w:p>
    <w:p w:rsidR="00A60CFC" w:rsidP="00750824" w:rsidRDefault="00A60CFC" w14:paraId="7F54D8C2" w14:textId="77777777">
      <w:pPr>
        <w:jc w:val="both"/>
      </w:pPr>
    </w:p>
    <w:p w:rsidR="00750824" w:rsidP="00750824" w:rsidRDefault="00000000" w14:paraId="78FE98E6" w14:textId="2F072ADA">
      <w:pPr>
        <w:jc w:val="both"/>
      </w:pPr>
      <w:r>
        <w:t xml:space="preserve">Motywem przewodnim dokumentu jest dialog społeczny jako pomost między przyjęciem dyrektywy a jej faktycznym wdrożeniem. Pięć kluczowych elementów, bez których transpozycja nie pozwoli osiągnąć celu dyrektywy</w:t>
      </w:r>
      <w:r w:rsidR="0013617B">
        <w:t xml:space="preserve">, to</w:t>
      </w:r>
      <w:r>
        <w:t xml:space="preserve">: (1) prawne domniemanie </w:t>
      </w:r>
      <w:r w:rsidR="00CF3B80">
        <w:t xml:space="preserve">zatrudnienia </w:t>
      </w:r>
      <w:r>
        <w:t xml:space="preserve">bez dodatkowych kryteriów; (2) wzmocnione inspektoraty pracy (</w:t>
      </w:r>
      <w:r>
        <w:t xml:space="preserve">„labour </w:t>
      </w:r>
      <w:r w:rsidR="0013617B">
        <w:t xml:space="preserve">inspectorates”</w:t>
      </w:r>
      <w:r>
        <w:t xml:space="preserve">) z dostępem do systemów algorytmicznych w </w:t>
      </w:r>
      <w:r>
        <w:t xml:space="preserve">czasie</w:t>
      </w:r>
      <w:r w:rsidR="0013617B">
        <w:t xml:space="preserve"> rzeczywistym</w:t>
      </w:r>
      <w:r>
        <w:t xml:space="preserve">; (3) mechanizm tymczasowej ochrony zbiorowej na czas postępowania w sprawie ustalenia statusu zatrudnienia; (4) obowiązkowa </w:t>
      </w:r>
      <w:r>
        <w:t xml:space="preserve">odpowiedzialność </w:t>
      </w:r>
      <w:r w:rsidR="00A25A76">
        <w:t xml:space="preserve">solidarna </w:t>
      </w:r>
      <w:r>
        <w:t xml:space="preserve">(</w:t>
      </w:r>
      <w:r>
        <w:t xml:space="preserve">„joint </w:t>
      </w:r>
      <w:r w:rsidR="0013617B">
        <w:t xml:space="preserve">liability”</w:t>
      </w:r>
      <w:r>
        <w:t xml:space="preserve">) platform za zobowiązania podwykonawców i pośredników; (5) zbiorowe postępowania w celu dochodzenia praw bez indywidualnej zgody poszczególnych pracowników. </w:t>
      </w:r>
    </w:p>
    <w:p w:rsidR="009B7FA3" w:rsidP="00750824" w:rsidRDefault="00000000" w14:paraId="00CC0001" w14:textId="4B261084">
      <w:pPr>
        <w:pStyle w:val="Naslov1"/>
        <w:jc w:val="both"/>
      </w:pPr>
      <w:bookmarkStart w:name="_Toc233699477" w:id="1"/>
      <w:r>
        <w:lastRenderedPageBreak/>
      </w:r>
      <w:r>
        <w:t xml:space="preserve">10 kluczowych zaleceń</w:t>
      </w:r>
      <w:bookmarkEnd w:id="1"/>
    </w:p>
    <w:p w:rsidR="009B7FA3" w:rsidP="00750824" w:rsidRDefault="00000000" w14:paraId="00CC0002" w14:textId="7D23F4BB">
      <w:pPr>
        <w:pStyle w:val="Telobesedila"/>
        <w:jc w:val="both"/>
      </w:pPr>
      <w:r>
        <w:t xml:space="preserve">Niniejszy dokument zawiera 44 zalecenia podzielone na dziesięć rozdziałów tematycznych. Poniższa lista zawiera </w:t>
      </w:r>
      <w:r>
        <w:t xml:space="preserve">dziesięć</w:t>
      </w:r>
      <w:r w:rsidR="0013617B">
        <w:t xml:space="preserve"> kluczowych zaleceń</w:t>
      </w:r>
      <w:r>
        <w:t xml:space="preserve">, bez których transpozycja dyrektywy nie osiągnie swojego celu </w:t>
      </w:r>
      <w:r w:rsidR="00D7386B">
        <w:t xml:space="preserve">– </w:t>
      </w:r>
      <w:r>
        <w:t xml:space="preserve">niezależnie od tego, jak </w:t>
      </w:r>
      <w:r w:rsidR="0013617B">
        <w:t xml:space="preserve">odpowiedni </w:t>
      </w:r>
      <w:r>
        <w:t xml:space="preserve">będzie tekst ustawy. Są to zalecenia, które wypełniają największe luki strukturalne między treścią dyrektywy a jej stosowaniem </w:t>
      </w:r>
      <w:r w:rsidR="0013617B">
        <w:t xml:space="preserve">w praktyce</w:t>
      </w:r>
      <w:r>
        <w:t xml:space="preserve">. Każde z nich zostało szczegółowo wyjaśnione w odpowiednim rozdziale.</w:t>
      </w:r>
    </w:p>
    <w:p w:rsidR="009B7FA3" w:rsidP="00750824" w:rsidRDefault="009B7FA3" w14:paraId="00CC0003" w14:textId="77777777">
      <w:pPr>
        <w:jc w:val="both"/>
      </w:pPr>
    </w:p>
    <w:p w:rsidR="009B7FA3" w:rsidP="00750824" w:rsidRDefault="00000000" w14:paraId="00CC0010" w14:textId="7E5E0AD7">
      <w:pPr>
        <w:pStyle w:val="Naslov3"/>
        <w:jc w:val="both"/>
      </w:pPr>
      <w:r>
        <w:t xml:space="preserve">1. Domniemanie prawne </w:t>
      </w:r>
      <w:r w:rsidR="00CF3B80">
        <w:t xml:space="preserve">zatrudnienia </w:t>
      </w:r>
      <w:r>
        <w:t xml:space="preserve">bez dodatkowych kryteriów (Zalecenie 3.1)</w:t>
      </w:r>
    </w:p>
    <w:p w:rsidR="009B7FA3" w:rsidP="00750824" w:rsidRDefault="0013617B" w14:paraId="00CC0011" w14:textId="7B05AD2F">
      <w:pPr>
        <w:pStyle w:val="Telobesedila"/>
        <w:jc w:val="both"/>
      </w:pPr>
      <w:r>
        <w:t xml:space="preserve">Prawny domniemanie </w:t>
      </w:r>
      <w:r w:rsidR="00CF3B80">
        <w:t xml:space="preserve">zatrudnienia </w:t>
      </w:r>
      <w:r>
        <w:t xml:space="preserve">stanowi podstawę, na której opiera się dyrektywa. </w:t>
      </w:r>
      <w:r>
        <w:t xml:space="preserve">Przepisy krajowe nie mogą wymagać spełnienia dodatkowych kryteriów; wystarczy jeden tzw. wskaźnik faktyczny, ponieważ dyrektywa opiera się na nadrzędności faktów (</w:t>
      </w:r>
      <w:r>
        <w:t xml:space="preserve">„primacy </w:t>
      </w:r>
      <w:r>
        <w:t xml:space="preserve">of </w:t>
      </w:r>
      <w:r>
        <w:t xml:space="preserve">facts”). </w:t>
      </w:r>
      <w:r w:rsidR="00D7386B">
        <w:t xml:space="preserve">Jeśli faktem jest, że pracownik podlega nadzorowi i otrzymuje polecenia, to wystarcza to do wszczęcia postępowania w </w:t>
      </w:r>
      <w:r w:rsidR="00CF3B80">
        <w:t xml:space="preserve">sprawie</w:t>
      </w:r>
      <w:r w:rsidR="00D7386B">
        <w:t xml:space="preserve"> uznania </w:t>
      </w:r>
      <w:r w:rsidR="00CF3B80">
        <w:t xml:space="preserve">stosunku pracy</w:t>
      </w:r>
      <w:r w:rsidR="00D7386B">
        <w:t xml:space="preserve">. Wszelkie dodatkowe kryteria umożliwią platformom wybieranie drogi niejasności i postępowań sądowych zamiast przestrzegania dyrektywy. </w:t>
      </w:r>
    </w:p>
    <w:p w:rsidR="009B7FA3" w:rsidP="00750824" w:rsidRDefault="009B7FA3" w14:paraId="00CC0012" w14:textId="77777777">
      <w:pPr>
        <w:jc w:val="both"/>
      </w:pPr>
    </w:p>
    <w:p w:rsidR="009B7FA3" w:rsidP="00750824" w:rsidRDefault="00000000" w14:paraId="00CC0020" w14:textId="03CB63AC">
      <w:pPr>
        <w:pStyle w:val="Naslov3"/>
        <w:jc w:val="both"/>
      </w:pPr>
      <w:r>
        <w:t xml:space="preserve">2. Inspektorat jako </w:t>
      </w:r>
      <w:r w:rsidR="00D7386B">
        <w:t xml:space="preserve">podstawowa </w:t>
      </w:r>
      <w:r>
        <w:t xml:space="preserve">droga </w:t>
      </w:r>
      <w:r w:rsidR="00D7386B">
        <w:t xml:space="preserve">– </w:t>
      </w:r>
      <w:r>
        <w:t xml:space="preserve">a nie sąd (Zalecenie 3.2)</w:t>
      </w:r>
    </w:p>
    <w:p w:rsidR="009B7FA3" w:rsidP="00750824" w:rsidRDefault="00000000" w14:paraId="00CC0021" w14:textId="793F41BE">
      <w:pPr>
        <w:pStyle w:val="Telobesedila"/>
        <w:jc w:val="both"/>
      </w:pPr>
      <w:r>
        <w:t xml:space="preserve">Ustalenie statusu prawnego w zakresie prawa pracy musi być możliwe w ramach postępowania administracyjnego przed inspektoratem pracy (</w:t>
      </w:r>
      <w:r>
        <w:t xml:space="preserve">„labour </w:t>
      </w:r>
      <w:r w:rsidR="00D7386B">
        <w:t xml:space="preserve">inspectorate”</w:t>
      </w:r>
      <w:r>
        <w:t xml:space="preserve">) </w:t>
      </w:r>
      <w:r w:rsidR="00D7386B">
        <w:t xml:space="preserve">– </w:t>
      </w:r>
      <w:r>
        <w:t xml:space="preserve">szybko, w przystępny sposób i bez ponoszenia przez pracownika kosztów z góry. Pracownik zmuszony do długotrwałej procedury sądowej już przegrał tę walkę, niezależnie od jej wyniku.</w:t>
      </w:r>
    </w:p>
    <w:p w:rsidR="009B7FA3" w:rsidP="00750824" w:rsidRDefault="009B7FA3" w14:paraId="00CC0022" w14:textId="77777777">
      <w:pPr>
        <w:jc w:val="both"/>
      </w:pPr>
    </w:p>
    <w:p w:rsidR="009B7FA3" w:rsidP="00750824" w:rsidRDefault="00000000" w14:paraId="00CC0030" w14:textId="1FD00F05">
      <w:pPr>
        <w:pStyle w:val="Naslov3"/>
        <w:jc w:val="both"/>
      </w:pPr>
      <w:r>
        <w:t xml:space="preserve">3. Tymczasowa ochrona zbiorowa w trakcie kwestionowania </w:t>
      </w:r>
      <w:r w:rsidR="00CF3B80">
        <w:t xml:space="preserve">stosunku pracy </w:t>
      </w:r>
      <w:r>
        <w:t xml:space="preserve">(zalecenie 6.5)</w:t>
      </w:r>
    </w:p>
    <w:p w:rsidR="009B7FA3" w:rsidP="00750824" w:rsidRDefault="00000000" w14:paraId="00CC0031" w14:textId="599C4D71">
      <w:pPr>
        <w:pStyle w:val="Telobesedila"/>
        <w:jc w:val="both"/>
      </w:pPr>
      <w:r>
        <w:t xml:space="preserve">Gdy inspektorat stwierdzi, że platforma jest pracodawcą, platforma </w:t>
      </w:r>
      <w:r w:rsidR="00D7386B">
        <w:t xml:space="preserve">może </w:t>
      </w:r>
      <w:r>
        <w:t xml:space="preserve">to </w:t>
      </w:r>
      <w:r>
        <w:t xml:space="preserve">zaskarżyć w sądzie. </w:t>
      </w:r>
      <w:r w:rsidR="00D7386B">
        <w:t xml:space="preserve">Postępowania sądowe w większości krajów </w:t>
      </w:r>
      <w:r>
        <w:t xml:space="preserve">trwają latami. W tym czasie </w:t>
      </w:r>
      <w:r w:rsidR="00D7386B">
        <w:t xml:space="preserve">pracownicy </w:t>
      </w:r>
      <w:r>
        <w:t xml:space="preserve">nie mogą pozostać bez ochrony: wynagrodzenia i składki </w:t>
      </w:r>
      <w:r w:rsidR="00D7386B">
        <w:t xml:space="preserve">muszą być wypłacane zgodnie z przepisami określającymi prawa wynikające ze </w:t>
      </w:r>
      <w:r w:rsidR="00CF3B80">
        <w:t xml:space="preserve">stosunku pracy</w:t>
      </w:r>
      <w:r>
        <w:t xml:space="preserve">, dopóki sąd nie postanowi inaczej. Ryzyko błędnego orzeczenia ponosi państwo </w:t>
      </w:r>
      <w:r w:rsidR="00D7386B">
        <w:t xml:space="preserve">– </w:t>
      </w:r>
      <w:r>
        <w:t xml:space="preserve">a nie pracownik. Bez tego mechanizmu każde domniemanie prawne jest jedynie </w:t>
      </w:r>
      <w:r w:rsidR="00D7386B">
        <w:t xml:space="preserve">martwą literą na papierze.</w:t>
      </w:r>
    </w:p>
    <w:p w:rsidR="009B7FA3" w:rsidP="00750824" w:rsidRDefault="009B7FA3" w14:paraId="00CC0032" w14:textId="77777777">
      <w:pPr>
        <w:jc w:val="both"/>
      </w:pPr>
    </w:p>
    <w:p w:rsidR="009B7FA3" w:rsidP="00750824" w:rsidRDefault="00000000" w14:paraId="00CC0040" w14:textId="3E6E5823">
      <w:pPr>
        <w:pStyle w:val="Naslov3"/>
        <w:jc w:val="both"/>
      </w:pPr>
      <w:r>
        <w:t xml:space="preserve">4. Wnoszenie roszczeń zbiorowych bez indywidualnej zgody (zalecenie 3.5)</w:t>
      </w:r>
    </w:p>
    <w:p w:rsidR="009B7FA3" w:rsidP="00750824" w:rsidRDefault="00000000" w14:paraId="00CC0041" w14:textId="27EB57C4">
      <w:pPr>
        <w:pStyle w:val="Telobesedila"/>
        <w:jc w:val="both"/>
      </w:pPr>
      <w:r>
        <w:t xml:space="preserve">Związek zawodowy musi </w:t>
      </w:r>
      <w:r w:rsidR="00D7386B">
        <w:t xml:space="preserve">mieć możliwość </w:t>
      </w:r>
      <w:r>
        <w:t xml:space="preserve">wszczęcia postępowania w sprawie ustalenia </w:t>
      </w:r>
      <w:r>
        <w:t xml:space="preserve">statusu </w:t>
      </w:r>
      <w:r w:rsidR="00D7386B">
        <w:t xml:space="preserve">prawnego pracownika </w:t>
      </w:r>
      <w:r>
        <w:t xml:space="preserve">lub dochodzenia naruszenia dyrektywy w imieniu grupy pracowników </w:t>
      </w:r>
      <w:r w:rsidR="00D7386B">
        <w:t xml:space="preserve">– </w:t>
      </w:r>
      <w:r>
        <w:t xml:space="preserve">bez obowiązku uzyskania pisemnej zgody każdej osoby z osobna. </w:t>
      </w:r>
      <w:r>
        <w:t xml:space="preserve">Pracownicy </w:t>
      </w:r>
      <w:r>
        <w:t xml:space="preserve">platformowi</w:t>
      </w:r>
      <w:r>
        <w:t xml:space="preserve">, którzy obawiają się </w:t>
      </w:r>
      <w:r>
        <w:t xml:space="preserve">dezaktywacji </w:t>
      </w:r>
      <w:r>
        <w:t xml:space="preserve">konta </w:t>
      </w:r>
      <w:r w:rsidR="00D7386B">
        <w:t xml:space="preserve">i wynikającej z tego utraty pracy</w:t>
      </w:r>
      <w:r>
        <w:t xml:space="preserve">, nie </w:t>
      </w:r>
      <w:r w:rsidR="00D7386B">
        <w:t xml:space="preserve">będą podpisywać skarg ani zgód na wszczęcie postępowań</w:t>
      </w:r>
      <w:r>
        <w:t xml:space="preserve">. Indywidualność jako warunek proceduralny </w:t>
      </w:r>
      <w:r w:rsidR="00D7386B">
        <w:t xml:space="preserve">nie stanowi ochrony, a jedynie mechanizm pozwalający platformom na unikanie odpowiedzialności. </w:t>
      </w:r>
    </w:p>
    <w:p w:rsidR="009B7FA3" w:rsidP="00750824" w:rsidRDefault="009B7FA3" w14:paraId="00CC0042" w14:textId="77777777">
      <w:pPr>
        <w:jc w:val="both"/>
      </w:pPr>
    </w:p>
    <w:p w:rsidR="009B7FA3" w:rsidP="00750824" w:rsidRDefault="00000000" w14:paraId="00CC0050" w14:textId="225BD1D1">
      <w:pPr>
        <w:pStyle w:val="Naslov3"/>
        <w:jc w:val="both"/>
      </w:pPr>
      <w:r>
        <w:t xml:space="preserve">5. </w:t>
      </w:r>
      <w:r>
        <w:t xml:space="preserve">Odpowiedzialność </w:t>
      </w:r>
      <w:r w:rsidR="00A25A76">
        <w:t xml:space="preserve">solidarna </w:t>
      </w:r>
      <w:r>
        <w:t xml:space="preserve">jako obowiązek, a nie </w:t>
      </w:r>
      <w:r w:rsidR="00061B6E">
        <w:t xml:space="preserve">opcja </w:t>
      </w:r>
      <w:r>
        <w:t xml:space="preserve">(Zalecenie 3.4)</w:t>
      </w:r>
    </w:p>
    <w:p w:rsidR="009B7FA3" w:rsidP="00750824" w:rsidRDefault="00000000" w14:paraId="00CC0051" w14:textId="56E3F0B5">
      <w:pPr>
        <w:pStyle w:val="Telobesedila"/>
        <w:jc w:val="both"/>
      </w:pPr>
      <w:r>
        <w:lastRenderedPageBreak/>
      </w:r>
      <w:r>
        <w:t xml:space="preserve">Sformułowanie dyrektywy </w:t>
      </w:r>
      <w:r w:rsidR="00792F1C">
        <w:t xml:space="preserve">„</w:t>
      </w:r>
      <w:r>
        <w:t xml:space="preserve">w stosownych </w:t>
      </w:r>
      <w:r w:rsidR="00792F1C">
        <w:t xml:space="preserve">przypadkach” </w:t>
      </w:r>
      <w:r w:rsidR="00061B6E">
        <w:t xml:space="preserve">musi stanowić </w:t>
      </w:r>
      <w:r>
        <w:t xml:space="preserve">minimalny standard, a nie ograniczenie </w:t>
      </w:r>
      <w:r w:rsidR="00061B6E">
        <w:t xml:space="preserve">przy wdrażaniu</w:t>
      </w:r>
      <w:r>
        <w:t xml:space="preserve">. </w:t>
      </w:r>
      <w:r>
        <w:t xml:space="preserve">Odpowiedzialność </w:t>
      </w:r>
      <w:r w:rsidR="00A25A76">
        <w:t xml:space="preserve">solidarna </w:t>
      </w:r>
      <w:r>
        <w:t xml:space="preserve">(</w:t>
      </w:r>
      <w:r>
        <w:t xml:space="preserve">„joint </w:t>
      </w:r>
      <w:r w:rsidR="00061B6E">
        <w:t xml:space="preserve">liability”</w:t>
      </w:r>
      <w:r>
        <w:t xml:space="preserve">) platformy za </w:t>
      </w:r>
      <w:r w:rsidR="00061B6E">
        <w:t xml:space="preserve">wypłatę </w:t>
      </w:r>
      <w:r>
        <w:t xml:space="preserve">wynagrodzeń, </w:t>
      </w:r>
      <w:r w:rsidR="00061B6E">
        <w:t xml:space="preserve">opłacanie składek </w:t>
      </w:r>
      <w:r>
        <w:t xml:space="preserve">i </w:t>
      </w:r>
      <w:r w:rsidR="00061B6E">
        <w:t xml:space="preserve">zapewnienie praw pracownikom </w:t>
      </w:r>
      <w:r>
        <w:t xml:space="preserve">w całym</w:t>
      </w:r>
      <w:r>
        <w:t xml:space="preserve"> łańcuchu </w:t>
      </w:r>
      <w:r>
        <w:t xml:space="preserve">podwykonawczym</w:t>
      </w:r>
      <w:r w:rsidR="00061B6E">
        <w:t xml:space="preserve">, z którego korzysta platforma, </w:t>
      </w:r>
      <w:r>
        <w:t xml:space="preserve">musi być obowiązkowym przepisem prawa </w:t>
      </w:r>
      <w:r w:rsidR="00D7386B">
        <w:t xml:space="preserve">– </w:t>
      </w:r>
      <w:r>
        <w:t xml:space="preserve">a nie kwestią uznaniową. System flotowy (</w:t>
      </w:r>
      <w:r>
        <w:t xml:space="preserve">„fleet </w:t>
      </w:r>
      <w:r w:rsidR="00061B6E">
        <w:t xml:space="preserve">system”</w:t>
      </w:r>
      <w:r>
        <w:t xml:space="preserve">) i firmy-przykrywki (</w:t>
      </w:r>
      <w:r>
        <w:t xml:space="preserve">„shell </w:t>
      </w:r>
      <w:r w:rsidR="00061B6E">
        <w:t xml:space="preserve">companies”</w:t>
      </w:r>
      <w:r>
        <w:t xml:space="preserve">) są obecnie głównymi narzędziami unikania obowiązków</w:t>
      </w:r>
      <w:r w:rsidR="00061B6E">
        <w:t xml:space="preserve">.</w:t>
      </w:r>
    </w:p>
    <w:p w:rsidR="009B7FA3" w:rsidP="00750824" w:rsidRDefault="009B7FA3" w14:paraId="00CC0052" w14:textId="77777777">
      <w:pPr>
        <w:jc w:val="both"/>
      </w:pPr>
    </w:p>
    <w:p w:rsidR="009B7FA3" w:rsidP="00750824" w:rsidRDefault="00000000" w14:paraId="00CC0060" w14:textId="1CBE7E42">
      <w:pPr>
        <w:pStyle w:val="Naslov3"/>
        <w:jc w:val="both"/>
      </w:pPr>
      <w:r>
        <w:t xml:space="preserve">6. Kary powiązane z przychodami, a nie z abstrakcyjną kwotą maksymalną (Zalecenie 7.1)</w:t>
      </w:r>
    </w:p>
    <w:p w:rsidR="009B7FA3" w:rsidP="00750824" w:rsidRDefault="00000000" w14:paraId="00CC0061" w14:textId="33764FDC">
      <w:pPr>
        <w:pStyle w:val="Telobesedila"/>
        <w:jc w:val="both"/>
      </w:pPr>
      <w:r>
        <w:t xml:space="preserve">Stały, ustawowy limit grzywny (np. 50 000</w:t>
      </w:r>
      <w:r w:rsidR="00061B6E">
        <w:t xml:space="preserve">,00 </w:t>
      </w:r>
      <w:r>
        <w:t xml:space="preserve">EUR) stanowi dla platformy osiągającej miliardowe przychody </w:t>
      </w:r>
      <w:r>
        <w:t xml:space="preserve">groźbę </w:t>
      </w:r>
      <w:r>
        <w:t xml:space="preserve">pozbawioną wiarygodności</w:t>
      </w:r>
      <w:r>
        <w:t xml:space="preserve">. Kary muszą być obliczane jako procent rocznych przychodów platformy w danym kraju: 2% za naruszenia związane z zarządzaniem algorytmicznym, 4% za naruszenia </w:t>
      </w:r>
      <w:r w:rsidR="00061B6E">
        <w:t xml:space="preserve">dotyczące </w:t>
      </w:r>
      <w:r w:rsidR="00061B6E">
        <w:t xml:space="preserve">statusu</w:t>
      </w:r>
      <w:r w:rsidR="00061B6E">
        <w:t xml:space="preserve"> prawnego pracowników</w:t>
      </w:r>
      <w:r>
        <w:t xml:space="preserve">, do 6% za systemowe, powtarzające się naruszenia. Tylko </w:t>
      </w:r>
      <w:r w:rsidR="00061B6E">
        <w:t xml:space="preserve">w takim przypadku kary będą </w:t>
      </w:r>
      <w:r w:rsidR="00061B6E">
        <w:t xml:space="preserve">spełniać </w:t>
      </w:r>
      <w:r>
        <w:t xml:space="preserve">swoją funkcję </w:t>
      </w:r>
      <w:r w:rsidR="00061B6E">
        <w:t xml:space="preserve">odstraszającą przed naruszeniami</w:t>
      </w:r>
      <w:r>
        <w:t xml:space="preserve">.</w:t>
      </w:r>
    </w:p>
    <w:p w:rsidR="009B7FA3" w:rsidP="00750824" w:rsidRDefault="009B7FA3" w14:paraId="00CC0062" w14:textId="77777777">
      <w:pPr>
        <w:jc w:val="both"/>
      </w:pPr>
    </w:p>
    <w:p w:rsidR="009B7FA3" w:rsidP="00750824" w:rsidRDefault="00000000" w14:paraId="00CC0070" w14:textId="20DE727E">
      <w:pPr>
        <w:pStyle w:val="Naslov3"/>
        <w:jc w:val="both"/>
      </w:pPr>
      <w:r>
        <w:t xml:space="preserve">7. Rzeczywista kontrola przez człowieka </w:t>
      </w:r>
      <w:r w:rsidR="00D7386B">
        <w:t xml:space="preserve">– a </w:t>
      </w:r>
      <w:r>
        <w:t xml:space="preserve">nie zatwierdzanie przez algorytm (zalecenie 5.4)</w:t>
      </w:r>
    </w:p>
    <w:p w:rsidR="009B7FA3" w:rsidP="00750824" w:rsidRDefault="00000000" w14:paraId="00CC0071" w14:textId="2CA944E4">
      <w:pPr>
        <w:pStyle w:val="Telobesedila"/>
        <w:jc w:val="both"/>
      </w:pPr>
      <w:r>
        <w:t xml:space="preserve">Ustawa musi określać, że przegląd zgodnie z art. 11 </w:t>
      </w:r>
      <w:r w:rsidR="00084394">
        <w:t xml:space="preserve">dyrektywy </w:t>
      </w:r>
      <w:r>
        <w:t xml:space="preserve">nie jest </w:t>
      </w:r>
      <w:r w:rsidR="00084394">
        <w:t xml:space="preserve">jedynie formalną </w:t>
      </w:r>
      <w:r>
        <w:t xml:space="preserve">procedurą, w ramach której </w:t>
      </w:r>
      <w:r>
        <w:t xml:space="preserve">pracownik platformy </w:t>
      </w:r>
      <w:r w:rsidR="00084394">
        <w:t xml:space="preserve">potwierdzi </w:t>
      </w:r>
      <w:r>
        <w:t xml:space="preserve">wynik algorytmiczny. Kontrola musi być przeprowadzona przez wykwalifikowaną osobę, która posiada faktyczne uprawnienia do zmiany decyzji i nie może zostać ukarana za jej zmianę. Jednocześnie nadzór zgodnie z art. 10 musi mieć charakter ciągły </w:t>
      </w:r>
      <w:r w:rsidR="00D7386B">
        <w:t xml:space="preserve">– </w:t>
      </w:r>
      <w:r>
        <w:t xml:space="preserve">nie może to być jedynie dwuletnia kontrola </w:t>
      </w:r>
      <w:r w:rsidR="00084394">
        <w:t xml:space="preserve">przeprowadzana</w:t>
      </w:r>
      <w:r>
        <w:t xml:space="preserve"> przez platformę </w:t>
      </w:r>
      <w:r>
        <w:t xml:space="preserve">jako obowiązek administracyjny.</w:t>
      </w:r>
    </w:p>
    <w:p w:rsidR="009B7FA3" w:rsidP="00750824" w:rsidRDefault="009B7FA3" w14:paraId="00CC0072" w14:textId="77777777">
      <w:pPr>
        <w:jc w:val="both"/>
      </w:pPr>
    </w:p>
    <w:p w:rsidR="009B7FA3" w:rsidP="00750824" w:rsidRDefault="00000000" w14:paraId="00CC0080" w14:textId="0025CB50">
      <w:pPr>
        <w:pStyle w:val="Naslov3"/>
        <w:jc w:val="both"/>
      </w:pPr>
      <w:r>
        <w:t xml:space="preserve">8. Ochrona przed działaniami odwetowymi przy odwróconym ciężarze dowodu (Zalecenie 7.2)</w:t>
      </w:r>
    </w:p>
    <w:p w:rsidR="009B7FA3" w:rsidP="00750824" w:rsidRDefault="008F0A64" w14:paraId="00CC0081" w14:textId="6EEA69C0">
      <w:pPr>
        <w:pStyle w:val="Telobesedila"/>
        <w:jc w:val="both"/>
      </w:pPr>
      <w:r>
        <w:t xml:space="preserve">Działania odwetowe po dochodzeniu praw będą najprawdopodobniej polegały na niższych ocenach pracowników w aplikacjach, mniejszej liczbie przydzielanych zleceń lub pracy oraz wzmożonym </w:t>
      </w:r>
      <w:r w:rsidR="00D7386B">
        <w:t xml:space="preserve">nadzorze – </w:t>
      </w:r>
      <w:r>
        <w:t xml:space="preserve">i prawo musi je w ten sposób zdefiniować. Ciężar dowodu (</w:t>
      </w:r>
      <w:r>
        <w:t xml:space="preserve">„burden </w:t>
      </w:r>
      <w:r>
        <w:t xml:space="preserve">of </w:t>
      </w:r>
      <w:r>
        <w:t xml:space="preserve">proof”) musi zostać odwrócony: pracownik wykazuje prawdopodobny związek przyczynowy między dochodzeniem praw a szkodliwym działaniem, natomiast platforma musi udowodnić, że działanie to wynika z obiektywnych czynników, a nie z dochodzenia praw przez pracownika. Bez tego każda formalna ochrona pozostanie niemożliwa do zrealizowania w praktyce.</w:t>
      </w:r>
    </w:p>
    <w:p w:rsidR="009B7FA3" w:rsidP="00750824" w:rsidRDefault="009B7FA3" w14:paraId="00CC0082" w14:textId="77777777">
      <w:pPr>
        <w:jc w:val="both"/>
      </w:pPr>
    </w:p>
    <w:p w:rsidR="009B7FA3" w:rsidP="00750824" w:rsidRDefault="00000000" w14:paraId="00CC0090" w14:textId="16EA3121">
      <w:pPr>
        <w:pStyle w:val="Naslov3"/>
        <w:jc w:val="both"/>
      </w:pPr>
      <w:r>
        <w:t xml:space="preserve">9. Ujawnianie algorytmów w postępowaniach sądowych i inspekcyjnych (Zalecenie 7.4)</w:t>
      </w:r>
    </w:p>
    <w:p w:rsidR="009B7FA3" w:rsidP="00750824" w:rsidRDefault="00000000" w14:paraId="00CC0091" w14:textId="3F12F3CB">
      <w:pPr>
        <w:pStyle w:val="Telobesedila"/>
        <w:jc w:val="both"/>
      </w:pPr>
      <w:r>
        <w:t xml:space="preserve">Sądy i inspektoraty muszą być uprawnione na mocy prawa </w:t>
      </w:r>
      <w:r w:rsidR="008F0A64">
        <w:t xml:space="preserve">do </w:t>
      </w:r>
      <w:r>
        <w:t xml:space="preserve">wglądu w parametry algorytmiczne, historię decyzji oraz dane monitorujące </w:t>
      </w:r>
      <w:r w:rsidR="008F0A64">
        <w:t xml:space="preserve">gromadzone przez aplikacje</w:t>
      </w:r>
      <w:r>
        <w:t xml:space="preserve">. Powołanie się na tajemnicę handlową nie może stanowić absolutnej linii obrony</w:t>
      </w:r>
      <w:r w:rsidR="008F0A64">
        <w:t xml:space="preserve">. </w:t>
      </w:r>
      <w:r>
        <w:t xml:space="preserve">Ustawa musi przewidywać mechanizmy poufnego wglądu (postępowania „in camera”). Bez tego platformy będą miały strukturalną przewagę informacyjną nad wszystkimi innymi uczestnikami postępowań.</w:t>
      </w:r>
    </w:p>
    <w:p w:rsidR="009B7FA3" w:rsidP="00750824" w:rsidRDefault="009B7FA3" w14:paraId="00CC0092" w14:textId="77777777">
      <w:pPr>
        <w:jc w:val="both"/>
      </w:pPr>
    </w:p>
    <w:p w:rsidR="009B7FA3" w:rsidP="00750824" w:rsidRDefault="00000000" w14:paraId="00CC00A0" w14:textId="16C92382">
      <w:pPr>
        <w:pStyle w:val="Naslov3"/>
        <w:jc w:val="both"/>
      </w:pPr>
      <w:r>
        <w:t xml:space="preserve">10. Zakaz wprowadzania trzeciego statusu: test binarny </w:t>
      </w:r>
      <w:r w:rsidR="00CF3B80">
        <w:t xml:space="preserve">zatrudnienia </w:t>
      </w:r>
      <w:r>
        <w:t xml:space="preserve">(zalecenie 9.1)</w:t>
      </w:r>
    </w:p>
    <w:p w:rsidR="009B7FA3" w:rsidP="00750824" w:rsidRDefault="00000000" w14:paraId="00CC00A1" w14:textId="57EC958A">
      <w:pPr>
        <w:pStyle w:val="Telobesedila"/>
        <w:jc w:val="both"/>
      </w:pPr>
      <w:r>
        <w:t xml:space="preserve">Ustawa nie może wprowadzać statusów pośrednich pomiędzy pracownikiem a osobą samozatrudnioną </w:t>
      </w:r>
      <w:r w:rsidR="00D7386B">
        <w:t xml:space="preserve">– </w:t>
      </w:r>
      <w:r>
        <w:t xml:space="preserve">tzw. </w:t>
      </w:r>
      <w:r w:rsidR="008F0A64">
        <w:t xml:space="preserve">„</w:t>
      </w:r>
      <w:r>
        <w:t xml:space="preserve">pracowników ekonomicznie </w:t>
      </w:r>
      <w:r w:rsidR="008F0A64">
        <w:t xml:space="preserve">zależnych”, </w:t>
      </w:r>
      <w:r w:rsidR="008F0A64">
        <w:t xml:space="preserve">„osób w stosunku parasubordynacji” </w:t>
      </w:r>
      <w:r>
        <w:t xml:space="preserve">lub podobnych kategorii z</w:t>
      </w:r>
      <w:r>
        <w:lastRenderedPageBreak/>
      </w:r>
      <w:r>
        <w:t xml:space="preserve"> częściowymi prawami. Dyrektywa opiera się na teście binarnym: albo </w:t>
      </w:r>
      <w:r w:rsidR="00CF3B80">
        <w:t xml:space="preserve">zatrudnienie, </w:t>
      </w:r>
      <w:r>
        <w:t xml:space="preserve">albo samozatrudnienie. Trzeci status, który zapewnia platformom </w:t>
      </w:r>
      <w:r w:rsidR="008F0A64">
        <w:t xml:space="preserve">zgodność z dyrektywą </w:t>
      </w:r>
      <w:r>
        <w:t xml:space="preserve">bez </w:t>
      </w:r>
      <w:r w:rsidR="008F0A64">
        <w:t xml:space="preserve">uwzględniania </w:t>
      </w:r>
      <w:r>
        <w:t xml:space="preserve">jej treści, jest </w:t>
      </w:r>
      <w:r>
        <w:t xml:space="preserve">najczęściej zalecanym </w:t>
      </w:r>
      <w:r w:rsidR="008F0A64">
        <w:t xml:space="preserve">przez platformy </w:t>
      </w:r>
      <w:r>
        <w:t xml:space="preserve">sposobem na obejście przepisów </w:t>
      </w:r>
      <w:r w:rsidR="00D7386B">
        <w:t xml:space="preserve">– </w:t>
      </w:r>
      <w:r>
        <w:t xml:space="preserve">i należy go </w:t>
      </w:r>
      <w:r w:rsidR="008F0A64">
        <w:t xml:space="preserve">wyeliminować </w:t>
      </w:r>
      <w:r>
        <w:t xml:space="preserve">już w ustawie </w:t>
      </w:r>
      <w:r w:rsidR="008F0A64">
        <w:t xml:space="preserve">transponującej dyrektywę</w:t>
      </w:r>
      <w:r>
        <w:t xml:space="preserve">.</w:t>
      </w:r>
    </w:p>
    <w:p w:rsidR="009B7FA3" w:rsidP="00750824" w:rsidRDefault="009B7FA3" w14:paraId="00CC00A2" w14:textId="77777777">
      <w:pPr>
        <w:jc w:val="both"/>
      </w:pPr>
    </w:p>
    <w:p w:rsidR="009B7FA3" w:rsidP="00750824" w:rsidRDefault="00000000" w14:paraId="00CC0200" w14:textId="3E8A04C9">
      <w:pPr>
        <w:pStyle w:val="Telobesedila"/>
        <w:jc w:val="both"/>
      </w:pPr>
      <w:r>
        <w:t xml:space="preserve">Wszystkie dalsze zalecenia zawarte w niniejszym dokumencie stanowią albo wyjaśnienia i operacjonalizację powyższych dziesięciu punktów</w:t>
      </w:r>
      <w:r w:rsidR="008F0A64">
        <w:t xml:space="preserve">, </w:t>
      </w:r>
      <w:r>
        <w:t xml:space="preserve">albo bardziej ambitne propozycje wykraczające poza minimalne wymagania dyrektywy. Hierarchia ta jest zamierzona: </w:t>
      </w:r>
      <w:r w:rsidR="008F0A64">
        <w:t xml:space="preserve">państwo</w:t>
      </w:r>
      <w:r>
        <w:t xml:space="preserve">, które wdroży przynajmniej te dziesięć zaleceń, </w:t>
      </w:r>
      <w:r w:rsidR="008F0A64">
        <w:t xml:space="preserve">przeprowadzi</w:t>
      </w:r>
      <w:r>
        <w:t xml:space="preserve"> transpozycję </w:t>
      </w:r>
      <w:r>
        <w:t xml:space="preserve">w taki sposób, że dyrektywa faktycznie zmieni warunki pracy na platformach </w:t>
      </w:r>
      <w:r w:rsidR="008F0A64">
        <w:t xml:space="preserve">na korzyść pracowników i osiągnie cel dyrektywy</w:t>
      </w:r>
      <w:r>
        <w:t xml:space="preserve">.</w:t>
      </w:r>
    </w:p>
    <w:p w:rsidR="009B7FA3" w:rsidP="00750824" w:rsidRDefault="009B7FA3" w14:paraId="00CC0201" w14:textId="77777777">
      <w:pPr>
        <w:jc w:val="both"/>
      </w:pPr>
    </w:p>
    <w:p w:rsidR="00750824" w:rsidRDefault="00750824" w14:paraId="7F66102A" w14:textId="77777777">
      <w:pPr>
        <w:rPr>
          <w:b/>
          <w:bCs/>
          <w:color w:val="1F3864"/>
          <w:sz w:val="36"/>
          <w:szCs w:val="36"/>
        </w:rPr>
      </w:pPr>
      <w:r>
        <w:br w:type="page"/>
      </w:r>
    </w:p>
    <w:p w:rsidR="00D90A18" w:rsidP="00750824" w:rsidRDefault="00D90A18" w14:paraId="5A3CA3C4" w14:textId="7281FA23">
      <w:pPr>
        <w:pStyle w:val="Naslov1"/>
        <w:jc w:val="both"/>
      </w:pPr>
      <w:bookmarkStart w:name="_Toc233699478" w:id="2"/>
      <w:r>
        <w:lastRenderedPageBreak/>
      </w:r>
      <w:r>
        <w:t xml:space="preserve">Przedmowa</w:t>
      </w:r>
      <w:bookmarkEnd w:id="2"/>
    </w:p>
    <w:p w:rsidR="00D90A18" w:rsidP="00750824" w:rsidRDefault="00D90A18" w14:paraId="63638BEA" w14:textId="77777777">
      <w:pPr>
        <w:jc w:val="both"/>
      </w:pPr>
      <w:r>
        <w:t xml:space="preserve">Niniejszy dokument jest wynikiem projektu SDDP (</w:t>
      </w:r>
      <w:r>
        <w:t xml:space="preserve">Establishing </w:t>
      </w:r>
      <w:r>
        <w:t xml:space="preserve">and </w:t>
      </w:r>
      <w:r>
        <w:t xml:space="preserve">Strengthening </w:t>
      </w:r>
      <w:r>
        <w:t xml:space="preserve">Social </w:t>
      </w:r>
      <w:r>
        <w:t xml:space="preserve">Dialogue </w:t>
      </w:r>
      <w:r>
        <w:t xml:space="preserve">in </w:t>
      </w:r>
      <w:r>
        <w:t xml:space="preserve">Digital </w:t>
      </w:r>
      <w:r>
        <w:t xml:space="preserve">Platforms</w:t>
      </w:r>
      <w:r>
        <w:t xml:space="preserve">), finansowanego w ramach programu Komisji Europejskiej na rzecz dialogu społecznego (SOCPL-2022-SOC-DIAL) oraz współfinansowanego z Europejskiego Funduszu Społecznego (EFS). Projekt trwał od kwietnia 2023 r. do marca 2026 r.</w:t>
      </w:r>
    </w:p>
    <w:p w:rsidR="00D90A18" w:rsidP="00750824" w:rsidRDefault="00D90A18" w14:paraId="7CFB778E" w14:textId="77777777">
      <w:pPr>
        <w:jc w:val="both"/>
      </w:pPr>
    </w:p>
    <w:p w:rsidR="00D90A18" w:rsidP="00750824" w:rsidRDefault="00D90A18" w14:paraId="562683D6" w14:textId="7CE76151">
      <w:pPr>
        <w:jc w:val="both"/>
      </w:pPr>
      <w:r>
        <w:t xml:space="preserve">W skład konsorcjum wchodzą: ZSSS </w:t>
      </w:r>
      <w:r w:rsidR="00D7386B">
        <w:t xml:space="preserve">– </w:t>
      </w:r>
      <w:r>
        <w:t xml:space="preserve">Związek Wolnych Związków Zawodowych Słowenii (koordynator), ÖGB </w:t>
      </w:r>
      <w:r w:rsidR="00D7386B">
        <w:t xml:space="preserve">– </w:t>
      </w:r>
      <w:r>
        <w:t xml:space="preserve">Austriacka Federacja Związków Zawodowych, CGIL </w:t>
      </w:r>
      <w:r w:rsidR="00D7386B">
        <w:t xml:space="preserve">– </w:t>
      </w:r>
      <w:r>
        <w:t xml:space="preserve">Ogólna Włoska Konfederacja Pracy, OPZZ oraz ABVV-FTB we współpracy z ETUC. </w:t>
      </w:r>
    </w:p>
    <w:p w:rsidR="00DB0B6E" w:rsidP="00750824" w:rsidRDefault="00DB0B6E" w14:paraId="0E9BE49C" w14:textId="77777777">
      <w:pPr>
        <w:jc w:val="both"/>
      </w:pPr>
    </w:p>
    <w:p w:rsidR="00D90A18" w:rsidP="00750824" w:rsidRDefault="00D90A18" w14:paraId="1E9C8F52" w14:textId="0780E0D7">
      <w:pPr>
        <w:jc w:val="both"/>
      </w:pPr>
      <w:r>
        <w:t xml:space="preserve">Dokument opiera się na wkładach partnerów </w:t>
      </w:r>
      <w:r w:rsidR="00DB0B6E">
        <w:t xml:space="preserve">projektu</w:t>
      </w:r>
      <w:r>
        <w:t xml:space="preserve">, trzech układach zbiorowych </w:t>
      </w:r>
      <w:r w:rsidR="00DB0B6E">
        <w:t xml:space="preserve">zawartych z </w:t>
      </w:r>
      <w:r w:rsidR="00DB0B6E">
        <w:t xml:space="preserve">przedsiębiorstwami </w:t>
      </w:r>
      <w:r w:rsidR="00DB0B6E">
        <w:t xml:space="preserve">platformowymi</w:t>
      </w:r>
      <w:r>
        <w:t xml:space="preserve">, sprawozdaniu grupy ekspertów Komisji Europejskiej ds. transpozycji dyrektywy (styczeń 2026 r.) oraz dyskusjach podczas konferencji pośredniej w Lublanie w maju 2025 r.</w:t>
      </w:r>
    </w:p>
    <w:p w:rsidR="00D90A18" w:rsidP="00750824" w:rsidRDefault="00D90A18" w14:paraId="773309D0" w14:textId="77777777">
      <w:pPr>
        <w:jc w:val="both"/>
      </w:pPr>
      <w:r>
        <w:t xml:space="preserve">Zalecenia są skierowane do ministerstw pracy państw członkowskich UE oraz do partnerów społecznych. Odzwierciedlają one stanowisko konsorcjum SDDP i niekoniecznie stanowisko Komisji Europejskiej lub poszczególnych państw członkowskich.</w:t>
      </w:r>
    </w:p>
    <w:p w:rsidR="00D90A18" w:rsidP="00750824" w:rsidRDefault="00D90A18" w14:paraId="7C0C6646" w14:textId="77777777">
      <w:pPr>
        <w:jc w:val="both"/>
      </w:pPr>
    </w:p>
    <w:p w:rsidR="00D90A18" w:rsidP="00750824" w:rsidRDefault="00D90A18" w14:paraId="02BC730F" w14:textId="77777777">
      <w:pPr>
        <w:jc w:val="both"/>
      </w:pPr>
      <w:r>
        <w:t xml:space="preserve">Lublana, luty 2026 r.</w:t>
      </w:r>
    </w:p>
    <w:p w:rsidR="00750824" w:rsidRDefault="00750824" w14:paraId="43DF8F1C" w14:textId="77777777">
      <w:r>
        <w:br w:type="page"/>
      </w:r>
    </w:p>
    <w:sdt>
      <w:sdtPr>
        <w:id w:val="-1059785089"/>
        <w:docPartObj>
          <w:docPartGallery w:val="Table of Contents"/>
          <w:docPartUnique/>
        </w:docPartObj>
      </w:sdtPr>
      <w:sdtContent>
        <w:p w:rsidR="00983F19" w:rsidP="00750824" w:rsidRDefault="00D90A18" w14:paraId="032E0C10" w14:textId="33FE751C">
          <w:pPr>
            <w:jc w:val="both"/>
            <w:rPr>
              <w:b/>
              <w:bCs/>
              <w:color w:val="1F497D" w:themeColor="text2"/>
              <w:sz w:val="32"/>
              <w:szCs w:val="32"/>
            </w:rPr>
          </w:pPr>
          <w:r w:rsidRPr="00750824">
            <w:rPr>
              <w:b/>
              <w:bCs/>
              <w:color w:val="1F497D" w:themeColor="text2"/>
              <w:sz w:val="32"/>
              <w:szCs w:val="32"/>
            </w:rPr>
            <w:t xml:space="preserve">Spis treści</w:t>
          </w:r>
        </w:p>
        <w:p w:rsidRPr="00750824" w:rsidR="00750824" w:rsidP="00750824" w:rsidRDefault="00750824" w14:paraId="2E64F756" w14:textId="77777777">
          <w:pPr>
            <w:jc w:val="both"/>
            <w:rPr>
              <w:b/>
              <w:bCs/>
              <w:color w:val="1F497D" w:themeColor="text2"/>
              <w:sz w:val="32"/>
              <w:szCs w:val="32"/>
            </w:rPr>
          </w:pPr>
        </w:p>
        <w:p w:rsidR="00615F18" w:rsidRDefault="00000000" w14:paraId="27C0A924" w14:textId="5B2FD599">
          <w:pPr>
            <w:pStyle w:val="Kazalovsebine1"/>
            <w:tabs>
              <w:tab w:val="right" w:leader="dot" w:pos="9016"/>
            </w:tabs>
            <w:rPr>
              <w:rFonts w:asciiTheme="minorHAnsi" w:hAnsiTheme="minorHAnsi" w:eastAsiaTheme="minorEastAsia" w:cstheme="minorBidi"/>
              <w:noProof/>
              <w:kern w:val="2"/>
              <w14:ligatures w14:val="standardContextual"/>
            </w:rPr>
          </w:pPr>
          <w:r>
            <w:fldChar w:fldCharType="begin"/>
          </w:r>
          <w:r>
            <w:instrText>TOC \o "1-2" \h \z \u</w:instrText>
          </w:r>
          <w:r>
            <w:fldChar w:fldCharType="separate"/>
          </w:r>
          <w:hyperlink w:history="1" w:anchor="_Toc233699476">
            <w:r w:rsidRPr="00C7164C" w:rsidR="00615F18">
              <w:rPr>
                <w:rStyle w:val="Hiperpovezava"/>
                <w:noProof/>
              </w:rPr>
              <w:t xml:space="preserve">Streszczenie</w:t>
            </w:r>
            <w:r w:rsidR="00615F18">
              <w:rPr>
                <w:noProof/>
                <w:webHidden/>
              </w:rPr>
              <w:tab/>
            </w:r>
            <w:r w:rsidR="00615F18">
              <w:rPr>
                <w:noProof/>
                <w:webHidden/>
              </w:rPr>
              <w:fldChar w:fldCharType="begin"/>
            </w:r>
            <w:r w:rsidR="00615F18">
              <w:rPr>
                <w:noProof/>
                <w:webHidden/>
              </w:rPr>
              <w:instrText xml:space="preserve"> PAGEREF _Toc233699476 \h </w:instrText>
            </w:r>
            <w:r w:rsidR="00615F18">
              <w:rPr>
                <w:noProof/>
                <w:webHidden/>
              </w:rPr>
              <w:fldChar w:fldCharType="separate"/>
            </w:r>
            <w:r w:rsidR="00615F18">
              <w:rPr>
                <w:noProof/>
                <w:webHidden/>
              </w:rPr>
              <w:t>1</w:t>
            </w:r>
            <w:r w:rsidR="00615F18">
              <w:rPr>
                <w:noProof/>
                <w:webHidden/>
              </w:rPr>
              <w:fldChar w:fldCharType="end"/>
            </w:r>
          </w:hyperlink>
        </w:p>
        <w:p w:rsidR="00615F18" w:rsidRDefault="00615F18" w14:paraId="2525978E" w14:textId="1BCB9985">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477">
            <w:r w:rsidRPr="00C7164C">
              <w:rPr>
                <w:rStyle w:val="Hiperpovezava"/>
                <w:noProof/>
              </w:rPr>
              <w:t xml:space="preserve">10 kluczowych zaleceń</w:t>
            </w:r>
            <w:r>
              <w:rPr>
                <w:noProof/>
                <w:webHidden/>
              </w:rPr>
              <w:tab/>
            </w:r>
            <w:r>
              <w:rPr>
                <w:noProof/>
                <w:webHidden/>
              </w:rPr>
              <w:fldChar w:fldCharType="begin"/>
            </w:r>
            <w:r>
              <w:rPr>
                <w:noProof/>
                <w:webHidden/>
              </w:rPr>
              <w:instrText xml:space="preserve"> PAGEREF _Toc233699477 \h </w:instrText>
            </w:r>
            <w:r>
              <w:rPr>
                <w:noProof/>
                <w:webHidden/>
              </w:rPr>
              <w:fldChar w:fldCharType="separate"/>
            </w:r>
            <w:r>
              <w:rPr>
                <w:noProof/>
                <w:webHidden/>
              </w:rPr>
              <w:t>2</w:t>
            </w:r>
            <w:r>
              <w:rPr>
                <w:noProof/>
                <w:webHidden/>
              </w:rPr>
              <w:fldChar w:fldCharType="end"/>
            </w:r>
          </w:hyperlink>
        </w:p>
        <w:p w:rsidR="00615F18" w:rsidRDefault="00615F18" w14:paraId="2E33F562" w14:textId="18E9ADD7">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478">
            <w:r w:rsidRPr="00C7164C">
              <w:rPr>
                <w:rStyle w:val="Hiperpovezava"/>
                <w:noProof/>
              </w:rPr>
              <w:t xml:space="preserve">Przedmowa</w:t>
            </w:r>
            <w:r>
              <w:rPr>
                <w:noProof/>
                <w:webHidden/>
              </w:rPr>
              <w:tab/>
            </w:r>
            <w:r>
              <w:rPr>
                <w:noProof/>
                <w:webHidden/>
              </w:rPr>
              <w:fldChar w:fldCharType="begin"/>
            </w:r>
            <w:r>
              <w:rPr>
                <w:noProof/>
                <w:webHidden/>
              </w:rPr>
              <w:instrText xml:space="preserve"> PAGEREF _Toc233699478 \h </w:instrText>
            </w:r>
            <w:r>
              <w:rPr>
                <w:noProof/>
                <w:webHidden/>
              </w:rPr>
              <w:fldChar w:fldCharType="separate"/>
            </w:r>
            <w:r>
              <w:rPr>
                <w:noProof/>
                <w:webHidden/>
              </w:rPr>
              <w:t>5</w:t>
            </w:r>
            <w:r>
              <w:rPr>
                <w:noProof/>
                <w:webHidden/>
              </w:rPr>
              <w:fldChar w:fldCharType="end"/>
            </w:r>
          </w:hyperlink>
        </w:p>
        <w:p w:rsidR="00615F18" w:rsidRDefault="00615F18" w14:paraId="1A597F6E" w14:textId="509EAABA">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479">
            <w:r w:rsidRPr="00C7164C">
              <w:rPr>
                <w:rStyle w:val="Hiperpovezava"/>
                <w:noProof/>
              </w:rPr>
              <w:t xml:space="preserve">Rozdział 1: Wprowadzenie</w:t>
            </w:r>
            <w:r>
              <w:rPr>
                <w:noProof/>
                <w:webHidden/>
              </w:rPr>
              <w:tab/>
            </w:r>
            <w:r>
              <w:rPr>
                <w:noProof/>
                <w:webHidden/>
              </w:rPr>
              <w:fldChar w:fldCharType="begin"/>
            </w:r>
            <w:r>
              <w:rPr>
                <w:noProof/>
                <w:webHidden/>
              </w:rPr>
              <w:instrText xml:space="preserve"> PAGEREF _Toc233699479 \h </w:instrText>
            </w:r>
            <w:r>
              <w:rPr>
                <w:noProof/>
                <w:webHidden/>
              </w:rPr>
              <w:fldChar w:fldCharType="separate"/>
            </w:r>
            <w:r>
              <w:rPr>
                <w:noProof/>
                <w:webHidden/>
              </w:rPr>
              <w:t>8</w:t>
            </w:r>
            <w:r>
              <w:rPr>
                <w:noProof/>
                <w:webHidden/>
              </w:rPr>
              <w:fldChar w:fldCharType="end"/>
            </w:r>
          </w:hyperlink>
        </w:p>
        <w:p w:rsidR="00615F18" w:rsidRDefault="00615F18" w14:paraId="767A55BB" w14:textId="49CC8451">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480">
            <w:r w:rsidRPr="00C7164C">
              <w:rPr>
                <w:rStyle w:val="Hiperpovezava"/>
                <w:noProof/>
              </w:rPr>
              <w:t xml:space="preserve">Rozdział 2: Zakres i definicje</w:t>
            </w:r>
            <w:r>
              <w:rPr>
                <w:noProof/>
                <w:webHidden/>
              </w:rPr>
              <w:tab/>
            </w:r>
            <w:r>
              <w:rPr>
                <w:noProof/>
                <w:webHidden/>
              </w:rPr>
              <w:fldChar w:fldCharType="begin"/>
            </w:r>
            <w:r>
              <w:rPr>
                <w:noProof/>
                <w:webHidden/>
              </w:rPr>
              <w:instrText xml:space="preserve"> PAGEREF _Toc233699480 \h </w:instrText>
            </w:r>
            <w:r>
              <w:rPr>
                <w:noProof/>
                <w:webHidden/>
              </w:rPr>
              <w:fldChar w:fldCharType="separate"/>
            </w:r>
            <w:r>
              <w:rPr>
                <w:noProof/>
                <w:webHidden/>
              </w:rPr>
              <w:t>11</w:t>
            </w:r>
            <w:r>
              <w:rPr>
                <w:noProof/>
                <w:webHidden/>
              </w:rPr>
              <w:fldChar w:fldCharType="end"/>
            </w:r>
          </w:hyperlink>
        </w:p>
        <w:p w:rsidR="00615F18" w:rsidRDefault="00615F18" w14:paraId="4E37DEAB" w14:textId="150280E5">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81">
            <w:r w:rsidRPr="00C7164C">
              <w:rPr>
                <w:rStyle w:val="Hiperpovezava"/>
                <w:noProof/>
              </w:rPr>
              <w:t xml:space="preserve">2.1 Wymogi dyrektywy</w:t>
            </w:r>
            <w:r>
              <w:rPr>
                <w:noProof/>
                <w:webHidden/>
              </w:rPr>
              <w:tab/>
            </w:r>
            <w:r>
              <w:rPr>
                <w:noProof/>
                <w:webHidden/>
              </w:rPr>
              <w:fldChar w:fldCharType="begin"/>
            </w:r>
            <w:r>
              <w:rPr>
                <w:noProof/>
                <w:webHidden/>
              </w:rPr>
              <w:instrText xml:space="preserve"> PAGEREF _Toc233699481 \h </w:instrText>
            </w:r>
            <w:r>
              <w:rPr>
                <w:noProof/>
                <w:webHidden/>
              </w:rPr>
              <w:fldChar w:fldCharType="separate"/>
            </w:r>
            <w:r>
              <w:rPr>
                <w:noProof/>
                <w:webHidden/>
              </w:rPr>
              <w:t>11</w:t>
            </w:r>
            <w:r>
              <w:rPr>
                <w:noProof/>
                <w:webHidden/>
              </w:rPr>
              <w:fldChar w:fldCharType="end"/>
            </w:r>
          </w:hyperlink>
        </w:p>
        <w:p w:rsidR="00615F18" w:rsidRDefault="00615F18" w14:paraId="50662A26" w14:textId="4D0A28A3">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82">
            <w:r w:rsidRPr="00C7164C">
              <w:rPr>
                <w:rStyle w:val="Hiperpovezava"/>
                <w:noProof/>
              </w:rPr>
              <w:t xml:space="preserve">2.2 Wnioski wynikające z praktyki</w:t>
            </w:r>
            <w:r>
              <w:rPr>
                <w:noProof/>
                <w:webHidden/>
              </w:rPr>
              <w:tab/>
            </w:r>
            <w:r>
              <w:rPr>
                <w:noProof/>
                <w:webHidden/>
              </w:rPr>
              <w:fldChar w:fldCharType="begin"/>
            </w:r>
            <w:r>
              <w:rPr>
                <w:noProof/>
                <w:webHidden/>
              </w:rPr>
              <w:instrText xml:space="preserve"> PAGEREF _Toc233699482 \h </w:instrText>
            </w:r>
            <w:r>
              <w:rPr>
                <w:noProof/>
                <w:webHidden/>
              </w:rPr>
              <w:fldChar w:fldCharType="separate"/>
            </w:r>
            <w:r>
              <w:rPr>
                <w:noProof/>
                <w:webHidden/>
              </w:rPr>
              <w:t>12</w:t>
            </w:r>
            <w:r>
              <w:rPr>
                <w:noProof/>
                <w:webHidden/>
              </w:rPr>
              <w:fldChar w:fldCharType="end"/>
            </w:r>
          </w:hyperlink>
        </w:p>
        <w:p w:rsidR="00615F18" w:rsidRDefault="00615F18" w14:paraId="7A6BE073" w14:textId="56AA867A">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83">
            <w:r w:rsidRPr="00C7164C">
              <w:rPr>
                <w:rStyle w:val="Hiperpovezava"/>
                <w:noProof/>
              </w:rPr>
              <w:t xml:space="preserve">2.3 Zalecenia</w:t>
            </w:r>
            <w:r>
              <w:rPr>
                <w:noProof/>
                <w:webHidden/>
              </w:rPr>
              <w:tab/>
            </w:r>
            <w:r>
              <w:rPr>
                <w:noProof/>
                <w:webHidden/>
              </w:rPr>
              <w:fldChar w:fldCharType="begin"/>
            </w:r>
            <w:r>
              <w:rPr>
                <w:noProof/>
                <w:webHidden/>
              </w:rPr>
              <w:instrText xml:space="preserve"> PAGEREF _Toc233699483 \h </w:instrText>
            </w:r>
            <w:r>
              <w:rPr>
                <w:noProof/>
                <w:webHidden/>
              </w:rPr>
              <w:fldChar w:fldCharType="separate"/>
            </w:r>
            <w:r>
              <w:rPr>
                <w:noProof/>
                <w:webHidden/>
              </w:rPr>
              <w:t>13</w:t>
            </w:r>
            <w:r>
              <w:rPr>
                <w:noProof/>
                <w:webHidden/>
              </w:rPr>
              <w:fldChar w:fldCharType="end"/>
            </w:r>
          </w:hyperlink>
        </w:p>
        <w:p w:rsidR="00615F18" w:rsidRDefault="00615F18" w14:paraId="178E8428" w14:textId="02FF9B60">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484">
            <w:r w:rsidRPr="00C7164C">
              <w:rPr>
                <w:rStyle w:val="Hiperpovezava"/>
                <w:noProof/>
              </w:rPr>
              <w:t xml:space="preserve">Rozdział 3: Domniemanie prawne zatrudnienia i ustalanie statusu prawnego pracownika</w:t>
            </w:r>
            <w:r>
              <w:rPr>
                <w:noProof/>
                <w:webHidden/>
              </w:rPr>
              <w:tab/>
            </w:r>
            <w:r>
              <w:rPr>
                <w:noProof/>
                <w:webHidden/>
              </w:rPr>
              <w:fldChar w:fldCharType="begin"/>
            </w:r>
            <w:r>
              <w:rPr>
                <w:noProof/>
                <w:webHidden/>
              </w:rPr>
              <w:instrText xml:space="preserve"> PAGEREF _Toc233699484 \h </w:instrText>
            </w:r>
            <w:r>
              <w:rPr>
                <w:noProof/>
                <w:webHidden/>
              </w:rPr>
              <w:fldChar w:fldCharType="separate"/>
            </w:r>
            <w:r>
              <w:rPr>
                <w:noProof/>
                <w:webHidden/>
              </w:rPr>
              <w:t>17</w:t>
            </w:r>
            <w:r>
              <w:rPr>
                <w:noProof/>
                <w:webHidden/>
              </w:rPr>
              <w:fldChar w:fldCharType="end"/>
            </w:r>
          </w:hyperlink>
        </w:p>
        <w:p w:rsidR="00615F18" w:rsidRDefault="00615F18" w14:paraId="5170A70E" w14:textId="2EF5F821">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85">
            <w:r w:rsidRPr="00C7164C">
              <w:rPr>
                <w:rStyle w:val="Hiperpovezava"/>
                <w:noProof/>
              </w:rPr>
              <w:t xml:space="preserve">3.1 Wymogi dyrektywy</w:t>
            </w:r>
            <w:r>
              <w:rPr>
                <w:noProof/>
                <w:webHidden/>
              </w:rPr>
              <w:tab/>
            </w:r>
            <w:r>
              <w:rPr>
                <w:noProof/>
                <w:webHidden/>
              </w:rPr>
              <w:fldChar w:fldCharType="begin"/>
            </w:r>
            <w:r>
              <w:rPr>
                <w:noProof/>
                <w:webHidden/>
              </w:rPr>
              <w:instrText xml:space="preserve"> PAGEREF _Toc233699485 \h </w:instrText>
            </w:r>
            <w:r>
              <w:rPr>
                <w:noProof/>
                <w:webHidden/>
              </w:rPr>
              <w:fldChar w:fldCharType="separate"/>
            </w:r>
            <w:r>
              <w:rPr>
                <w:noProof/>
                <w:webHidden/>
              </w:rPr>
              <w:t>17</w:t>
            </w:r>
            <w:r>
              <w:rPr>
                <w:noProof/>
                <w:webHidden/>
              </w:rPr>
              <w:fldChar w:fldCharType="end"/>
            </w:r>
          </w:hyperlink>
        </w:p>
        <w:p w:rsidR="00615F18" w:rsidRDefault="00615F18" w14:paraId="69C5AA96" w14:textId="11878A03">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86">
            <w:r w:rsidRPr="00C7164C">
              <w:rPr>
                <w:rStyle w:val="Hiperpovezava"/>
                <w:noProof/>
              </w:rPr>
              <w:t xml:space="preserve">3.2 Wnioski wynikające z praktyki</w:t>
            </w:r>
            <w:r>
              <w:rPr>
                <w:noProof/>
                <w:webHidden/>
              </w:rPr>
              <w:tab/>
            </w:r>
            <w:r>
              <w:rPr>
                <w:noProof/>
                <w:webHidden/>
              </w:rPr>
              <w:fldChar w:fldCharType="begin"/>
            </w:r>
            <w:r>
              <w:rPr>
                <w:noProof/>
                <w:webHidden/>
              </w:rPr>
              <w:instrText xml:space="preserve"> PAGEREF _Toc233699486 \h </w:instrText>
            </w:r>
            <w:r>
              <w:rPr>
                <w:noProof/>
                <w:webHidden/>
              </w:rPr>
              <w:fldChar w:fldCharType="separate"/>
            </w:r>
            <w:r>
              <w:rPr>
                <w:noProof/>
                <w:webHidden/>
              </w:rPr>
              <w:t>18</w:t>
            </w:r>
            <w:r>
              <w:rPr>
                <w:noProof/>
                <w:webHidden/>
              </w:rPr>
              <w:fldChar w:fldCharType="end"/>
            </w:r>
          </w:hyperlink>
        </w:p>
        <w:p w:rsidR="00615F18" w:rsidRDefault="00615F18" w14:paraId="5F2E28E9" w14:textId="2FCEB256">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87">
            <w:r w:rsidRPr="00C7164C">
              <w:rPr>
                <w:rStyle w:val="Hiperpovezava"/>
                <w:noProof/>
              </w:rPr>
              <w:t xml:space="preserve">3.3 Zalecenia</w:t>
            </w:r>
            <w:r>
              <w:rPr>
                <w:noProof/>
                <w:webHidden/>
              </w:rPr>
              <w:tab/>
            </w:r>
            <w:r>
              <w:rPr>
                <w:noProof/>
                <w:webHidden/>
              </w:rPr>
              <w:fldChar w:fldCharType="begin"/>
            </w:r>
            <w:r>
              <w:rPr>
                <w:noProof/>
                <w:webHidden/>
              </w:rPr>
              <w:instrText xml:space="preserve"> PAGEREF _Toc233699487 \h </w:instrText>
            </w:r>
            <w:r>
              <w:rPr>
                <w:noProof/>
                <w:webHidden/>
              </w:rPr>
              <w:fldChar w:fldCharType="separate"/>
            </w:r>
            <w:r>
              <w:rPr>
                <w:noProof/>
                <w:webHidden/>
              </w:rPr>
              <w:t>20</w:t>
            </w:r>
            <w:r>
              <w:rPr>
                <w:noProof/>
                <w:webHidden/>
              </w:rPr>
              <w:fldChar w:fldCharType="end"/>
            </w:r>
          </w:hyperlink>
        </w:p>
        <w:p w:rsidR="00615F18" w:rsidRDefault="00615F18" w14:paraId="08E46C7B" w14:textId="34A753C3">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488">
            <w:r w:rsidRPr="00C7164C">
              <w:rPr>
                <w:rStyle w:val="Hiperpovezava"/>
                <w:noProof/>
              </w:rPr>
              <w:t xml:space="preserve">Rozdział 4: Zarządzanie algorytmiczne i nadzór ludzki</w:t>
            </w:r>
            <w:r>
              <w:rPr>
                <w:noProof/>
                <w:webHidden/>
              </w:rPr>
              <w:tab/>
            </w:r>
            <w:r>
              <w:rPr>
                <w:noProof/>
                <w:webHidden/>
              </w:rPr>
              <w:fldChar w:fldCharType="begin"/>
            </w:r>
            <w:r>
              <w:rPr>
                <w:noProof/>
                <w:webHidden/>
              </w:rPr>
              <w:instrText xml:space="preserve"> PAGEREF _Toc233699488 \h </w:instrText>
            </w:r>
            <w:r>
              <w:rPr>
                <w:noProof/>
                <w:webHidden/>
              </w:rPr>
              <w:fldChar w:fldCharType="separate"/>
            </w:r>
            <w:r>
              <w:rPr>
                <w:noProof/>
                <w:webHidden/>
              </w:rPr>
              <w:t>23</w:t>
            </w:r>
            <w:r>
              <w:rPr>
                <w:noProof/>
                <w:webHidden/>
              </w:rPr>
              <w:fldChar w:fldCharType="end"/>
            </w:r>
          </w:hyperlink>
        </w:p>
        <w:p w:rsidR="00615F18" w:rsidRDefault="00615F18" w14:paraId="3E226B7F" w14:textId="01D45BA4">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89">
            <w:r w:rsidRPr="00C7164C">
              <w:rPr>
                <w:rStyle w:val="Hiperpovezava"/>
                <w:noProof/>
              </w:rPr>
              <w:t xml:space="preserve">4.1 Wymogi dyrektywy</w:t>
            </w:r>
            <w:r>
              <w:rPr>
                <w:noProof/>
                <w:webHidden/>
              </w:rPr>
              <w:tab/>
            </w:r>
            <w:r>
              <w:rPr>
                <w:noProof/>
                <w:webHidden/>
              </w:rPr>
              <w:fldChar w:fldCharType="begin"/>
            </w:r>
            <w:r>
              <w:rPr>
                <w:noProof/>
                <w:webHidden/>
              </w:rPr>
              <w:instrText xml:space="preserve"> PAGEREF _Toc233699489 \h </w:instrText>
            </w:r>
            <w:r>
              <w:rPr>
                <w:noProof/>
                <w:webHidden/>
              </w:rPr>
              <w:fldChar w:fldCharType="separate"/>
            </w:r>
            <w:r>
              <w:rPr>
                <w:noProof/>
                <w:webHidden/>
              </w:rPr>
              <w:t>23</w:t>
            </w:r>
            <w:r>
              <w:rPr>
                <w:noProof/>
                <w:webHidden/>
              </w:rPr>
              <w:fldChar w:fldCharType="end"/>
            </w:r>
          </w:hyperlink>
        </w:p>
        <w:p w:rsidR="00615F18" w:rsidRDefault="00615F18" w14:paraId="4982C58C" w14:textId="1C338715">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90">
            <w:r w:rsidRPr="00C7164C">
              <w:rPr>
                <w:rStyle w:val="Hiperpovezava"/>
                <w:noProof/>
              </w:rPr>
              <w:t xml:space="preserve">4.2 Wnioski wynikające z praktyki</w:t>
            </w:r>
            <w:r>
              <w:rPr>
                <w:noProof/>
                <w:webHidden/>
              </w:rPr>
              <w:tab/>
            </w:r>
            <w:r>
              <w:rPr>
                <w:noProof/>
                <w:webHidden/>
              </w:rPr>
              <w:fldChar w:fldCharType="begin"/>
            </w:r>
            <w:r>
              <w:rPr>
                <w:noProof/>
                <w:webHidden/>
              </w:rPr>
              <w:instrText xml:space="preserve"> PAGEREF _Toc233699490 \h </w:instrText>
            </w:r>
            <w:r>
              <w:rPr>
                <w:noProof/>
                <w:webHidden/>
              </w:rPr>
              <w:fldChar w:fldCharType="separate"/>
            </w:r>
            <w:r>
              <w:rPr>
                <w:noProof/>
                <w:webHidden/>
              </w:rPr>
              <w:t>24</w:t>
            </w:r>
            <w:r>
              <w:rPr>
                <w:noProof/>
                <w:webHidden/>
              </w:rPr>
              <w:fldChar w:fldCharType="end"/>
            </w:r>
          </w:hyperlink>
        </w:p>
        <w:p w:rsidR="00615F18" w:rsidRDefault="00615F18" w14:paraId="38E1609B" w14:textId="334264CF">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91">
            <w:r w:rsidRPr="00C7164C">
              <w:rPr>
                <w:rStyle w:val="Hiperpovezava"/>
                <w:noProof/>
              </w:rPr>
              <w:t xml:space="preserve">4.3 Zalecenia</w:t>
            </w:r>
            <w:r>
              <w:rPr>
                <w:noProof/>
                <w:webHidden/>
              </w:rPr>
              <w:tab/>
            </w:r>
            <w:r>
              <w:rPr>
                <w:noProof/>
                <w:webHidden/>
              </w:rPr>
              <w:fldChar w:fldCharType="begin"/>
            </w:r>
            <w:r>
              <w:rPr>
                <w:noProof/>
                <w:webHidden/>
              </w:rPr>
              <w:instrText xml:space="preserve"> PAGEREF _Toc233699491 \h </w:instrText>
            </w:r>
            <w:r>
              <w:rPr>
                <w:noProof/>
                <w:webHidden/>
              </w:rPr>
              <w:fldChar w:fldCharType="separate"/>
            </w:r>
            <w:r>
              <w:rPr>
                <w:noProof/>
                <w:webHidden/>
              </w:rPr>
              <w:t>26</w:t>
            </w:r>
            <w:r>
              <w:rPr>
                <w:noProof/>
                <w:webHidden/>
              </w:rPr>
              <w:fldChar w:fldCharType="end"/>
            </w:r>
          </w:hyperlink>
        </w:p>
        <w:p w:rsidR="00615F18" w:rsidRDefault="00615F18" w14:paraId="3943DE7E" w14:textId="58F37BFF">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492">
            <w:r w:rsidRPr="00C7164C">
              <w:rPr>
                <w:rStyle w:val="Hiperpovezava"/>
                <w:noProof/>
              </w:rPr>
              <w:t xml:space="preserve">Rozdział 5: Ochrona danych i prywatność</w:t>
            </w:r>
            <w:r>
              <w:rPr>
                <w:noProof/>
                <w:webHidden/>
              </w:rPr>
              <w:tab/>
            </w:r>
            <w:r>
              <w:rPr>
                <w:noProof/>
                <w:webHidden/>
              </w:rPr>
              <w:fldChar w:fldCharType="begin"/>
            </w:r>
            <w:r>
              <w:rPr>
                <w:noProof/>
                <w:webHidden/>
              </w:rPr>
              <w:instrText xml:space="preserve"> PAGEREF _Toc233699492 \h </w:instrText>
            </w:r>
            <w:r>
              <w:rPr>
                <w:noProof/>
                <w:webHidden/>
              </w:rPr>
              <w:fldChar w:fldCharType="separate"/>
            </w:r>
            <w:r>
              <w:rPr>
                <w:noProof/>
                <w:webHidden/>
              </w:rPr>
              <w:t>29</w:t>
            </w:r>
            <w:r>
              <w:rPr>
                <w:noProof/>
                <w:webHidden/>
              </w:rPr>
              <w:fldChar w:fldCharType="end"/>
            </w:r>
          </w:hyperlink>
        </w:p>
        <w:p w:rsidR="00615F18" w:rsidRDefault="00615F18" w14:paraId="7BBB6CD9" w14:textId="72AF92D4">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93">
            <w:r w:rsidRPr="00C7164C">
              <w:rPr>
                <w:rStyle w:val="Hiperpovezava"/>
                <w:noProof/>
              </w:rPr>
              <w:t xml:space="preserve">5.1 Wymogi dyrektywy</w:t>
            </w:r>
            <w:r>
              <w:rPr>
                <w:noProof/>
                <w:webHidden/>
              </w:rPr>
              <w:tab/>
            </w:r>
            <w:r>
              <w:rPr>
                <w:noProof/>
                <w:webHidden/>
              </w:rPr>
              <w:fldChar w:fldCharType="begin"/>
            </w:r>
            <w:r>
              <w:rPr>
                <w:noProof/>
                <w:webHidden/>
              </w:rPr>
              <w:instrText xml:space="preserve"> PAGEREF _Toc233699493 \h </w:instrText>
            </w:r>
            <w:r>
              <w:rPr>
                <w:noProof/>
                <w:webHidden/>
              </w:rPr>
              <w:fldChar w:fldCharType="separate"/>
            </w:r>
            <w:r>
              <w:rPr>
                <w:noProof/>
                <w:webHidden/>
              </w:rPr>
              <w:t>29</w:t>
            </w:r>
            <w:r>
              <w:rPr>
                <w:noProof/>
                <w:webHidden/>
              </w:rPr>
              <w:fldChar w:fldCharType="end"/>
            </w:r>
          </w:hyperlink>
        </w:p>
        <w:p w:rsidR="00615F18" w:rsidRDefault="00615F18" w14:paraId="604BC24E" w14:textId="380C6B29">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94">
            <w:r w:rsidRPr="00C7164C">
              <w:rPr>
                <w:rStyle w:val="Hiperpovezava"/>
                <w:noProof/>
              </w:rPr>
              <w:t xml:space="preserve">5.2 Wnioski wynikające z praktyki</w:t>
            </w:r>
            <w:r>
              <w:rPr>
                <w:noProof/>
                <w:webHidden/>
              </w:rPr>
              <w:tab/>
            </w:r>
            <w:r>
              <w:rPr>
                <w:noProof/>
                <w:webHidden/>
              </w:rPr>
              <w:fldChar w:fldCharType="begin"/>
            </w:r>
            <w:r>
              <w:rPr>
                <w:noProof/>
                <w:webHidden/>
              </w:rPr>
              <w:instrText xml:space="preserve"> PAGEREF _Toc233699494 \h </w:instrText>
            </w:r>
            <w:r>
              <w:rPr>
                <w:noProof/>
                <w:webHidden/>
              </w:rPr>
              <w:fldChar w:fldCharType="separate"/>
            </w:r>
            <w:r>
              <w:rPr>
                <w:noProof/>
                <w:webHidden/>
              </w:rPr>
              <w:t>30</w:t>
            </w:r>
            <w:r>
              <w:rPr>
                <w:noProof/>
                <w:webHidden/>
              </w:rPr>
              <w:fldChar w:fldCharType="end"/>
            </w:r>
          </w:hyperlink>
        </w:p>
        <w:p w:rsidR="00615F18" w:rsidRDefault="00615F18" w14:paraId="556A25BE" w14:textId="43DE6E57">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95">
            <w:r w:rsidRPr="00C7164C">
              <w:rPr>
                <w:rStyle w:val="Hiperpovezava"/>
                <w:noProof/>
              </w:rPr>
              <w:t xml:space="preserve">5.3 Zalecenia</w:t>
            </w:r>
            <w:r>
              <w:rPr>
                <w:noProof/>
                <w:webHidden/>
              </w:rPr>
              <w:tab/>
            </w:r>
            <w:r>
              <w:rPr>
                <w:noProof/>
                <w:webHidden/>
              </w:rPr>
              <w:fldChar w:fldCharType="begin"/>
            </w:r>
            <w:r>
              <w:rPr>
                <w:noProof/>
                <w:webHidden/>
              </w:rPr>
              <w:instrText xml:space="preserve"> PAGEREF _Toc233699495 \h </w:instrText>
            </w:r>
            <w:r>
              <w:rPr>
                <w:noProof/>
                <w:webHidden/>
              </w:rPr>
              <w:fldChar w:fldCharType="separate"/>
            </w:r>
            <w:r>
              <w:rPr>
                <w:noProof/>
                <w:webHidden/>
              </w:rPr>
              <w:t>31</w:t>
            </w:r>
            <w:r>
              <w:rPr>
                <w:noProof/>
                <w:webHidden/>
              </w:rPr>
              <w:fldChar w:fldCharType="end"/>
            </w:r>
          </w:hyperlink>
        </w:p>
        <w:p w:rsidR="00615F18" w:rsidRDefault="00615F18" w14:paraId="6436CA14" w14:textId="5EB594B6">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496">
            <w:r w:rsidRPr="00C7164C">
              <w:rPr>
                <w:rStyle w:val="Hiperpovezava"/>
                <w:noProof/>
              </w:rPr>
              <w:t xml:space="preserve">Rozdział 6: Prawa zbiorowe i dialog społeczny</w:t>
            </w:r>
            <w:r>
              <w:rPr>
                <w:noProof/>
                <w:webHidden/>
              </w:rPr>
              <w:tab/>
            </w:r>
            <w:r>
              <w:rPr>
                <w:noProof/>
                <w:webHidden/>
              </w:rPr>
              <w:fldChar w:fldCharType="begin"/>
            </w:r>
            <w:r>
              <w:rPr>
                <w:noProof/>
                <w:webHidden/>
              </w:rPr>
              <w:instrText xml:space="preserve"> PAGEREF _Toc233699496 \h </w:instrText>
            </w:r>
            <w:r>
              <w:rPr>
                <w:noProof/>
                <w:webHidden/>
              </w:rPr>
              <w:fldChar w:fldCharType="separate"/>
            </w:r>
            <w:r>
              <w:rPr>
                <w:noProof/>
                <w:webHidden/>
              </w:rPr>
              <w:t>34</w:t>
            </w:r>
            <w:r>
              <w:rPr>
                <w:noProof/>
                <w:webHidden/>
              </w:rPr>
              <w:fldChar w:fldCharType="end"/>
            </w:r>
          </w:hyperlink>
        </w:p>
        <w:p w:rsidR="00615F18" w:rsidRDefault="00615F18" w14:paraId="24F35C3A" w14:textId="492D6662">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97">
            <w:r w:rsidRPr="00C7164C">
              <w:rPr>
                <w:rStyle w:val="Hiperpovezava"/>
                <w:noProof/>
              </w:rPr>
              <w:t xml:space="preserve">6.1 Wymogi dyrektywy</w:t>
            </w:r>
            <w:r>
              <w:rPr>
                <w:noProof/>
                <w:webHidden/>
              </w:rPr>
              <w:tab/>
            </w:r>
            <w:r>
              <w:rPr>
                <w:noProof/>
                <w:webHidden/>
              </w:rPr>
              <w:fldChar w:fldCharType="begin"/>
            </w:r>
            <w:r>
              <w:rPr>
                <w:noProof/>
                <w:webHidden/>
              </w:rPr>
              <w:instrText xml:space="preserve"> PAGEREF _Toc233699497 \h </w:instrText>
            </w:r>
            <w:r>
              <w:rPr>
                <w:noProof/>
                <w:webHidden/>
              </w:rPr>
              <w:fldChar w:fldCharType="separate"/>
            </w:r>
            <w:r>
              <w:rPr>
                <w:noProof/>
                <w:webHidden/>
              </w:rPr>
              <w:t>34</w:t>
            </w:r>
            <w:r>
              <w:rPr>
                <w:noProof/>
                <w:webHidden/>
              </w:rPr>
              <w:fldChar w:fldCharType="end"/>
            </w:r>
          </w:hyperlink>
        </w:p>
        <w:p w:rsidR="00615F18" w:rsidRDefault="00615F18" w14:paraId="2725D352" w14:textId="1FB7C115">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98">
            <w:r w:rsidRPr="00C7164C">
              <w:rPr>
                <w:rStyle w:val="Hiperpovezava"/>
                <w:noProof/>
              </w:rPr>
              <w:t xml:space="preserve">6.2 Wnioski wynikające z praktyki</w:t>
            </w:r>
            <w:r>
              <w:rPr>
                <w:noProof/>
                <w:webHidden/>
              </w:rPr>
              <w:tab/>
            </w:r>
            <w:r>
              <w:rPr>
                <w:noProof/>
                <w:webHidden/>
              </w:rPr>
              <w:fldChar w:fldCharType="begin"/>
            </w:r>
            <w:r>
              <w:rPr>
                <w:noProof/>
                <w:webHidden/>
              </w:rPr>
              <w:instrText xml:space="preserve"> PAGEREF _Toc233699498 \h </w:instrText>
            </w:r>
            <w:r>
              <w:rPr>
                <w:noProof/>
                <w:webHidden/>
              </w:rPr>
              <w:fldChar w:fldCharType="separate"/>
            </w:r>
            <w:r>
              <w:rPr>
                <w:noProof/>
                <w:webHidden/>
              </w:rPr>
              <w:t>35</w:t>
            </w:r>
            <w:r>
              <w:rPr>
                <w:noProof/>
                <w:webHidden/>
              </w:rPr>
              <w:fldChar w:fldCharType="end"/>
            </w:r>
          </w:hyperlink>
        </w:p>
        <w:p w:rsidR="00615F18" w:rsidRDefault="00615F18" w14:paraId="7128B7BE" w14:textId="5EBD0293">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99">
            <w:r w:rsidRPr="00C7164C">
              <w:rPr>
                <w:rStyle w:val="Hiperpovezava"/>
                <w:noProof/>
              </w:rPr>
              <w:t xml:space="preserve">6.3 Zalecenia</w:t>
            </w:r>
            <w:r>
              <w:rPr>
                <w:noProof/>
                <w:webHidden/>
              </w:rPr>
              <w:tab/>
            </w:r>
            <w:r>
              <w:rPr>
                <w:noProof/>
                <w:webHidden/>
              </w:rPr>
              <w:fldChar w:fldCharType="begin"/>
            </w:r>
            <w:r>
              <w:rPr>
                <w:noProof/>
                <w:webHidden/>
              </w:rPr>
              <w:instrText xml:space="preserve"> PAGEREF _Toc233699499 \h </w:instrText>
            </w:r>
            <w:r>
              <w:rPr>
                <w:noProof/>
                <w:webHidden/>
              </w:rPr>
              <w:fldChar w:fldCharType="separate"/>
            </w:r>
            <w:r>
              <w:rPr>
                <w:noProof/>
                <w:webHidden/>
              </w:rPr>
              <w:t>37</w:t>
            </w:r>
            <w:r>
              <w:rPr>
                <w:noProof/>
                <w:webHidden/>
              </w:rPr>
              <w:fldChar w:fldCharType="end"/>
            </w:r>
          </w:hyperlink>
        </w:p>
        <w:p w:rsidR="00615F18" w:rsidRDefault="00615F18" w14:paraId="421DF4C0" w14:textId="132FFB59">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500">
            <w:r w:rsidRPr="00C7164C">
              <w:rPr>
                <w:rStyle w:val="Hiperpovezava"/>
                <w:noProof/>
              </w:rPr>
              <w:t xml:space="preserve">Rozdział 7: Egzekwowanie i środki prawne</w:t>
            </w:r>
            <w:r>
              <w:rPr>
                <w:noProof/>
                <w:webHidden/>
              </w:rPr>
              <w:tab/>
            </w:r>
            <w:r>
              <w:rPr>
                <w:noProof/>
                <w:webHidden/>
              </w:rPr>
              <w:fldChar w:fldCharType="begin"/>
            </w:r>
            <w:r>
              <w:rPr>
                <w:noProof/>
                <w:webHidden/>
              </w:rPr>
              <w:instrText xml:space="preserve"> PAGEREF _Toc233699500 \h </w:instrText>
            </w:r>
            <w:r>
              <w:rPr>
                <w:noProof/>
                <w:webHidden/>
              </w:rPr>
              <w:fldChar w:fldCharType="separate"/>
            </w:r>
            <w:r>
              <w:rPr>
                <w:noProof/>
                <w:webHidden/>
              </w:rPr>
              <w:t>40</w:t>
            </w:r>
            <w:r>
              <w:rPr>
                <w:noProof/>
                <w:webHidden/>
              </w:rPr>
              <w:fldChar w:fldCharType="end"/>
            </w:r>
          </w:hyperlink>
        </w:p>
        <w:p w:rsidR="00615F18" w:rsidRDefault="00615F18" w14:paraId="124345FD" w14:textId="14569ED6">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01">
            <w:r w:rsidRPr="00C7164C">
              <w:rPr>
                <w:rStyle w:val="Hiperpovezava"/>
                <w:noProof/>
              </w:rPr>
              <w:t xml:space="preserve">7.1 Wymogi dyrektywy</w:t>
            </w:r>
            <w:r>
              <w:rPr>
                <w:noProof/>
                <w:webHidden/>
              </w:rPr>
              <w:tab/>
            </w:r>
            <w:r>
              <w:rPr>
                <w:noProof/>
                <w:webHidden/>
              </w:rPr>
              <w:fldChar w:fldCharType="begin"/>
            </w:r>
            <w:r>
              <w:rPr>
                <w:noProof/>
                <w:webHidden/>
              </w:rPr>
              <w:instrText xml:space="preserve"> PAGEREF _Toc233699501 \h </w:instrText>
            </w:r>
            <w:r>
              <w:rPr>
                <w:noProof/>
                <w:webHidden/>
              </w:rPr>
              <w:fldChar w:fldCharType="separate"/>
            </w:r>
            <w:r>
              <w:rPr>
                <w:noProof/>
                <w:webHidden/>
              </w:rPr>
              <w:t>40</w:t>
            </w:r>
            <w:r>
              <w:rPr>
                <w:noProof/>
                <w:webHidden/>
              </w:rPr>
              <w:fldChar w:fldCharType="end"/>
            </w:r>
          </w:hyperlink>
        </w:p>
        <w:p w:rsidR="00615F18" w:rsidRDefault="00615F18" w14:paraId="39E0C564" w14:textId="7015E8C9">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02">
            <w:r w:rsidRPr="00C7164C">
              <w:rPr>
                <w:rStyle w:val="Hiperpovezava"/>
                <w:noProof/>
              </w:rPr>
              <w:t xml:space="preserve">7.2 Wnioski wynikające z praktyki</w:t>
            </w:r>
            <w:r>
              <w:rPr>
                <w:noProof/>
                <w:webHidden/>
              </w:rPr>
              <w:tab/>
            </w:r>
            <w:r>
              <w:rPr>
                <w:noProof/>
                <w:webHidden/>
              </w:rPr>
              <w:fldChar w:fldCharType="begin"/>
            </w:r>
            <w:r>
              <w:rPr>
                <w:noProof/>
                <w:webHidden/>
              </w:rPr>
              <w:instrText xml:space="preserve"> PAGEREF _Toc233699502 \h </w:instrText>
            </w:r>
            <w:r>
              <w:rPr>
                <w:noProof/>
                <w:webHidden/>
              </w:rPr>
              <w:fldChar w:fldCharType="separate"/>
            </w:r>
            <w:r>
              <w:rPr>
                <w:noProof/>
                <w:webHidden/>
              </w:rPr>
              <w:t>41</w:t>
            </w:r>
            <w:r>
              <w:rPr>
                <w:noProof/>
                <w:webHidden/>
              </w:rPr>
              <w:fldChar w:fldCharType="end"/>
            </w:r>
          </w:hyperlink>
        </w:p>
        <w:p w:rsidR="00615F18" w:rsidRDefault="00615F18" w14:paraId="7F0155EE" w14:textId="2184F91E">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03">
            <w:r w:rsidRPr="00C7164C">
              <w:rPr>
                <w:rStyle w:val="Hiperpovezava"/>
                <w:noProof/>
              </w:rPr>
              <w:t xml:space="preserve">7.3 Zalecenia</w:t>
            </w:r>
            <w:r>
              <w:rPr>
                <w:noProof/>
                <w:webHidden/>
              </w:rPr>
              <w:tab/>
            </w:r>
            <w:r>
              <w:rPr>
                <w:noProof/>
                <w:webHidden/>
              </w:rPr>
              <w:fldChar w:fldCharType="begin"/>
            </w:r>
            <w:r>
              <w:rPr>
                <w:noProof/>
                <w:webHidden/>
              </w:rPr>
              <w:instrText xml:space="preserve"> PAGEREF _Toc233699503 \h </w:instrText>
            </w:r>
            <w:r>
              <w:rPr>
                <w:noProof/>
                <w:webHidden/>
              </w:rPr>
              <w:fldChar w:fldCharType="separate"/>
            </w:r>
            <w:r>
              <w:rPr>
                <w:noProof/>
                <w:webHidden/>
              </w:rPr>
              <w:t>42</w:t>
            </w:r>
            <w:r>
              <w:rPr>
                <w:noProof/>
                <w:webHidden/>
              </w:rPr>
              <w:fldChar w:fldCharType="end"/>
            </w:r>
          </w:hyperlink>
        </w:p>
        <w:p w:rsidR="00615F18" w:rsidRDefault="00615F18" w14:paraId="714A8C09" w14:textId="446CE3BE">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504">
            <w:r w:rsidRPr="00C7164C">
              <w:rPr>
                <w:rStyle w:val="Hiperpovezava"/>
                <w:noProof/>
              </w:rPr>
              <w:t xml:space="preserve">Rozdział 8: Szersze zastosowanie dyrektywy poza pracą na platformach</w:t>
            </w:r>
            <w:r>
              <w:rPr>
                <w:noProof/>
                <w:webHidden/>
              </w:rPr>
              <w:tab/>
            </w:r>
            <w:r>
              <w:rPr>
                <w:noProof/>
                <w:webHidden/>
              </w:rPr>
              <w:fldChar w:fldCharType="begin"/>
            </w:r>
            <w:r>
              <w:rPr>
                <w:noProof/>
                <w:webHidden/>
              </w:rPr>
              <w:instrText xml:space="preserve"> PAGEREF _Toc233699504 \h </w:instrText>
            </w:r>
            <w:r>
              <w:rPr>
                <w:noProof/>
                <w:webHidden/>
              </w:rPr>
              <w:fldChar w:fldCharType="separate"/>
            </w:r>
            <w:r>
              <w:rPr>
                <w:noProof/>
                <w:webHidden/>
              </w:rPr>
              <w:t>46</w:t>
            </w:r>
            <w:r>
              <w:rPr>
                <w:noProof/>
                <w:webHidden/>
              </w:rPr>
              <w:fldChar w:fldCharType="end"/>
            </w:r>
          </w:hyperlink>
        </w:p>
        <w:p w:rsidR="00615F18" w:rsidRDefault="00615F18" w14:paraId="53EB29C8" w14:textId="14D3DC13">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05">
            <w:r w:rsidRPr="00C7164C">
              <w:rPr>
                <w:rStyle w:val="Hiperpovezava"/>
                <w:noProof/>
              </w:rPr>
              <w:t xml:space="preserve">8.1 Co dyrektywa dopuszcza poza pracą na platformach</w:t>
            </w:r>
            <w:r>
              <w:rPr>
                <w:noProof/>
                <w:webHidden/>
              </w:rPr>
              <w:tab/>
            </w:r>
            <w:r>
              <w:rPr>
                <w:noProof/>
                <w:webHidden/>
              </w:rPr>
              <w:fldChar w:fldCharType="begin"/>
            </w:r>
            <w:r>
              <w:rPr>
                <w:noProof/>
                <w:webHidden/>
              </w:rPr>
              <w:instrText xml:space="preserve"> PAGEREF _Toc233699505 \h </w:instrText>
            </w:r>
            <w:r>
              <w:rPr>
                <w:noProof/>
                <w:webHidden/>
              </w:rPr>
              <w:fldChar w:fldCharType="separate"/>
            </w:r>
            <w:r>
              <w:rPr>
                <w:noProof/>
                <w:webHidden/>
              </w:rPr>
              <w:t>46</w:t>
            </w:r>
            <w:r>
              <w:rPr>
                <w:noProof/>
                <w:webHidden/>
              </w:rPr>
              <w:fldChar w:fldCharType="end"/>
            </w:r>
          </w:hyperlink>
        </w:p>
        <w:p w:rsidR="00615F18" w:rsidRDefault="00615F18" w14:paraId="7FAEC8E0" w14:textId="25B499C4">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06">
            <w:r w:rsidRPr="00C7164C">
              <w:rPr>
                <w:rStyle w:val="Hiperpovezava"/>
                <w:noProof/>
              </w:rPr>
              <w:t xml:space="preserve">8.2 Wnioski wynikające z praktyki</w:t>
            </w:r>
            <w:r>
              <w:rPr>
                <w:noProof/>
                <w:webHidden/>
              </w:rPr>
              <w:tab/>
            </w:r>
            <w:r>
              <w:rPr>
                <w:noProof/>
                <w:webHidden/>
              </w:rPr>
              <w:fldChar w:fldCharType="begin"/>
            </w:r>
            <w:r>
              <w:rPr>
                <w:noProof/>
                <w:webHidden/>
              </w:rPr>
              <w:instrText xml:space="preserve"> PAGEREF _Toc233699506 \h </w:instrText>
            </w:r>
            <w:r>
              <w:rPr>
                <w:noProof/>
                <w:webHidden/>
              </w:rPr>
              <w:fldChar w:fldCharType="separate"/>
            </w:r>
            <w:r>
              <w:rPr>
                <w:noProof/>
                <w:webHidden/>
              </w:rPr>
              <w:t>46</w:t>
            </w:r>
            <w:r>
              <w:rPr>
                <w:noProof/>
                <w:webHidden/>
              </w:rPr>
              <w:fldChar w:fldCharType="end"/>
            </w:r>
          </w:hyperlink>
        </w:p>
        <w:p w:rsidR="00615F18" w:rsidRDefault="00615F18" w14:paraId="6F5D36CD" w14:textId="52C7C2BF">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07">
            <w:r w:rsidRPr="00C7164C">
              <w:rPr>
                <w:rStyle w:val="Hiperpovezava"/>
                <w:noProof/>
              </w:rPr>
              <w:t xml:space="preserve">8.3 Zalecenia</w:t>
            </w:r>
            <w:r>
              <w:rPr>
                <w:noProof/>
                <w:webHidden/>
              </w:rPr>
              <w:tab/>
            </w:r>
            <w:r>
              <w:rPr>
                <w:noProof/>
                <w:webHidden/>
              </w:rPr>
              <w:fldChar w:fldCharType="begin"/>
            </w:r>
            <w:r>
              <w:rPr>
                <w:noProof/>
                <w:webHidden/>
              </w:rPr>
              <w:instrText xml:space="preserve"> PAGEREF _Toc233699507 \h </w:instrText>
            </w:r>
            <w:r>
              <w:rPr>
                <w:noProof/>
                <w:webHidden/>
              </w:rPr>
              <w:fldChar w:fldCharType="separate"/>
            </w:r>
            <w:r>
              <w:rPr>
                <w:noProof/>
                <w:webHidden/>
              </w:rPr>
              <w:t>48</w:t>
            </w:r>
            <w:r>
              <w:rPr>
                <w:noProof/>
                <w:webHidden/>
              </w:rPr>
              <w:fldChar w:fldCharType="end"/>
            </w:r>
          </w:hyperlink>
        </w:p>
        <w:p w:rsidR="00615F18" w:rsidRDefault="00615F18" w14:paraId="660C595F" w14:textId="5B0AC8C3">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508">
            <w:r w:rsidRPr="00C7164C">
              <w:rPr>
                <w:rStyle w:val="Hiperpovezava"/>
                <w:noProof/>
              </w:rPr>
              <w:t xml:space="preserve">Rozdział 9: Wyzwania związane z wdrażaniem i strategie unikania</w:t>
            </w:r>
            <w:r>
              <w:rPr>
                <w:noProof/>
                <w:webHidden/>
              </w:rPr>
              <w:tab/>
            </w:r>
            <w:r>
              <w:rPr>
                <w:noProof/>
                <w:webHidden/>
              </w:rPr>
              <w:fldChar w:fldCharType="begin"/>
            </w:r>
            <w:r>
              <w:rPr>
                <w:noProof/>
                <w:webHidden/>
              </w:rPr>
              <w:instrText xml:space="preserve"> PAGEREF _Toc233699508 \h </w:instrText>
            </w:r>
            <w:r>
              <w:rPr>
                <w:noProof/>
                <w:webHidden/>
              </w:rPr>
              <w:fldChar w:fldCharType="separate"/>
            </w:r>
            <w:r>
              <w:rPr>
                <w:noProof/>
                <w:webHidden/>
              </w:rPr>
              <w:t>50</w:t>
            </w:r>
            <w:r>
              <w:rPr>
                <w:noProof/>
                <w:webHidden/>
              </w:rPr>
              <w:fldChar w:fldCharType="end"/>
            </w:r>
          </w:hyperlink>
        </w:p>
        <w:p w:rsidR="00615F18" w:rsidRDefault="00615F18" w14:paraId="02CD77F1" w14:textId="64A72F70">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09">
            <w:r w:rsidRPr="00C7164C">
              <w:rPr>
                <w:rStyle w:val="Hiperpovezava"/>
                <w:noProof/>
              </w:rPr>
              <w:t xml:space="preserve">9.1 Strukturalne wyzwania związane z wdrażaniem</w:t>
            </w:r>
            <w:r>
              <w:rPr>
                <w:noProof/>
                <w:webHidden/>
              </w:rPr>
              <w:tab/>
            </w:r>
            <w:r>
              <w:rPr>
                <w:noProof/>
                <w:webHidden/>
              </w:rPr>
              <w:fldChar w:fldCharType="begin"/>
            </w:r>
            <w:r>
              <w:rPr>
                <w:noProof/>
                <w:webHidden/>
              </w:rPr>
              <w:instrText xml:space="preserve"> PAGEREF _Toc233699509 \h </w:instrText>
            </w:r>
            <w:r>
              <w:rPr>
                <w:noProof/>
                <w:webHidden/>
              </w:rPr>
              <w:fldChar w:fldCharType="separate"/>
            </w:r>
            <w:r>
              <w:rPr>
                <w:noProof/>
                <w:webHidden/>
              </w:rPr>
              <w:t>50</w:t>
            </w:r>
            <w:r>
              <w:rPr>
                <w:noProof/>
                <w:webHidden/>
              </w:rPr>
              <w:fldChar w:fldCharType="end"/>
            </w:r>
          </w:hyperlink>
        </w:p>
        <w:p w:rsidR="00615F18" w:rsidRDefault="00615F18" w14:paraId="1F7F17A5" w14:textId="62325ED7">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10">
            <w:r w:rsidRPr="00C7164C">
              <w:rPr>
                <w:rStyle w:val="Hiperpovezava"/>
                <w:noProof/>
              </w:rPr>
              <w:t xml:space="preserve">9.2 Strategie unikania platform</w:t>
            </w:r>
            <w:r>
              <w:rPr>
                <w:noProof/>
                <w:webHidden/>
              </w:rPr>
              <w:tab/>
            </w:r>
            <w:r>
              <w:rPr>
                <w:noProof/>
                <w:webHidden/>
              </w:rPr>
              <w:fldChar w:fldCharType="begin"/>
            </w:r>
            <w:r>
              <w:rPr>
                <w:noProof/>
                <w:webHidden/>
              </w:rPr>
              <w:instrText xml:space="preserve"> PAGEREF _Toc233699510 \h </w:instrText>
            </w:r>
            <w:r>
              <w:rPr>
                <w:noProof/>
                <w:webHidden/>
              </w:rPr>
              <w:fldChar w:fldCharType="separate"/>
            </w:r>
            <w:r>
              <w:rPr>
                <w:noProof/>
                <w:webHidden/>
              </w:rPr>
              <w:t>50</w:t>
            </w:r>
            <w:r>
              <w:rPr>
                <w:noProof/>
                <w:webHidden/>
              </w:rPr>
              <w:fldChar w:fldCharType="end"/>
            </w:r>
          </w:hyperlink>
        </w:p>
        <w:p w:rsidR="00615F18" w:rsidRDefault="00615F18" w14:paraId="69BAC62B" w14:textId="19B1266E">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11">
            <w:r w:rsidRPr="00C7164C">
              <w:rPr>
                <w:rStyle w:val="Hiperpovezava"/>
                <w:noProof/>
              </w:rPr>
              <w:t xml:space="preserve">9.3 Zalecenia</w:t>
            </w:r>
            <w:r>
              <w:rPr>
                <w:noProof/>
                <w:webHidden/>
              </w:rPr>
              <w:tab/>
            </w:r>
            <w:r>
              <w:rPr>
                <w:noProof/>
                <w:webHidden/>
              </w:rPr>
              <w:fldChar w:fldCharType="begin"/>
            </w:r>
            <w:r>
              <w:rPr>
                <w:noProof/>
                <w:webHidden/>
              </w:rPr>
              <w:instrText xml:space="preserve"> PAGEREF _Toc233699511 \h </w:instrText>
            </w:r>
            <w:r>
              <w:rPr>
                <w:noProof/>
                <w:webHidden/>
              </w:rPr>
              <w:fldChar w:fldCharType="separate"/>
            </w:r>
            <w:r>
              <w:rPr>
                <w:noProof/>
                <w:webHidden/>
              </w:rPr>
              <w:t>53</w:t>
            </w:r>
            <w:r>
              <w:rPr>
                <w:noProof/>
                <w:webHidden/>
              </w:rPr>
              <w:fldChar w:fldCharType="end"/>
            </w:r>
          </w:hyperlink>
        </w:p>
        <w:p w:rsidR="00615F18" w:rsidRDefault="00615F18" w14:paraId="3D515D6D" w14:textId="18A8856E">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512">
            <w:r w:rsidRPr="00C7164C">
              <w:rPr>
                <w:rStyle w:val="Hiperpovezava"/>
                <w:noProof/>
              </w:rPr>
              <w:t xml:space="preserve">Rozdział 10: Podsumowanie</w:t>
            </w:r>
            <w:r>
              <w:rPr>
                <w:noProof/>
                <w:webHidden/>
              </w:rPr>
              <w:tab/>
            </w:r>
            <w:r>
              <w:rPr>
                <w:noProof/>
                <w:webHidden/>
              </w:rPr>
              <w:fldChar w:fldCharType="begin"/>
            </w:r>
            <w:r>
              <w:rPr>
                <w:noProof/>
                <w:webHidden/>
              </w:rPr>
              <w:instrText xml:space="preserve"> PAGEREF _Toc233699512 \h </w:instrText>
            </w:r>
            <w:r>
              <w:rPr>
                <w:noProof/>
                <w:webHidden/>
              </w:rPr>
              <w:fldChar w:fldCharType="separate"/>
            </w:r>
            <w:r>
              <w:rPr>
                <w:noProof/>
                <w:webHidden/>
              </w:rPr>
              <w:t>55</w:t>
            </w:r>
            <w:r>
              <w:rPr>
                <w:noProof/>
                <w:webHidden/>
              </w:rPr>
              <w:fldChar w:fldCharType="end"/>
            </w:r>
          </w:hyperlink>
        </w:p>
        <w:p w:rsidR="00983F19" w:rsidP="00750824" w:rsidRDefault="00000000" w14:paraId="50005A1E" w14:textId="7579F776">
          <w:pPr>
            <w:jc w:val="both"/>
          </w:pPr>
          <w:r>
            <w:fldChar w:fldCharType="end"/>
          </w:r>
        </w:p>
      </w:sdtContent>
    </w:sdt>
    <w:p w:rsidR="00983F19" w:rsidP="00750824" w:rsidRDefault="00983F19" w14:paraId="388E2317" w14:textId="77777777">
      <w:pPr>
        <w:jc w:val="both"/>
      </w:pPr>
      <w:bookmarkStart w:name="predgovor" w:id="3"/>
    </w:p>
    <w:p w:rsidR="00D90A18" w:rsidP="00750824" w:rsidRDefault="00D90A18" w14:paraId="3FE4FC4D" w14:textId="77777777">
      <w:pPr>
        <w:pStyle w:val="Naslov1"/>
        <w:jc w:val="both"/>
      </w:pPr>
      <w:bookmarkStart w:name="poglavje-2-izvršni-povzetek" w:id="4"/>
      <w:bookmarkEnd w:id="3"/>
    </w:p>
    <w:p w:rsidR="00750824" w:rsidRDefault="00750824" w14:paraId="03C58A13" w14:textId="77777777">
      <w:pPr>
        <w:rPr>
          <w:b/>
          <w:bCs/>
          <w:color w:val="1F3864"/>
          <w:sz w:val="36"/>
          <w:szCs w:val="36"/>
        </w:rPr>
      </w:pPr>
      <w:r>
        <w:br w:type="page"/>
      </w:r>
    </w:p>
    <w:p w:rsidR="00983F19" w:rsidP="00750824" w:rsidRDefault="00000000" w14:paraId="4EAFF2BC" w14:textId="72716891">
      <w:pPr>
        <w:pStyle w:val="Naslov1"/>
        <w:jc w:val="both"/>
      </w:pPr>
      <w:bookmarkStart w:name="_Toc233699479" w:id="5"/>
      <w:r>
        <w:lastRenderedPageBreak/>
      </w:r>
      <w:r>
        <w:t xml:space="preserve">Rozdział 1: Wprowadzenie</w:t>
      </w:r>
      <w:bookmarkEnd w:id="5"/>
    </w:p>
    <w:p w:rsidR="00983F19" w:rsidP="00750824" w:rsidRDefault="00000000" w14:paraId="4EFFEB31" w14:textId="677BFD55">
      <w:pPr>
        <w:jc w:val="both"/>
      </w:pPr>
      <w:r>
        <w:t xml:space="preserve">Dyrektywa (UE) 2024/2831 w sprawie poprawy warunków pracy w </w:t>
      </w:r>
      <w:r>
        <w:t xml:space="preserve">sektorze </w:t>
      </w:r>
      <w:r>
        <w:t xml:space="preserve">platformowym </w:t>
      </w:r>
      <w:r>
        <w:t xml:space="preserve">została przyjęta 23 października 2024 r., a państwa członkowskie muszą ją transponować do prawa krajowego do 2 grudnia 2026 r. Jest to pierwsza odpowiedź prawna Unii Europejskiej na model biznesowy, który w ciągu piętnastu lat stworzył nową formę </w:t>
      </w:r>
      <w:r>
        <w:t xml:space="preserve">pracy </w:t>
      </w:r>
      <w:r>
        <w:t xml:space="preserve">o niepewnym charakterze</w:t>
      </w:r>
      <w:r>
        <w:t xml:space="preserve">.</w:t>
      </w:r>
      <w:r w:rsidR="00DC6DE9">
        <w:t xml:space="preserve"> Dla ponad 28 milionów osób w UE </w:t>
      </w:r>
      <w:r w:rsidR="00DC6DE9">
        <w:t xml:space="preserve">praca jest organizowana </w:t>
      </w:r>
      <w:r>
        <w:t xml:space="preserve">za pomocą zarządzania algorytmicznego (</w:t>
      </w:r>
      <w:r w:rsidR="008920C5">
        <w:t xml:space="preserve">„</w:t>
      </w:r>
      <w:r>
        <w:t xml:space="preserve">algorithmic </w:t>
      </w:r>
      <w:r>
        <w:t xml:space="preserve">management </w:t>
      </w:r>
      <w:r w:rsidR="008920C5">
        <w:t xml:space="preserve">(</w:t>
      </w:r>
      <w:r>
        <w:t xml:space="preserve">AM</w:t>
      </w:r>
      <w:r w:rsidR="008920C5">
        <w:t xml:space="preserve">)”</w:t>
      </w:r>
      <w:r>
        <w:t xml:space="preserve">) za pośrednictwem platform cyfrowych, jednak bez podstawowych zabezpieczeń: bez minimalnego wynagrodzenia, bez składek na ubezpieczenie społeczne, bez prawa do wyjaśnienia </w:t>
      </w:r>
      <w:r w:rsidR="00DC6DE9">
        <w:t xml:space="preserve">decyzji modeli algorytmicznych</w:t>
      </w:r>
      <w:r>
        <w:t xml:space="preserve">. </w:t>
      </w:r>
      <w:r>
        <w:t xml:space="preserve">W ciągu dwóch lat </w:t>
      </w:r>
      <w:r>
        <w:t xml:space="preserve">projekt SDDP (</w:t>
      </w:r>
      <w:r>
        <w:t xml:space="preserve">Establishing </w:t>
      </w:r>
      <w:r>
        <w:t xml:space="preserve">and </w:t>
      </w:r>
      <w:r>
        <w:t xml:space="preserve">Strengthening </w:t>
      </w:r>
      <w:r>
        <w:t xml:space="preserve">Social </w:t>
      </w:r>
      <w:r>
        <w:t xml:space="preserve">Dialogue </w:t>
      </w:r>
      <w:r>
        <w:t xml:space="preserve">in </w:t>
      </w:r>
      <w:r>
        <w:t xml:space="preserve">Digital </w:t>
      </w:r>
      <w:r>
        <w:t xml:space="preserve">Platforms</w:t>
      </w:r>
      <w:r>
        <w:t xml:space="preserve">) w pięciu krajach partnerskich (Austria, Włochy, Belgia, Słowenia, Polska) oraz we współpracy z ETUC zbadał, w jaki sposób </w:t>
      </w:r>
      <w:r>
        <w:t xml:space="preserve">wdrożyć </w:t>
      </w:r>
      <w:r>
        <w:t xml:space="preserve">dyrektywę </w:t>
      </w:r>
      <w:r w:rsidR="00DC6DE9">
        <w:t xml:space="preserve">do ustawodawstw krajowych </w:t>
      </w:r>
      <w:r>
        <w:t xml:space="preserve">tak, aby faktycznie zmieniła ona i poprawiła warunki pracy </w:t>
      </w:r>
      <w:r w:rsidR="00DC6DE9">
        <w:t xml:space="preserve">pracowników w </w:t>
      </w:r>
      <w:r w:rsidR="00DC6DE9">
        <w:t xml:space="preserve">przedsiębiorstwach </w:t>
      </w:r>
      <w:r w:rsidR="00DC6DE9">
        <w:t xml:space="preserve">platformowych</w:t>
      </w:r>
      <w:r>
        <w:t xml:space="preserve">. Niniejszy dokument jest wynikiem tych prac: zawiera zalecenia dla ministerstw pracy i partnerów społecznych, oparte na doświadczeniach z pięciu krajów partnerskich oraz na dialogu z partnerami porównawczymi z Hiszpanii (</w:t>
      </w:r>
      <w:r>
        <w:t xml:space="preserve">Observatorio </w:t>
      </w:r>
      <w:r>
        <w:t xml:space="preserve">de </w:t>
      </w:r>
      <w:r>
        <w:t xml:space="preserve">trabajo </w:t>
      </w:r>
      <w:r>
        <w:t xml:space="preserve">algorítmico </w:t>
      </w:r>
      <w:r>
        <w:t xml:space="preserve">y </w:t>
      </w:r>
      <w:r>
        <w:t xml:space="preserve">sociedad </w:t>
      </w:r>
      <w:r w:rsidR="00D7386B">
        <w:t xml:space="preserve">– </w:t>
      </w:r>
      <w:r>
        <w:t xml:space="preserve">Observatorio </w:t>
      </w:r>
      <w:r>
        <w:t xml:space="preserve">TAS) i Niemiec (</w:t>
      </w:r>
      <w:r>
        <w:t xml:space="preserve">Lieferando </w:t>
      </w:r>
      <w:r>
        <w:t xml:space="preserve">Workers </w:t>
      </w:r>
      <w:r>
        <w:t xml:space="preserve">Collective</w:t>
      </w:r>
      <w:r>
        <w:t xml:space="preserve">).</w:t>
      </w:r>
    </w:p>
    <w:p w:rsidR="00D90A18" w:rsidP="00750824" w:rsidRDefault="00D90A18" w14:paraId="4AEE88EC" w14:textId="77777777">
      <w:pPr>
        <w:jc w:val="both"/>
      </w:pPr>
    </w:p>
    <w:p w:rsidR="00983F19" w:rsidP="00750824" w:rsidRDefault="00000000" w14:paraId="3C07A292" w14:textId="23D1CD6D">
      <w:pPr>
        <w:jc w:val="both"/>
      </w:pPr>
      <w:r>
        <w:t xml:space="preserve">Dyrektywa nakłada na państwa członkowskie trzy wymagania. Po pierwsze, ustanowienie prawnego domniemania </w:t>
      </w:r>
      <w:r w:rsidR="00CF3B80">
        <w:t xml:space="preserve">stosunku pracy </w:t>
      </w:r>
      <w:r>
        <w:t xml:space="preserve">w odniesieniu do </w:t>
      </w:r>
      <w:r>
        <w:t xml:space="preserve">pracowników </w:t>
      </w:r>
      <w:r>
        <w:t xml:space="preserve">platformowych</w:t>
      </w:r>
      <w:r w:rsidR="00DC6DE9">
        <w:t xml:space="preserve">: </w:t>
      </w:r>
      <w:r>
        <w:t xml:space="preserve">jeśli fakty wskazują</w:t>
      </w:r>
      <w:r w:rsidR="00DC6DE9">
        <w:t xml:space="preserve">, że pracownik otrzymuje </w:t>
      </w:r>
      <w:r>
        <w:t xml:space="preserve">instrukcje </w:t>
      </w:r>
      <w:r w:rsidR="00DC6DE9">
        <w:t xml:space="preserve">dotyczące pracy </w:t>
      </w:r>
      <w:r>
        <w:t xml:space="preserve">i </w:t>
      </w:r>
      <w:r w:rsidR="00DC6DE9">
        <w:t xml:space="preserve">podlega </w:t>
      </w:r>
      <w:r w:rsidR="00DC6DE9">
        <w:t xml:space="preserve">nadzorowi</w:t>
      </w:r>
      <w:r>
        <w:t xml:space="preserve">, stosunek ten traktuje się jako </w:t>
      </w:r>
      <w:r w:rsidR="00CF3B80">
        <w:t xml:space="preserve">stosunek pracy</w:t>
      </w:r>
      <w:r>
        <w:t xml:space="preserve">, a </w:t>
      </w:r>
      <w:r>
        <w:t xml:space="preserve">w przypadku </w:t>
      </w:r>
      <w:r w:rsidR="00DC6DE9">
        <w:t xml:space="preserve">braku zgody </w:t>
      </w:r>
      <w:r w:rsidR="00DC6DE9">
        <w:t xml:space="preserve">to</w:t>
      </w:r>
      <w:r>
        <w:t xml:space="preserve"> platforma </w:t>
      </w:r>
      <w:r>
        <w:t xml:space="preserve">musi </w:t>
      </w:r>
      <w:r>
        <w:t xml:space="preserve">udowodnić</w:t>
      </w:r>
      <w:r w:rsidR="00DC6DE9">
        <w:t xml:space="preserve">, </w:t>
      </w:r>
      <w:r>
        <w:t xml:space="preserve">że jest inaczej.</w:t>
      </w:r>
    </w:p>
    <w:p w:rsidR="00D90A18" w:rsidP="00750824" w:rsidRDefault="00D90A18" w14:paraId="0BF496E8" w14:textId="77777777">
      <w:pPr>
        <w:jc w:val="both"/>
      </w:pPr>
    </w:p>
    <w:p w:rsidR="00983F19" w:rsidP="00750824" w:rsidRDefault="00000000" w14:paraId="414DE9EB" w14:textId="2F8E2726">
      <w:pPr>
        <w:jc w:val="both"/>
      </w:pPr>
      <w:r>
        <w:t xml:space="preserve">Po drugie, regulację zarządzania algorytmicznego (</w:t>
      </w:r>
      <w:r>
        <w:t xml:space="preserve">„algorithmic </w:t>
      </w:r>
      <w:r>
        <w:t xml:space="preserve">management </w:t>
      </w:r>
      <w:r w:rsidR="00DC6DE9">
        <w:t xml:space="preserve">(</w:t>
      </w:r>
      <w:r>
        <w:t xml:space="preserve">AM</w:t>
      </w:r>
      <w:r w:rsidR="00DC6DE9">
        <w:t xml:space="preserve">)“</w:t>
      </w:r>
      <w:r>
        <w:t xml:space="preserve">): platformy muszą ujawnić, jak działa algorytm </w:t>
      </w:r>
      <w:r>
        <w:t xml:space="preserve">odpowiedzialny za przydzielanie zadań, ustalanie wynagrodzenia i </w:t>
      </w:r>
      <w:r w:rsidR="00DC6DE9">
        <w:t xml:space="preserve">nakładanie sankcji </w:t>
      </w:r>
      <w:r>
        <w:t xml:space="preserve">na pracowników</w:t>
      </w:r>
      <w:r w:rsidR="00DC6DE9">
        <w:t xml:space="preserve">. </w:t>
      </w:r>
      <w:r>
        <w:t xml:space="preserve">Absolutnie zabronione jest gromadzenie danych dotyczących stanu emocjonalnego, przynależności do związków zawodowych lub prywatnych rozmów.</w:t>
      </w:r>
    </w:p>
    <w:p w:rsidR="00D90A18" w:rsidP="00750824" w:rsidRDefault="00D90A18" w14:paraId="6513B994" w14:textId="77777777">
      <w:pPr>
        <w:jc w:val="both"/>
      </w:pPr>
    </w:p>
    <w:p w:rsidR="00983F19" w:rsidP="00750824" w:rsidRDefault="00000000" w14:paraId="40C36178" w14:textId="77777777">
      <w:pPr>
        <w:jc w:val="both"/>
      </w:pPr>
      <w:r>
        <w:t xml:space="preserve">Po trzecie, zapewnienie środków prawnych i praw zbiorowych: związki zawodowe powinny mieć możliwość wszczynania postępowań bez zgody każdego pracownika z osobna, a pracownicy muszą mieć dostęp do kanałów komunikacyjnych niezależnych od platformy. To jest minimum. Jeśli państwo członkowskie ograniczy się jedynie do transpozycji tych przepisów do prawa krajowego, nie przewidując mechanizmów wykonawczych, powtórzy się sytuacja z Belgii, gdzie ustawa o </w:t>
      </w:r>
      <w:r>
        <w:t xml:space="preserve">pracy </w:t>
      </w:r>
      <w:r>
        <w:t xml:space="preserve">na platformach </w:t>
      </w:r>
      <w:r>
        <w:t xml:space="preserve">od 2023 r. pozostaje nieskuteczna, ponieważ ministerstwo pracy nie dysponowało procedurami niezbędnymi do jej wdrożenia.</w:t>
      </w:r>
    </w:p>
    <w:p w:rsidR="00D90A18" w:rsidP="00750824" w:rsidRDefault="00D90A18" w14:paraId="227F185B" w14:textId="77777777">
      <w:pPr>
        <w:jc w:val="both"/>
      </w:pPr>
    </w:p>
    <w:p w:rsidR="00983F19" w:rsidP="00750824" w:rsidRDefault="00000000" w14:paraId="00D613C9" w14:textId="77777777">
      <w:pPr>
        <w:jc w:val="both"/>
      </w:pPr>
      <w:r>
        <w:t xml:space="preserve">Niniejszy dokument zaleca, aby państwa członkowskie wykroczyły poza ten minimalny zakres w pięciu kluczowych obszarach:</w:t>
      </w:r>
    </w:p>
    <w:p w:rsidR="00D90A18" w:rsidP="00750824" w:rsidRDefault="00D90A18" w14:paraId="2FC1A664" w14:textId="77777777">
      <w:pPr>
        <w:jc w:val="both"/>
      </w:pPr>
    </w:p>
    <w:p w:rsidR="00983F19" w:rsidP="00750824" w:rsidRDefault="00000000" w14:paraId="33190FCA" w14:textId="532FEADF">
      <w:pPr>
        <w:jc w:val="both"/>
      </w:pPr>
      <w:r>
        <w:t xml:space="preserve">Po pierwsze, przy przenoszeniu domniemania prawnego nie mogą dodawać własnych kryteriów, które umożliwiłyby platformom formalne obejście tych przepisów</w:t>
      </w:r>
      <w:r w:rsidR="00DC6DE9">
        <w:t xml:space="preserve">: </w:t>
      </w:r>
      <w:r>
        <w:t xml:space="preserve">standard musi opierać się na </w:t>
      </w:r>
      <w:r>
        <w:rPr>
          <w:b/>
          <w:bCs/>
        </w:rPr>
        <w:t xml:space="preserve">faktach wskazujących na wydawanie poleceń i sprawowanie nadzoru </w:t>
      </w:r>
      <w:r w:rsidR="00DC6DE9">
        <w:rPr>
          <w:b/>
          <w:bCs/>
        </w:rPr>
        <w:t xml:space="preserve">nad wykonywaniem pracy </w:t>
      </w:r>
      <w:r>
        <w:t xml:space="preserve">(prima </w:t>
      </w:r>
      <w:r>
        <w:t xml:space="preserve">facie</w:t>
      </w:r>
      <w:r>
        <w:t xml:space="preserve">), bez dodatkowych warunków</w:t>
      </w:r>
      <w:r w:rsidR="00DC6DE9">
        <w:t xml:space="preserve">.</w:t>
      </w:r>
    </w:p>
    <w:p w:rsidR="00D90A18" w:rsidP="00750824" w:rsidRDefault="00D90A18" w14:paraId="637F85F8" w14:textId="77777777">
      <w:pPr>
        <w:jc w:val="both"/>
      </w:pPr>
    </w:p>
    <w:p w:rsidR="00983F19" w:rsidP="00750824" w:rsidRDefault="00000000" w14:paraId="2E436B86" w14:textId="77C901B7">
      <w:pPr>
        <w:jc w:val="both"/>
      </w:pPr>
      <w:r>
        <w:t xml:space="preserve">Po drugie, procedury mające na celu ustalenie właściwego statusu zatrudnienia muszą być skuteczne i przede wszystkim administracyjne, a nie sądowe: spory sądowe będą trwały latami, a pracownicy</w:t>
      </w:r>
      <w:r>
        <w:lastRenderedPageBreak/>
      </w:r>
      <w:r>
        <w:t xml:space="preserve"> potrzebują ustalenia statusu już teraz </w:t>
      </w:r>
      <w:r w:rsidR="00D7386B">
        <w:t xml:space="preserve">– </w:t>
      </w:r>
      <w:r>
        <w:t xml:space="preserve">wzmocnione inspektoraty pracy muszą mieć uprawnienia i obowiązek ustalenia statusu w drodze decyzji, bez czekania na rozstrzygnięcie sądowe.</w:t>
      </w:r>
    </w:p>
    <w:p w:rsidR="00DC6DE9" w:rsidP="00750824" w:rsidRDefault="00DC6DE9" w14:paraId="7FE5F913" w14:textId="77777777">
      <w:pPr>
        <w:jc w:val="both"/>
      </w:pPr>
    </w:p>
    <w:p w:rsidR="00983F19" w:rsidP="00750824" w:rsidRDefault="00000000" w14:paraId="6B80CF8A" w14:textId="60893ECA">
      <w:pPr>
        <w:jc w:val="both"/>
      </w:pPr>
      <w:r>
        <w:t xml:space="preserve">Po trzecie, należy ustanowić mechanizm tymczasowej ochrony zbiorowej: gdy inspektorat pracy stwierdzi, że platforma jest pracodawcą, najpóźniej w ciągu piętnastu dni </w:t>
      </w:r>
      <w:r w:rsidR="00D7386B">
        <w:t xml:space="preserve">– </w:t>
      </w:r>
      <w:r>
        <w:t xml:space="preserve">lub w krótszym terminie, na jaki zezwala krajowy porządek prawny </w:t>
      </w:r>
      <w:r w:rsidR="00D7386B">
        <w:t xml:space="preserve">– </w:t>
      </w:r>
      <w:r>
        <w:t xml:space="preserve">należy zainicjować obowiązkowy dialog trójstronny, który zapewni minimalne wynagrodzenie i zabezpieczenie społeczne na czas postępowania sądowego </w:t>
      </w:r>
      <w:r w:rsidR="00D7386B">
        <w:t xml:space="preserve">– </w:t>
      </w:r>
      <w:r>
        <w:t xml:space="preserve">w przeciwnym razie pracownicy będą czekać latami na prawomocny wyrok bez jakiejkolwiek ochrony.</w:t>
      </w:r>
    </w:p>
    <w:p w:rsidR="00D90A18" w:rsidP="00750824" w:rsidRDefault="00D90A18" w14:paraId="47A6D57F" w14:textId="77777777">
      <w:pPr>
        <w:jc w:val="both"/>
      </w:pPr>
    </w:p>
    <w:p w:rsidR="00983F19" w:rsidP="00750824" w:rsidRDefault="00000000" w14:paraId="6659466C" w14:textId="3AC3790E">
      <w:pPr>
        <w:jc w:val="both"/>
      </w:pPr>
      <w:r>
        <w:t xml:space="preserve">Po czwarte, </w:t>
      </w:r>
      <w:r>
        <w:t xml:space="preserve">odpowiedzialność </w:t>
      </w:r>
      <w:r w:rsidR="00A25A76">
        <w:t xml:space="preserve">solidarna </w:t>
      </w:r>
      <w:r>
        <w:t xml:space="preserve">w całym łańcuchu pośredników musi być obowiązkowa, a nie tylko dopuszczalna: system flotowy (</w:t>
      </w:r>
      <w:r>
        <w:t xml:space="preserve">„fleet </w:t>
      </w:r>
      <w:r w:rsidR="00DC6DE9">
        <w:t xml:space="preserve">system”</w:t>
      </w:r>
      <w:r>
        <w:t xml:space="preserve">), w ramach którego platformy przenoszą ryzyko na </w:t>
      </w:r>
      <w:r w:rsidR="00DC6DE9">
        <w:t xml:space="preserve">podwykonawców i </w:t>
      </w:r>
      <w:r>
        <w:t xml:space="preserve">firmy-przykrywki (</w:t>
      </w:r>
      <w:r>
        <w:t xml:space="preserve">„shell </w:t>
      </w:r>
      <w:r w:rsidR="00DC6DE9">
        <w:t xml:space="preserve">companies”</w:t>
      </w:r>
      <w:r>
        <w:t xml:space="preserve">), występuje w prawie połowie analizowanych platform i został zaprojektowany właśnie po to, by uniemożliwić </w:t>
      </w:r>
      <w:r w:rsidR="00DC6DE9">
        <w:t xml:space="preserve">pracownikom </w:t>
      </w:r>
      <w:r>
        <w:t xml:space="preserve">dochodzenie swoich praw </w:t>
      </w:r>
      <w:r w:rsidR="00DC6DE9">
        <w:t xml:space="preserve">bezpośrednio wobec platformy, a samą platformę – w przypadku naruszenia przepisów – uchronić przed sankcjami</w:t>
      </w:r>
      <w:r>
        <w:t xml:space="preserve">.</w:t>
      </w:r>
    </w:p>
    <w:p w:rsidR="00D90A18" w:rsidP="00750824" w:rsidRDefault="00D90A18" w14:paraId="09EF7C8C" w14:textId="77777777">
      <w:pPr>
        <w:jc w:val="both"/>
      </w:pPr>
    </w:p>
    <w:p w:rsidR="00983F19" w:rsidP="00750824" w:rsidRDefault="00000000" w14:paraId="4389BC22" w14:textId="76814AC7">
      <w:pPr>
        <w:jc w:val="both"/>
      </w:pPr>
      <w:r>
        <w:t xml:space="preserve">Po piąte, przejrzystość algorytmów oraz wszystkie pozostałe prawa wynikające z dyrektywy muszą być poparte mechanizmami wykonawczymi</w:t>
      </w:r>
      <w:r w:rsidR="00DC6DE9">
        <w:t xml:space="preserve">: </w:t>
      </w:r>
      <w:r>
        <w:t xml:space="preserve">wzmocnionymi i przeszkolonymi w zakresie systemów algorytmicznych inspektoratami pracy, jasnymi sankcjami oraz możliwością wszczynania postępowań zbiorowych, na co obecnie nie zezwala ustawodawstwo w wielu państwach członkowskich.</w:t>
      </w:r>
    </w:p>
    <w:p w:rsidR="00D90A18" w:rsidP="00750824" w:rsidRDefault="00D90A18" w14:paraId="160343D0" w14:textId="77777777">
      <w:pPr>
        <w:jc w:val="both"/>
      </w:pPr>
    </w:p>
    <w:p w:rsidR="00D90A18" w:rsidP="00750824" w:rsidRDefault="00000000" w14:paraId="164D45C7" w14:textId="476C2080">
      <w:pPr>
        <w:jc w:val="both"/>
      </w:pPr>
      <w:r>
        <w:t xml:space="preserve">Motywem przewodnim dokumentu nie jest pojedyncze zalecenie, lecz rola dialogu społecznego, w którym państwo i instytucje odgrywają proaktywną rolę jako pomost między przyjęciem dyrektywy a jej faktycznym wdrożeniem. Doświadczenia ze wszystkich krajów partnerskich pokazują, że sama ustawa nie zmienia praktyki: hiszpańska ustawa o dostawcach (</w:t>
      </w:r>
      <w:r>
        <w:rPr>
          <w:i/>
          <w:iCs/>
        </w:rPr>
        <w:t xml:space="preserve">„Ley </w:t>
      </w:r>
      <w:r w:rsidR="00DC6DE9">
        <w:rPr>
          <w:i/>
          <w:iCs/>
        </w:rPr>
        <w:t xml:space="preserve">Rider”</w:t>
      </w:r>
      <w:r>
        <w:t xml:space="preserve">) nie zapobiegła </w:t>
      </w:r>
      <w:r>
        <w:t xml:space="preserve">restrukturyzacji </w:t>
      </w:r>
      <w:r>
        <w:t xml:space="preserve">przez </w:t>
      </w:r>
      <w:r>
        <w:t xml:space="preserve">firmę Glovo </w:t>
      </w:r>
      <w:r>
        <w:t xml:space="preserve">całego modelu biznesowego na system oparty wyłącznie na podwykonawcach; austriacki układ zbiorowy dla dostawców nie zapobiegł </w:t>
      </w:r>
      <w:r>
        <w:t xml:space="preserve">zwolnieniu</w:t>
      </w:r>
      <w:r>
        <w:t xml:space="preserve"> przez </w:t>
      </w:r>
      <w:r>
        <w:t xml:space="preserve">Lieferando </w:t>
      </w:r>
      <w:r>
        <w:t xml:space="preserve">w marcu 2025 r. prawie tysiąca pracowników i przekształceniu ich w niezależnych wykonawców pozbawionych ochrony; belgijskie domniemanie prawne </w:t>
      </w:r>
      <w:r w:rsidR="00CF3B80">
        <w:t xml:space="preserve">zatrudnienia </w:t>
      </w:r>
      <w:r>
        <w:t xml:space="preserve">nie zmieniło statusu zatrudnienia ani jednego pracownika, ponieważ ustawa nie przewidywała procedur, dzięki którym można by je było wyegzekwować. </w:t>
      </w:r>
    </w:p>
    <w:p w:rsidR="00D90A18" w:rsidP="00750824" w:rsidRDefault="00D90A18" w14:paraId="2D7A9426" w14:textId="77777777">
      <w:pPr>
        <w:jc w:val="both"/>
      </w:pPr>
    </w:p>
    <w:p w:rsidR="00983F19" w:rsidP="00750824" w:rsidRDefault="00000000" w14:paraId="529239C4" w14:textId="4FFC3CF6">
      <w:pPr>
        <w:jc w:val="both"/>
      </w:pPr>
      <w:r>
        <w:t xml:space="preserve">We wszystkich tych przypadkach dialog społeczny, jako strukturalny element wdrażania </w:t>
      </w:r>
      <w:r w:rsidR="00D7386B">
        <w:t xml:space="preserve">– </w:t>
      </w:r>
      <w:r>
        <w:t xml:space="preserve">z państwem pełniącym rolę aktywnego mediatora i gwaranta, a nie tylko biernego obserwatora </w:t>
      </w:r>
      <w:r w:rsidR="00D7386B">
        <w:t xml:space="preserve">– </w:t>
      </w:r>
      <w:r>
        <w:t xml:space="preserve">z pewnością </w:t>
      </w:r>
      <w:r w:rsidR="0086131C">
        <w:t xml:space="preserve">przyczyniłby się do opracowania skuteczniejszych projektów ustaw, które w praktyce byłyby wdrażane w sposób zapewniający pracownikom rzeczywistą ochronę w jak największym stopniu.</w:t>
      </w:r>
      <w:r>
        <w:t xml:space="preserve"> </w:t>
      </w:r>
      <w:r w:rsidR="0086131C">
        <w:t xml:space="preserve">Dialog społeczny nie może być jedynie </w:t>
      </w:r>
      <w:r>
        <w:t xml:space="preserve">zaproszeniem do negocjacji, lecz obowiązkiem platformy do podjęcia dialogu, z sankcjami za odmowę oraz z tymczasową ochroną pracowników do czasu, aż dialog przyniesie owoce. Dlatego niniejszy dokument proponuje Protokół SDDP </w:t>
      </w:r>
      <w:r w:rsidR="00D7386B">
        <w:t xml:space="preserve">– </w:t>
      </w:r>
      <w:r>
        <w:t xml:space="preserve">ramy dialogu społecznego, które mogą służyć jako pomost między przyjęciem dyrektywy a jej faktycznym wdrożeniem. Dyrektywa zachęca do tego w art. 25, a w art. 29 wyraźnie zezwala państwom członkowskim na powierzenie wdrożenia partnerom społecznym w drodze układów zbiorowych. Niniejszy dokument </w:t>
      </w:r>
      <w:r w:rsidR="0086131C">
        <w:t xml:space="preserve">przedstawia argumenty przemawiające za tym, dlaczego </w:t>
      </w:r>
      <w:r>
        <w:t xml:space="preserve">powinno to być priorytetowe rozwiązanie.</w:t>
      </w:r>
    </w:p>
    <w:p w:rsidR="00D90A18" w:rsidP="00750824" w:rsidRDefault="00D90A18" w14:paraId="4EBEE460" w14:textId="77777777">
      <w:pPr>
        <w:jc w:val="both"/>
      </w:pPr>
    </w:p>
    <w:p w:rsidR="00983F19" w:rsidP="00750824" w:rsidRDefault="00000000" w14:paraId="0C4C1E5B" w14:textId="5E79699E">
      <w:pPr>
        <w:jc w:val="both"/>
      </w:pPr>
      <w:r>
        <w:t xml:space="preserve">Termin transpozycji upływa 2 grudnia 2026 r. Każdy miesiąc opóźnienia oznacza miesiąc, w którym pracownicy pracują bez minimalnego wynagrodzenia, bez składek na ubezpieczenie społeczne i bez prawa do wyjaśnienia, dlaczego algorytm zamknął ich konto. Opóźnienie nie szkodzi platformom </w:t>
      </w:r>
      <w:r w:rsidR="00D7386B">
        <w:t xml:space="preserve">– </w:t>
      </w:r>
      <w:r>
        <w:t xml:space="preserve">platformy aktywnie dążą do niego, ponieważ każdy miesiąc bez regulacji oznacza miesiąc bez kosztów. Przede wszystkim jednak szkodzi samym pracownikom, którzy w tym czasie przejmują odpowiedzialność, ryzyko i koszty, które powinien ponosić pracodawca: paliwo,</w:t>
      </w:r>
      <w:r>
        <w:lastRenderedPageBreak/>
      </w:r>
      <w:r>
        <w:t xml:space="preserve"> utrzymanie pojazdu, ubezpieczenie, zwolnienia lekarskie. Szkodzi to również uczciwym przedsiębiorstwom, które zatrudniają </w:t>
      </w:r>
      <w:r w:rsidR="0086131C">
        <w:t xml:space="preserve">pracowników </w:t>
      </w:r>
      <w:r>
        <w:t xml:space="preserve">i opłacają </w:t>
      </w:r>
      <w:r w:rsidR="0086131C">
        <w:t xml:space="preserve">za nich </w:t>
      </w:r>
      <w:r>
        <w:t xml:space="preserve">składki</w:t>
      </w:r>
      <w:r w:rsidR="0086131C">
        <w:t xml:space="preserve">, ponieważ platformy stanowią dla nich nieuczciwą konkurencję</w:t>
      </w:r>
      <w:r>
        <w:t xml:space="preserve">. Projekt SDDP w niniejszym dokumencie przedstawia konkretne, </w:t>
      </w:r>
      <w:r>
        <w:t xml:space="preserve">sprawdzone</w:t>
      </w:r>
      <w:r w:rsidR="0086131C">
        <w:t xml:space="preserve"> w dotychczasowej praktyce </w:t>
      </w:r>
      <w:r>
        <w:t xml:space="preserve">zalecenia i pozostaje do dyspozycji każdego państwa członkowskiego, które pragnie wdrożyć dyrektywę w sposób faktycznie chroniący osoby, do których odnosi się prawo.</w:t>
      </w:r>
    </w:p>
    <w:p w:rsidR="00D90A18" w:rsidP="00750824" w:rsidRDefault="00D90A18" w14:paraId="177D0FA9" w14:textId="77777777">
      <w:pPr>
        <w:jc w:val="both"/>
      </w:pPr>
    </w:p>
    <w:p w:rsidR="00D90A18" w:rsidP="00750824" w:rsidRDefault="00D90A18" w14:paraId="33CE8C14" w14:textId="77777777">
      <w:pPr>
        <w:jc w:val="both"/>
      </w:pPr>
    </w:p>
    <w:p w:rsidR="00D90A18" w:rsidP="00750824" w:rsidRDefault="00D90A18" w14:paraId="15E0B243" w14:textId="77777777">
      <w:pPr>
        <w:jc w:val="both"/>
      </w:pPr>
    </w:p>
    <w:p w:rsidR="00750824" w:rsidRDefault="00750824" w14:paraId="02D201EA" w14:textId="77777777">
      <w:pPr>
        <w:rPr>
          <w:b/>
          <w:bCs/>
          <w:color w:val="1F3864"/>
          <w:sz w:val="36"/>
          <w:szCs w:val="36"/>
        </w:rPr>
      </w:pPr>
      <w:r>
        <w:br w:type="page"/>
      </w:r>
    </w:p>
    <w:p w:rsidR="00983F19" w:rsidP="00750824" w:rsidRDefault="00000000" w14:paraId="68236365" w14:textId="4C4EB712">
      <w:pPr>
        <w:pStyle w:val="Naslov1"/>
        <w:jc w:val="both"/>
      </w:pPr>
      <w:bookmarkStart w:name="_Toc233699480" w:id="6"/>
      <w:r>
        <w:lastRenderedPageBreak/>
      </w:r>
      <w:r>
        <w:t xml:space="preserve">Rozdział 2: Zakres i definicje</w:t>
      </w:r>
      <w:bookmarkEnd w:id="6"/>
    </w:p>
    <w:p w:rsidR="00D90A18" w:rsidP="00750824" w:rsidRDefault="00000000" w14:paraId="30A8F63B" w14:textId="1F9821E7">
      <w:pPr>
        <w:jc w:val="both"/>
      </w:pPr>
      <w:r>
        <w:t xml:space="preserve">Dyrektywa UE 2024/2831 w sprawie </w:t>
      </w:r>
      <w:r>
        <w:t xml:space="preserve">pracy </w:t>
      </w:r>
      <w:r>
        <w:t xml:space="preserve">na platformach </w:t>
      </w:r>
      <w:r>
        <w:t xml:space="preserve">nie rozpoczyna </w:t>
      </w:r>
      <w:r w:rsidR="00EA618C">
        <w:t xml:space="preserve">się </w:t>
      </w:r>
      <w:r>
        <w:t xml:space="preserve">od określenia praw – zaczyna się od pytania, kto w ogóle podlega jej ochronie. Artykuły 1, 2 i 3 stanowią fundament całego ram prawnego: określają cel i zakres stosowania, definiują kluczowe pojęcia oraz regulują status pośredników. Ponieważ teksty te są </w:t>
      </w:r>
      <w:r w:rsidR="00EA618C">
        <w:t xml:space="preserve">bardziej otwarte </w:t>
      </w:r>
      <w:r>
        <w:t xml:space="preserve">niż niektóre inne części dyrektywy, stanowią one jednocześnie </w:t>
      </w:r>
      <w:r w:rsidR="00EA618C">
        <w:t xml:space="preserve">obszar</w:t>
      </w:r>
      <w:r>
        <w:t xml:space="preserve">, w którym platformy szukają i będą szukać luk. Solidne wdrożenie wymaga, aby państwa członkowskie przełożyły definicje w sposób wąski i konkretny.</w:t>
      </w:r>
    </w:p>
    <w:p w:rsidR="00983F19" w:rsidP="00750824" w:rsidRDefault="00000000" w14:paraId="5CFAF56C" w14:textId="77777777">
      <w:pPr>
        <w:pStyle w:val="Naslov2"/>
        <w:jc w:val="both"/>
      </w:pPr>
      <w:bookmarkStart w:name="_Toc233699481" w:id="7"/>
      <w:r>
        <w:t xml:space="preserve">2.1 Wymogi dyrektywy</w:t>
      </w:r>
      <w:bookmarkEnd w:id="7"/>
    </w:p>
    <w:p w:rsidR="00983F19" w:rsidP="00750824" w:rsidRDefault="00000000" w14:paraId="22A60EB9" w14:textId="5FDEE535">
      <w:pPr>
        <w:jc w:val="both"/>
      </w:pPr>
      <w:r>
        <w:t xml:space="preserve">Artykuł 1 określa podwójny cel dyrektywy: poprawę warunków pracy </w:t>
      </w:r>
      <w:r>
        <w:t xml:space="preserve">pracowników </w:t>
      </w:r>
      <w:r>
        <w:t xml:space="preserve">platformowych </w:t>
      </w:r>
      <w:r>
        <w:t xml:space="preserve">oraz ochronę danych osobowych wszystkich osób wykonujących </w:t>
      </w:r>
      <w:r>
        <w:t xml:space="preserve">pracę </w:t>
      </w:r>
      <w:r>
        <w:t xml:space="preserve">na platformach</w:t>
      </w:r>
      <w:r>
        <w:t xml:space="preserve">. Te dwa wymiary są ze sobą nierozerwalnie powiązane – zarządzanie algorytmiczne stanowi jednocześnie kwestię prawa pracy i kwestię ochrony danych – i nie można nadawać im różnej wagi. Na mocy art. 1 ust. 2 i 3 dyrektywa ma zastosowanie do każdej osoby wykonującej </w:t>
      </w:r>
      <w:r>
        <w:t xml:space="preserve">pracę </w:t>
      </w:r>
      <w:r>
        <w:t xml:space="preserve">na platformie </w:t>
      </w:r>
      <w:r>
        <w:t xml:space="preserve">w </w:t>
      </w:r>
      <w:r w:rsidR="00EA618C">
        <w:t xml:space="preserve">Unii Europejskiej</w:t>
      </w:r>
      <w:r>
        <w:t xml:space="preserve">, niezależnie od tego, czy posiada ona formalną umowę o pracę, oraz niezależnie od tego, gdzie platforma ma </w:t>
      </w:r>
      <w:r w:rsidR="00EA618C">
        <w:t xml:space="preserve">siedzibę</w:t>
      </w:r>
      <w:r>
        <w:t xml:space="preserve">.</w:t>
      </w:r>
    </w:p>
    <w:p w:rsidR="00D90A18" w:rsidP="00750824" w:rsidRDefault="00D90A18" w14:paraId="578F848E" w14:textId="77777777">
      <w:pPr>
        <w:jc w:val="both"/>
      </w:pPr>
    </w:p>
    <w:p w:rsidR="00983F19" w:rsidP="00750824" w:rsidRDefault="00000000" w14:paraId="37DD2204" w14:textId="21A98098">
      <w:pPr>
        <w:jc w:val="both"/>
      </w:pPr>
      <w:r>
        <w:t xml:space="preserve">Zakres terytorialny dyrektywy jest jasny: art. 1 ust. 3 stanowi, że dyrektywa ma zastosowanie do wszystkich cyfrowych platform pracy, które organizują pracę na terytorium Unii – niezależnie od tego, gdzie platforma ma siedzibę lub jakie prawo </w:t>
      </w:r>
      <w:r>
        <w:t xml:space="preserve">ma zastosowanie </w:t>
      </w:r>
      <w:r>
        <w:t xml:space="preserve">na mocy umowy </w:t>
      </w:r>
      <w:r w:rsidR="00EA618C">
        <w:t xml:space="preserve">zawartej między pracownikiem a platformą</w:t>
      </w:r>
      <w:r>
        <w:t xml:space="preserve">. </w:t>
      </w:r>
      <w:r>
        <w:t xml:space="preserve">Potwierdziła to </w:t>
      </w:r>
      <w:r>
        <w:t xml:space="preserve">grupa ekspertów Komisji Europejskiej </w:t>
      </w:r>
      <w:r w:rsidR="00EA618C">
        <w:t xml:space="preserve">(KE)</w:t>
      </w:r>
      <w:r>
        <w:t xml:space="preserve">: zagraniczna platforma, która organizuje dostawy w Lublanie lub Warszawie, podlega w pełni przepisom dyrektywy. Postanowienie umowne dotyczące wyboru prawa zagranicznego nie pozbawia tej ochrony, ponieważ chodzi o </w:t>
      </w:r>
      <w:r>
        <w:t xml:space="preserve">bezwzględnie obowiązujące </w:t>
      </w:r>
      <w:r>
        <w:t xml:space="preserve">przepisy międzynarodowego prawa prywatnego.</w:t>
      </w:r>
    </w:p>
    <w:p w:rsidR="00EA618C" w:rsidP="00750824" w:rsidRDefault="00EA618C" w14:paraId="4E8E8883" w14:textId="77777777">
      <w:pPr>
        <w:jc w:val="both"/>
      </w:pPr>
    </w:p>
    <w:p w:rsidR="00983F19" w:rsidP="00750824" w:rsidRDefault="00000000" w14:paraId="396EB28B" w14:textId="12D3BE02">
      <w:pPr>
        <w:jc w:val="both"/>
      </w:pPr>
      <w:r>
        <w:t xml:space="preserve">Platformy z siedzibą poza UE, które nie organizują pracy na terenie Unii, nie są objęte tymi przepisami. Mniej poruszaną, ale równie poważną kwestią jest to, co się dzieje, gdy europejska platforma działa w krajach spoza UE i tam wykorzystuje pracowników w warunkach, które w Europie byłyby zabronione. Artykuły 1 i 26 dyrektywy nie poruszają tej kwestii – jest to luka, którą omawiamy w zaleceniu 2.6.</w:t>
      </w:r>
    </w:p>
    <w:p w:rsidR="00D90A18" w:rsidP="00750824" w:rsidRDefault="00D90A18" w14:paraId="66C45616" w14:textId="77777777">
      <w:pPr>
        <w:jc w:val="both"/>
      </w:pPr>
    </w:p>
    <w:p w:rsidR="00D90A18" w:rsidP="00750824" w:rsidRDefault="00000000" w14:paraId="152770CC" w14:textId="44B432F6">
      <w:pPr>
        <w:jc w:val="both"/>
      </w:pPr>
      <w:r>
        <w:t xml:space="preserve">Artykuł 2 wprowadza definicje </w:t>
      </w:r>
      <w:r w:rsidR="00EA618C">
        <w:t xml:space="preserve">pojęć </w:t>
      </w:r>
      <w:r w:rsidR="00EA618C">
        <w:t xml:space="preserve">stosowanych w </w:t>
      </w:r>
      <w:r>
        <w:t xml:space="preserve">dyrektywie. Kluczowa jest definicja cyfrowej platformy pracy (</w:t>
      </w:r>
      <w:r>
        <w:t xml:space="preserve">„digital </w:t>
      </w:r>
      <w:r>
        <w:t xml:space="preserve">labour </w:t>
      </w:r>
      <w:r>
        <w:t xml:space="preserve">platform </w:t>
      </w:r>
      <w:r w:rsidR="00EA618C">
        <w:t xml:space="preserve">(DLP)”</w:t>
      </w:r>
      <w:r>
        <w:t xml:space="preserve">), która musi łącznie spełniać cztery warunki:</w:t>
      </w:r>
    </w:p>
    <w:p w:rsidR="00D90A18" w:rsidP="00750824" w:rsidRDefault="00000000" w14:paraId="251EFDAE" w14:textId="77777777">
      <w:pPr>
        <w:jc w:val="both"/>
      </w:pPr>
      <w:r>
        <w:t xml:space="preserve"> • usługa jest świadczona przynajmniej częściowo zdalnie za pośrednictwem środków elektronicznych (internet lub aplikacja); </w:t>
      </w:r>
    </w:p>
    <w:p w:rsidR="00D90A18" w:rsidP="00750824" w:rsidRDefault="00000000" w14:paraId="30F6BF33" w14:textId="77777777">
      <w:pPr>
        <w:jc w:val="both"/>
      </w:pPr>
      <w:r>
        <w:t xml:space="preserve">• usługa jest świadczona na żądanie odbiorcy usługi – jednorazowo lub cyklicznie; </w:t>
      </w:r>
    </w:p>
    <w:p w:rsidR="00D90A18" w:rsidP="00750824" w:rsidRDefault="00000000" w14:paraId="0511C9D8" w14:textId="77777777">
      <w:pPr>
        <w:jc w:val="both"/>
      </w:pPr>
      <w:r>
        <w:t xml:space="preserve">• organizacja pracy osób fizycznych za wynagrodzeniem jest niezbędnym i istotnym elementem usługi – a nie jedynie zadaniem pobocznym; </w:t>
      </w:r>
    </w:p>
    <w:p w:rsidR="00983F19" w:rsidP="00750824" w:rsidRDefault="00000000" w14:paraId="16790D6E" w14:textId="77777777">
      <w:pPr>
        <w:jc w:val="both"/>
      </w:pPr>
      <w:r>
        <w:t xml:space="preserve">• usługa obejmuje wykorzystanie zautomatyzowanych systemów do monitorowania lub podejmowania decyzji (lub obu tych funkcji).</w:t>
      </w:r>
    </w:p>
    <w:p w:rsidR="00D90A18" w:rsidP="00750824" w:rsidRDefault="00D90A18" w14:paraId="3D050403" w14:textId="77777777">
      <w:pPr>
        <w:jc w:val="both"/>
      </w:pPr>
    </w:p>
    <w:p w:rsidR="00983F19" w:rsidP="00750824" w:rsidRDefault="00000000" w14:paraId="0477B2C5" w14:textId="76B31296">
      <w:pPr>
        <w:jc w:val="both"/>
      </w:pPr>
      <w:r>
        <w:t xml:space="preserve">Wszystkie cztery warunki muszą być spełnione jednocześnie. Ocenie podlega konkretna usługa, a nie całe przedsiębiorstwo – to samo przedsiębiorstwo może być uznane za DLP w odniesieniu do jednej ze swoich usług, a w odniesieniu do innej już nie. Grupa ekspertów KE wyraźnie potwierdziła: żaden sektor nie jest wykluczony</w:t>
      </w:r>
      <w:r w:rsidR="00EA618C">
        <w:t xml:space="preserve">, </w:t>
      </w:r>
      <w:r>
        <w:t xml:space="preserve">ocena jest zawsze konkretna, dokonywana indywidualnie dla każdego przypadku. Agencje pracy tymczasowej są DLP, o ile spełniają</w:t>
      </w:r>
      <w:r>
        <w:lastRenderedPageBreak/>
      </w:r>
      <w:r>
        <w:t xml:space="preserve"> wszystkie cztery warunki. Platformy, które jedynie publikują oferty wykonawców bez aktywnego udziału w organizacji pracy, nie są DLP.</w:t>
      </w:r>
    </w:p>
    <w:p w:rsidR="00EA618C" w:rsidP="00750824" w:rsidRDefault="00EA618C" w14:paraId="39409103" w14:textId="77777777">
      <w:pPr>
        <w:jc w:val="both"/>
      </w:pPr>
    </w:p>
    <w:p w:rsidR="00983F19" w:rsidP="00750824" w:rsidRDefault="00000000" w14:paraId="7F11F492" w14:textId="102CBD0B">
      <w:pPr>
        <w:jc w:val="both"/>
      </w:pPr>
      <w:r>
        <w:t xml:space="preserve">Osoba wykonująca </w:t>
      </w:r>
      <w:r>
        <w:t xml:space="preserve">pracę </w:t>
      </w:r>
      <w:r>
        <w:t xml:space="preserve">na platformie </w:t>
      </w:r>
      <w:r>
        <w:t xml:space="preserve">(</w:t>
      </w:r>
      <w:r w:rsidR="00EA618C">
        <w:t xml:space="preserve">„</w:t>
      </w:r>
      <w:r>
        <w:t xml:space="preserve">person </w:t>
      </w:r>
      <w:r>
        <w:t xml:space="preserve">performing </w:t>
      </w:r>
      <w:r>
        <w:t xml:space="preserve">platform </w:t>
      </w:r>
      <w:r>
        <w:t xml:space="preserve">work </w:t>
      </w:r>
      <w:r w:rsidR="00EA618C">
        <w:t xml:space="preserve">(</w:t>
      </w:r>
      <w:r>
        <w:t xml:space="preserve">PPPW</w:t>
      </w:r>
      <w:r w:rsidR="00EA618C">
        <w:t xml:space="preserve">)”</w:t>
      </w:r>
      <w:r>
        <w:t xml:space="preserve">) to każda osoba fizyczna wykonująca </w:t>
      </w:r>
      <w:r>
        <w:t xml:space="preserve">pracę </w:t>
      </w:r>
      <w:r>
        <w:t xml:space="preserve">na platformie </w:t>
      </w:r>
      <w:r>
        <w:t xml:space="preserve">– niezależnie od tego, jak nazywa się jej stosunek umowny </w:t>
      </w:r>
      <w:r w:rsidR="00EA618C">
        <w:t xml:space="preserve">lub jak jest on zdefiniowany prawnie</w:t>
      </w:r>
      <w:r>
        <w:t xml:space="preserve">. Podkategoria </w:t>
      </w:r>
      <w:r>
        <w:t xml:space="preserve">„pracownik </w:t>
      </w:r>
      <w:r>
        <w:t xml:space="preserve">platformowy” </w:t>
      </w:r>
      <w:r>
        <w:t xml:space="preserve">odnosi się do tego PPPW, który spełnia lub na podstawie faktów uznaje się, że </w:t>
      </w:r>
      <w:r w:rsidR="00EA618C">
        <w:t xml:space="preserve">spełnia warunki </w:t>
      </w:r>
      <w:r w:rsidR="00CF3B80">
        <w:t xml:space="preserve">zatrudnienia</w:t>
      </w:r>
      <w:r>
        <w:t xml:space="preserve">. To rozróżnienie ma kluczowe znaczenie: prawa wynikające z rozdziału II dyrektywy (domniemanie prawne) oraz niektóre prawa wynikające z rozdziału III (zarządzanie algorytmiczne przez pracodawcę) odnoszą się wyłącznie do </w:t>
      </w:r>
      <w:r>
        <w:t xml:space="preserve">pracowników </w:t>
      </w:r>
      <w:r>
        <w:t xml:space="preserve">platformowych</w:t>
      </w:r>
      <w:r>
        <w:t xml:space="preserve">, podczas gdy zakazy przetwarzania danych i przejrzystość algorytmów dotyczą wszystkich PPPW.</w:t>
      </w:r>
    </w:p>
    <w:p w:rsidR="00D90A18" w:rsidP="00750824" w:rsidRDefault="00D90A18" w14:paraId="6EE09067" w14:textId="77777777">
      <w:pPr>
        <w:jc w:val="both"/>
      </w:pPr>
    </w:p>
    <w:p w:rsidR="00983F19" w:rsidP="00750824" w:rsidRDefault="00000000" w14:paraId="3810B9ED" w14:textId="1E98A7C2">
      <w:pPr>
        <w:jc w:val="both"/>
      </w:pPr>
      <w:r>
        <w:t xml:space="preserve">Pośrednik został zdefiniowany w art. 2 ust. 1 lit. e) jako osoba fizyczna lub prawna, której celem jest umożliwienie wykonywania </w:t>
      </w:r>
      <w:r>
        <w:t xml:space="preserve">pracy </w:t>
      </w:r>
      <w:r>
        <w:t xml:space="preserve">platformowej</w:t>
      </w:r>
      <w:r>
        <w:t xml:space="preserve"> na platformie lub za jej pośrednictwem</w:t>
      </w:r>
      <w:r w:rsidR="00A16E80">
        <w:t xml:space="preserve">,</w:t>
      </w:r>
      <w:r>
        <w:t xml:space="preserve"> poprzez nawiązanie stosunku umownego z obiema stronami </w:t>
      </w:r>
      <w:r>
        <w:t xml:space="preserve">lub poprzez włączenie do</w:t>
      </w:r>
      <w:r>
        <w:t xml:space="preserve"> łańcucha </w:t>
      </w:r>
      <w:r>
        <w:t xml:space="preserve">podwykonawców</w:t>
      </w:r>
      <w:r>
        <w:t xml:space="preserve">. Definicja ta jest celowo szeroka. Grupa ekspertów KE wyjaśniła: pośrednikami mogą być osoby fizyczne</w:t>
      </w:r>
      <w:r w:rsidR="00A16E80">
        <w:t xml:space="preserve">: </w:t>
      </w:r>
      <w:r>
        <w:t xml:space="preserve">podnajem konta (</w:t>
      </w:r>
      <w:r>
        <w:t xml:space="preserve">„account </w:t>
      </w:r>
      <w:r w:rsidR="00A16E80">
        <w:t xml:space="preserve">subletting”</w:t>
      </w:r>
      <w:r>
        <w:t xml:space="preserve">) stanowi pośrednictwo, gdy celem tego podnajmu jest wykonywanie </w:t>
      </w:r>
      <w:r>
        <w:t xml:space="preserve">pracy </w:t>
      </w:r>
      <w:r>
        <w:t xml:space="preserve">na platformie</w:t>
      </w:r>
      <w:r w:rsidR="00A16E80">
        <w:t xml:space="preserve">. Celem takiej </w:t>
      </w:r>
      <w:r>
        <w:t xml:space="preserve">definicji jest zapobieganie obchodzeniu </w:t>
      </w:r>
      <w:r w:rsidR="00A16E80">
        <w:t xml:space="preserve">przepisów dyrektywy </w:t>
      </w:r>
      <w:r>
        <w:t xml:space="preserve">za pośrednictwem osób trzecich. Systemy flotowe (</w:t>
      </w:r>
      <w:r>
        <w:t xml:space="preserve">„fleet </w:t>
      </w:r>
      <w:r w:rsidR="00A16E80">
        <w:t xml:space="preserve">systems”</w:t>
      </w:r>
      <w:r>
        <w:t xml:space="preserve">) – w których platforma zawiera umowę z operatorem floty, a ten z kolei z dostawcami – stanowią paradygmatyczny przykład pośrednictwa, które dyrektywa wyraźnie reguluje.</w:t>
      </w:r>
    </w:p>
    <w:p w:rsidR="00D90A18" w:rsidP="00750824" w:rsidRDefault="00D90A18" w14:paraId="74B99256" w14:textId="77777777">
      <w:pPr>
        <w:jc w:val="both"/>
      </w:pPr>
    </w:p>
    <w:p w:rsidR="00983F19" w:rsidP="00750824" w:rsidRDefault="00000000" w14:paraId="0E2FD3E6" w14:textId="6CE0F423">
      <w:pPr>
        <w:jc w:val="both"/>
      </w:pPr>
      <w:r>
        <w:t xml:space="preserve">Artykuł 3 wymaga, aby osoby wykonujące </w:t>
      </w:r>
      <w:r>
        <w:t xml:space="preserve">pracę </w:t>
      </w:r>
      <w:r>
        <w:t xml:space="preserve">na platformie </w:t>
      </w:r>
      <w:r>
        <w:t xml:space="preserve">za pośrednictwem pośrednika korzystały z </w:t>
      </w:r>
      <w:r w:rsidR="00A16E80">
        <w:t xml:space="preserve">dokładnie </w:t>
      </w:r>
      <w:r>
        <w:t xml:space="preserve">takiego samego poziomu ochrony, jak osoby pozostające w bezpośrednim stosunku umownym z platformą. Państwa członkowskie muszą wprowadzić odpowiednie mechanizmy, obejmujące</w:t>
      </w:r>
      <w:r w:rsidR="00A16E80">
        <w:t xml:space="preserve">, </w:t>
      </w:r>
      <w:r>
        <w:t xml:space="preserve">w stosownych przypadkach</w:t>
      </w:r>
      <w:r w:rsidR="00A16E80">
        <w:t xml:space="preserve">, </w:t>
      </w:r>
      <w:r>
        <w:t xml:space="preserve">odpowiedzialność </w:t>
      </w:r>
      <w:r w:rsidR="00A25A76">
        <w:t xml:space="preserve">solidarną </w:t>
      </w:r>
      <w:r>
        <w:t xml:space="preserve">(</w:t>
      </w:r>
      <w:r>
        <w:t xml:space="preserve">„joint </w:t>
      </w:r>
      <w:r>
        <w:t xml:space="preserve">and </w:t>
      </w:r>
      <w:r>
        <w:t xml:space="preserve">several </w:t>
      </w:r>
      <w:r w:rsidR="00A16E80">
        <w:t xml:space="preserve">liability”</w:t>
      </w:r>
      <w:r>
        <w:t xml:space="preserve">). Wyrażenie </w:t>
      </w:r>
      <w:r w:rsidR="00A16E80">
        <w:t xml:space="preserve">„</w:t>
      </w:r>
      <w:r>
        <w:t xml:space="preserve">w stosownych </w:t>
      </w:r>
      <w:r w:rsidR="00A16E80">
        <w:t xml:space="preserve">przypadkach” </w:t>
      </w:r>
      <w:r w:rsidR="00792F1C">
        <w:t xml:space="preserve">stanowi </w:t>
      </w:r>
      <w:r>
        <w:t xml:space="preserve">klauzulę otwartą: dyrektywa </w:t>
      </w:r>
      <w:r>
        <w:t xml:space="preserve">nie nakłada odpowiedzialności </w:t>
      </w:r>
      <w:r w:rsidR="00A25A76">
        <w:t xml:space="preserve">solidarnej </w:t>
      </w:r>
      <w:r>
        <w:t xml:space="preserve">bezwarunkowo, lecz pozostawia tę kwestię w gestii państw członkowskich. Jest to jedna z kluczowych niedoskonałości, którą należy usunąć podczas transpozycji.</w:t>
      </w:r>
    </w:p>
    <w:p w:rsidR="00D90A18" w:rsidP="00750824" w:rsidRDefault="00D90A18" w14:paraId="5BE0CC56" w14:textId="77777777">
      <w:pPr>
        <w:jc w:val="both"/>
      </w:pPr>
    </w:p>
    <w:p w:rsidR="00983F19" w:rsidP="00750824" w:rsidRDefault="00000000" w14:paraId="5A0BD868" w14:textId="77777777">
      <w:pPr>
        <w:pStyle w:val="Naslov2"/>
        <w:jc w:val="both"/>
      </w:pPr>
      <w:bookmarkStart w:name="_Toc233699482" w:id="8"/>
      <w:r>
        <w:t xml:space="preserve">2.2 Wnioski wynikające z praktyki</w:t>
      </w:r>
      <w:bookmarkEnd w:id="8"/>
    </w:p>
    <w:p w:rsidR="00983F19" w:rsidP="00750824" w:rsidRDefault="00000000" w14:paraId="1379ED78" w14:textId="0D5B2637">
      <w:pPr>
        <w:jc w:val="both"/>
      </w:pPr>
      <w:r>
        <w:t xml:space="preserve">Doświadczenia z krajów partnerskich projektu SDDP ujawniają trzy strukturalne wzorce obchodzenia </w:t>
      </w:r>
      <w:r w:rsidR="000052A5">
        <w:t xml:space="preserve">przepisów, które są również określone w </w:t>
      </w:r>
      <w:r>
        <w:t xml:space="preserve">dyrektywie </w:t>
      </w:r>
      <w:r w:rsidR="000052A5">
        <w:t xml:space="preserve">i </w:t>
      </w:r>
      <w:r>
        <w:t xml:space="preserve">mają bezpośrednie znaczenie dla interpretacji i transpozycji art. 1–3.</w:t>
      </w:r>
    </w:p>
    <w:p w:rsidR="00D90A18" w:rsidP="00750824" w:rsidRDefault="00D90A18" w14:paraId="4797C659" w14:textId="77777777">
      <w:pPr>
        <w:jc w:val="both"/>
      </w:pPr>
    </w:p>
    <w:p w:rsidR="00983F19" w:rsidP="00750824" w:rsidRDefault="00000000" w14:paraId="24A10F30" w14:textId="49A6EB71">
      <w:pPr>
        <w:jc w:val="both"/>
      </w:pPr>
      <w:r>
        <w:rPr>
          <w:b/>
          <w:bCs/>
        </w:rPr>
        <w:t xml:space="preserve">Klasyfikacja sektorowa jako narzędzie omijania przepisów.</w:t>
      </w:r>
      <w:r>
        <w:t xml:space="preserve"> </w:t>
      </w:r>
      <w:r w:rsidR="000052A5">
        <w:t xml:space="preserve">Bardzo wyraźnie widać to na przykładzie Belgii</w:t>
      </w:r>
      <w:r>
        <w:t xml:space="preserve">. Firma Takeaway.com zarejestrowała się na pewien czas jako firma reklamowa</w:t>
      </w:r>
      <w:r w:rsidR="000052A5">
        <w:t xml:space="preserve">,</w:t>
      </w:r>
      <w:r>
        <w:t xml:space="preserve"> a nie jako platforma dostarczająca jedzenie</w:t>
      </w:r>
      <w:r w:rsidR="000052A5">
        <w:t xml:space="preserve">, </w:t>
      </w:r>
      <w:r>
        <w:t xml:space="preserve">próbując w ten sposób uniknąć obowiązków wynikających z prawa pracy, które wynikają z klasyfikacji sektorowej. Dyrektywa uniemożliwia tę strategię: ponieważ ocenia konkretną usługę, a nie sektor, w </w:t>
      </w:r>
      <w:r w:rsidR="006F2B87">
        <w:t xml:space="preserve">którym </w:t>
      </w:r>
      <w:r>
        <w:t xml:space="preserve">firma jest oficjalnie zarejestrowana, forma prawna lub klasyfikacja w rejestrze przedsiębiorstw nie mogą mieć decydującego znaczenia. Przepisy, które pozwalałyby na unikanie obowiązków poprzez klasyfikację rejestrową, są niezgodne z dyrektywą.</w:t>
      </w:r>
    </w:p>
    <w:p w:rsidR="00D90A18" w:rsidP="00750824" w:rsidRDefault="00D90A18" w14:paraId="51D06985" w14:textId="77777777">
      <w:pPr>
        <w:jc w:val="both"/>
      </w:pPr>
    </w:p>
    <w:p w:rsidR="00983F19" w:rsidP="00750824" w:rsidRDefault="00000000" w14:paraId="436CFF4A" w14:textId="116E3461">
      <w:pPr>
        <w:jc w:val="both"/>
      </w:pPr>
      <w:r>
        <w:rPr>
          <w:b/>
          <w:bCs/>
        </w:rPr>
        <w:t xml:space="preserve">System flotowy jako strukturalny mechanizm pośrednictwa. </w:t>
      </w:r>
      <w:r>
        <w:t xml:space="preserve">Analiza 91 platform w krajach partnerskich pokazuje, że system flotowy występuje w co najmniej 41 z nich – nie jest to wyjątek, lecz część modelu biznesowego. </w:t>
      </w:r>
      <w:r>
        <w:t xml:space="preserve">Uber </w:t>
      </w:r>
      <w:r>
        <w:t xml:space="preserve">Eats </w:t>
      </w:r>
      <w:r>
        <w:t xml:space="preserve">w Niemczech stanowi dobitny przykład: dostawcy pracują za pośrednictwem podwykonawców, którzy zatrzymują do 35% ich zarobków, oprócz opłaty </w:t>
      </w:r>
      <w:r>
        <w:t xml:space="preserve">„</w:t>
      </w:r>
      <w:r>
        <w:lastRenderedPageBreak/>
      </w:r>
      <w:r>
        <w:t xml:space="preserve"> ” w wysokości do 500 euro. Doświadczenia z Chorwacji i Serbii związane z firmami-przykrywkami (</w:t>
      </w:r>
      <w:r>
        <w:t xml:space="preserve">„shell </w:t>
      </w:r>
      <w:r w:rsidR="006F2B87">
        <w:t xml:space="preserve">companies”</w:t>
      </w:r>
      <w:r>
        <w:t xml:space="preserve">) stanowią skrajny przykład tego schematu</w:t>
      </w:r>
      <w:r w:rsidR="00A60485">
        <w:t xml:space="preserve">, </w:t>
      </w:r>
      <w:r>
        <w:t xml:space="preserve">w którym podwykonawca likwiduje firmę, a pracownicy pozostają bez ochrony prawnej i </w:t>
      </w:r>
      <w:r w:rsidR="00A60485">
        <w:t xml:space="preserve">bez </w:t>
      </w:r>
      <w:r w:rsidR="00A60485">
        <w:t xml:space="preserve">możliwości </w:t>
      </w:r>
      <w:r>
        <w:t xml:space="preserve">dochodzenia swoich praw. Doświadczenia hiszpańskie po wejściu w życie </w:t>
      </w:r>
      <w:r>
        <w:t xml:space="preserve">ustawy o dostawcach (</w:t>
      </w:r>
      <w:r>
        <w:t xml:space="preserve">„Ley </w:t>
      </w:r>
      <w:r w:rsidR="00A60485">
        <w:t xml:space="preserve">Rider”</w:t>
      </w:r>
      <w:r>
        <w:t xml:space="preserve">) w 2021 r. pokazały, że platformy tuż po wprowadzeniu regulacji masowo przeszły na system flotowy. Dyrektywa </w:t>
      </w:r>
      <w:r>
        <w:t xml:space="preserve">prawdopodobnie wywoła </w:t>
      </w:r>
      <w:r w:rsidR="00A60485">
        <w:t xml:space="preserve">podobną reakcję </w:t>
      </w:r>
      <w:r>
        <w:t xml:space="preserve">tam, gdzie systemy pośrednictwa nie są odpowiednio uregulowane.</w:t>
      </w:r>
    </w:p>
    <w:p w:rsidR="00D90A18" w:rsidP="00750824" w:rsidRDefault="00D90A18" w14:paraId="478A89E8" w14:textId="77777777">
      <w:pPr>
        <w:jc w:val="both"/>
      </w:pPr>
    </w:p>
    <w:p w:rsidR="00983F19" w:rsidP="00750824" w:rsidRDefault="00000000" w14:paraId="28D962D3" w14:textId="0E4A0B63">
      <w:pPr>
        <w:jc w:val="both"/>
      </w:pPr>
      <w:r>
        <w:rPr>
          <w:b/>
          <w:bCs/>
        </w:rPr>
        <w:t xml:space="preserve">Wynajem kont w szarej strefie.</w:t>
      </w:r>
      <w:r>
        <w:t xml:space="preserve"> W praktyce zdarza się, że posiadacz konta na platformie przekazuje je innej osobie</w:t>
      </w:r>
      <w:r w:rsidR="00A60485">
        <w:t xml:space="preserve">, </w:t>
      </w:r>
      <w:r>
        <w:t xml:space="preserve">często </w:t>
      </w:r>
      <w:r w:rsidR="00A60485">
        <w:t xml:space="preserve">pracownikowi </w:t>
      </w:r>
      <w:r w:rsidR="00A60485">
        <w:t xml:space="preserve">migrującemu </w:t>
      </w:r>
      <w:r>
        <w:t xml:space="preserve">bez </w:t>
      </w:r>
      <w:r w:rsidR="00A60485">
        <w:t xml:space="preserve">uregulowanych </w:t>
      </w:r>
      <w:r>
        <w:t xml:space="preserve">dokumentów. Grupa ekspertów KE wyjaśniła</w:t>
      </w:r>
      <w:r w:rsidR="00A60485">
        <w:t xml:space="preserve">, że </w:t>
      </w:r>
      <w:r>
        <w:t xml:space="preserve">gdy celem takiego wynajmu jest właśnie wykonywanie </w:t>
      </w:r>
      <w:r>
        <w:t xml:space="preserve">pracy </w:t>
      </w:r>
      <w:r>
        <w:t xml:space="preserve">na platformie</w:t>
      </w:r>
      <w:r>
        <w:t xml:space="preserve">, a platforma o tym wie lub na to pozwala, mamy do czynienia z pośrednictwem </w:t>
      </w:r>
      <w:r w:rsidR="00A60485">
        <w:t xml:space="preserve">w rozumieniu dyrektywy</w:t>
      </w:r>
      <w:r>
        <w:t xml:space="preserve">. Gdy jednak platforma nie wie o tym wynajmie i go nie zezwala, podnajemca formalnie nie jest uznawany za PPPW</w:t>
      </w:r>
      <w:r w:rsidR="00A60485">
        <w:t xml:space="preserve">, </w:t>
      </w:r>
      <w:r>
        <w:t xml:space="preserve">a dyrektywa zachęca państwa do ochrony również tych osób poprzez własne środki.</w:t>
      </w:r>
    </w:p>
    <w:p w:rsidR="00D90A18" w:rsidP="00750824" w:rsidRDefault="00D90A18" w14:paraId="36B0EE74" w14:textId="77777777">
      <w:pPr>
        <w:jc w:val="both"/>
      </w:pPr>
    </w:p>
    <w:p w:rsidR="00983F19" w:rsidP="00750824" w:rsidRDefault="00000000" w14:paraId="3CB89BA7" w14:textId="673BFC82">
      <w:pPr>
        <w:jc w:val="both"/>
      </w:pPr>
      <w:r>
        <w:t xml:space="preserve">Podczas konferencji pośredniej projektu SDDP w Lublanie w maju 2025 r. wszyscy partnerzy doszli do wspólnego wniosku</w:t>
      </w:r>
      <w:r w:rsidR="00A60485">
        <w:t xml:space="preserve">, że </w:t>
      </w:r>
      <w:r>
        <w:t xml:space="preserve">definicje zawarte w dyrektywie </w:t>
      </w:r>
      <w:r w:rsidR="00A60485">
        <w:t xml:space="preserve">są </w:t>
      </w:r>
      <w:r>
        <w:t xml:space="preserve">wystarczająco szerokie, aby objąć wszystkie istotne przypadki, ale właśnie ta szerokość wymaga, aby ustawodawstwa krajowe </w:t>
      </w:r>
      <w:r w:rsidR="00A60485">
        <w:t xml:space="preserve">precyzyjnie</w:t>
      </w:r>
      <w:r>
        <w:t xml:space="preserve"> je </w:t>
      </w:r>
      <w:r>
        <w:t xml:space="preserve">operacjonalizowały</w:t>
      </w:r>
      <w:r w:rsidR="00A60485">
        <w:t xml:space="preserve">, </w:t>
      </w:r>
      <w:r>
        <w:t xml:space="preserve">w przeciwnym razie platformy </w:t>
      </w:r>
      <w:r>
        <w:t xml:space="preserve">wypełnią tę</w:t>
      </w:r>
      <w:r w:rsidR="00A60485">
        <w:t xml:space="preserve"> lukę </w:t>
      </w:r>
      <w:r>
        <w:t xml:space="preserve">własnymi interpretacjami</w:t>
      </w:r>
      <w:r w:rsidR="00A60485">
        <w:t xml:space="preserve">, za pomocą których będą próbowały uniknąć odpowiedzialności</w:t>
      </w:r>
      <w:r>
        <w:t xml:space="preserve">.</w:t>
      </w:r>
    </w:p>
    <w:p w:rsidR="00D90A18" w:rsidP="00750824" w:rsidRDefault="00D90A18" w14:paraId="11382266" w14:textId="77777777">
      <w:pPr>
        <w:jc w:val="both"/>
      </w:pPr>
    </w:p>
    <w:p w:rsidR="00983F19" w:rsidP="00750824" w:rsidRDefault="00000000" w14:paraId="318C5688" w14:textId="15F944CC">
      <w:pPr>
        <w:jc w:val="both"/>
      </w:pPr>
      <w:r>
        <w:t xml:space="preserve">Na szczególną uwagę zasługują </w:t>
      </w:r>
      <w:r w:rsidR="00A60485">
        <w:t xml:space="preserve">również </w:t>
      </w:r>
      <w:r>
        <w:t xml:space="preserve">twierdzenia, które same platformy przedstawiają w trakcie negocjacji </w:t>
      </w:r>
      <w:r w:rsidR="00A60485">
        <w:t xml:space="preserve">z partnerami społecznymi </w:t>
      </w:r>
      <w:r>
        <w:t xml:space="preserve">oraz </w:t>
      </w:r>
      <w:r w:rsidR="00A60485">
        <w:t xml:space="preserve">w </w:t>
      </w:r>
      <w:r>
        <w:t xml:space="preserve">postępowaniach przed organami krajowymi. Kierownictwa niektórych platform – w tym </w:t>
      </w:r>
      <w:r w:rsidR="00A60485">
        <w:t xml:space="preserve">np. </w:t>
      </w:r>
      <w:r>
        <w:t xml:space="preserve">Wolt </w:t>
      </w:r>
      <w:r>
        <w:t xml:space="preserve">w negocjacjach ze słoweńskimi związkami zawodowymi – regularnie twierdzą, że określone zobowiązania wynikające z dyrektywy ich nie dotyczą lub że określone organy nie są właściwe do oceny ich modelu biznesowego. Dyrektywa nie dopuszcza takich argumentów: kompetencje wynikają z miejsca wykonywania pracy, a nie z miejsca siedziby platformy.</w:t>
      </w:r>
    </w:p>
    <w:p w:rsidR="00D90A18" w:rsidP="00750824" w:rsidRDefault="00D90A18" w14:paraId="6FE07113" w14:textId="77777777">
      <w:pPr>
        <w:jc w:val="both"/>
      </w:pPr>
    </w:p>
    <w:p w:rsidR="00983F19" w:rsidP="00750824" w:rsidRDefault="00000000" w14:paraId="105EE5A9" w14:textId="007C3416">
      <w:pPr>
        <w:jc w:val="both"/>
      </w:pPr>
      <w:r>
        <w:t xml:space="preserve">Pozostaje jednak luka, której dyrektywa nie uwzględnia: co się dzieje, gdy europejska platforma stosuje podwójne standardy</w:t>
      </w:r>
      <w:r w:rsidR="00A60485">
        <w:t xml:space="preserve">: </w:t>
      </w:r>
      <w:r>
        <w:t xml:space="preserve">w UE przestrzega zasad, a poza nią nie. </w:t>
      </w:r>
      <w:r>
        <w:t xml:space="preserve">Glovo</w:t>
      </w:r>
      <w:r>
        <w:t xml:space="preserve">, którego większościowym właścicielem jest </w:t>
      </w:r>
      <w:r>
        <w:t xml:space="preserve">Delivery </w:t>
      </w:r>
      <w:r>
        <w:t xml:space="preserve">Hero </w:t>
      </w:r>
      <w:r>
        <w:t xml:space="preserve">z siedzibą w Niemczech, działa w wielu krajach rozwijających się: w Maroku, Ghanie, Kazachstanie, Peru i gdzie indziej. Warunki pracy tamtejszych dostawców często znacznie odbiegają od standardów, których dyrektywa wymagałaby w UE. Ponieważ platforma jest własnością europejską i finansowana jest z kapitału europejskiego, pojawia się pytanie, którego obecna dyrektywa nie reguluje: czy UE powinna wprowadzić przynajmniej minimalne standardy dla pracowników zatrudnionych przez europejskie platformy poza jej terytorium? Jest to kwestia, </w:t>
      </w:r>
      <w:r w:rsidR="00A60485">
        <w:t xml:space="preserve">której </w:t>
      </w:r>
      <w:r>
        <w:t xml:space="preserve">obecna dyrektywa </w:t>
      </w:r>
      <w:r w:rsidR="00A60485">
        <w:t xml:space="preserve">nie określa</w:t>
      </w:r>
      <w:r>
        <w:t xml:space="preserve">.</w:t>
      </w:r>
    </w:p>
    <w:p w:rsidR="00D90A18" w:rsidP="00750824" w:rsidRDefault="00D90A18" w14:paraId="239D2C55" w14:textId="77777777">
      <w:pPr>
        <w:jc w:val="both"/>
      </w:pPr>
    </w:p>
    <w:p w:rsidR="00983F19" w:rsidP="00750824" w:rsidRDefault="00000000" w14:paraId="5FBA8B99" w14:textId="77777777">
      <w:pPr>
        <w:pStyle w:val="Naslov2"/>
        <w:jc w:val="both"/>
      </w:pPr>
      <w:bookmarkStart w:name="_Toc233699483" w:id="9"/>
      <w:r>
        <w:t xml:space="preserve">2.3 Zalecenia</w:t>
      </w:r>
      <w:bookmarkEnd w:id="9"/>
    </w:p>
    <w:p w:rsidR="00983F19" w:rsidP="00750824" w:rsidRDefault="00000000" w14:paraId="128A5ACE" w14:textId="1BF77777">
      <w:pPr>
        <w:jc w:val="both"/>
      </w:pPr>
      <w:r>
        <w:t xml:space="preserve">Poniższe zalecenia są skierowane do ministerstw </w:t>
      </w:r>
      <w:r w:rsidR="00A60485">
        <w:t xml:space="preserve">odpowiedzialnych za wdrożenie </w:t>
      </w:r>
      <w:r w:rsidR="00A60485">
        <w:t xml:space="preserve">dyrektywy </w:t>
      </w:r>
      <w:r>
        <w:t xml:space="preserve">w państwach </w:t>
      </w:r>
      <w:r>
        <w:t xml:space="preserve">członkowskich UE oraz do partnerów społecznych w kontekście transpozycji dyrektywy. Wynikają one z wymogów normatywnych dyrektywy oraz doświadczeń krajów partnerskich projektu SDDP. Każde zalecenie jest oznaczone poziomem ambicji: [DYREKTYWA] oznacza, że jest to wymóg nałożony przez dyrektywę, który musi zostać wdrożony w prawie krajowym; [WYKRACZA POZA MINIMUM] oznacza, że zalecenie wykracza poza minimalne wymogi dyrektywy, ale jest prawnie dopuszczalne zgodnie z art. 26 ust. 2;</w:t>
      </w:r>
      <w:r>
        <w:lastRenderedPageBreak/>
      </w:r>
      <w:r>
        <w:t xml:space="preserve"> [</w:t>
      </w:r>
      <w:r>
        <w:t xml:space="preserve">AMBICJOZNE] oznacza, że zalecenie wykracza poza ramy dyrektywy </w:t>
      </w:r>
      <w:r w:rsidR="00A60485">
        <w:t xml:space="preserve">w celu zapewnienia jeszcze wyższego poziomu ochrony pracowników </w:t>
      </w:r>
      <w:r w:rsidR="00A60485">
        <w:t xml:space="preserve">lub </w:t>
      </w:r>
      <w:r>
        <w:t xml:space="preserve">odnosi się do przeglądu w 2029 r.</w:t>
      </w:r>
    </w:p>
    <w:p w:rsidR="00D90A18" w:rsidP="00750824" w:rsidRDefault="00D90A18" w14:paraId="60CA4BBA" w14:textId="77777777">
      <w:pPr>
        <w:jc w:val="both"/>
      </w:pPr>
    </w:p>
    <w:p w:rsidR="00983F19" w:rsidP="00750824" w:rsidRDefault="00000000" w14:paraId="4BC815EE" w14:textId="77777777">
      <w:pPr>
        <w:pStyle w:val="Naslov3"/>
        <w:jc w:val="both"/>
      </w:pPr>
      <w:r>
        <w:t xml:space="preserve">Zalecenie 2.1 [DYREKTYWA]: Neutralna pod względem sektorowym definicja cyfrowej platformy pracy</w:t>
      </w:r>
    </w:p>
    <w:p w:rsidR="00983F19" w:rsidP="00750824" w:rsidRDefault="00000000" w14:paraId="55FE32DC" w14:textId="3182B3FD">
      <w:pPr>
        <w:jc w:val="both"/>
      </w:pPr>
      <w:r>
        <w:t xml:space="preserve">Krajowe przepisy muszą przejąć definicję cyfrowej platformy pracy bez wyjątków sektorowych ani ograniczeń. Żadna branża – transport, dostawy, sprzątanie, IT, opieka zdrowotna czy </w:t>
      </w:r>
      <w:r>
        <w:t xml:space="preserve">mikrousługi </w:t>
      </w:r>
      <w:r>
        <w:t xml:space="preserve">– nie jest i nie może być z góry wykluczona. Ocena, czy podmiot spełnia definicję cyfrowej platformy pracy, musi opierać się na konkretnej usłudze i jej roli w organizacji pracy, a nie na klasyfikacji sektorowej w rejestrze przedsiębiorstw lub kategorii podatkowej. Zalecamy ministerstwom, aby w ustawie zawarły wyraźny przepis zakazujący powoływania się na klasyfikację rejestrową jako podstawę do wyłączenia z zakresu stosowania dyrektywy. </w:t>
      </w:r>
    </w:p>
    <w:p w:rsidR="00792F1C" w:rsidP="00750824" w:rsidRDefault="00792F1C" w14:paraId="1D09979B" w14:textId="77777777">
      <w:pPr>
        <w:jc w:val="both"/>
      </w:pPr>
    </w:p>
    <w:p w:rsidR="00983F19" w:rsidP="00750824" w:rsidRDefault="00000000" w14:paraId="13F2153D" w14:textId="697CE53C">
      <w:pPr>
        <w:pStyle w:val="Blokbesedila"/>
      </w:pPr>
      <w:r>
        <w:t xml:space="preserve">Kontekst: Przypadek belgijskiej firmy Takeaway.com pokazuje, w jaki sposób kategoria rejestracyjna przedsiębiorstwa reklamowego staje się pretekstem do unikania obowiązków wynikających z prawa pracy. Grupa ekspertów KE potwierdziła: ocena zawsze opiera się na usłudze </w:t>
      </w:r>
      <w:r w:rsidR="00A60485">
        <w:t xml:space="preserve">świadczonej przez przedsiębiorstwo, </w:t>
      </w:r>
      <w:r>
        <w:t xml:space="preserve">a nie na sektorze</w:t>
      </w:r>
      <w:r w:rsidR="00A60485">
        <w:t xml:space="preserve">, w którym oficjalnie działa</w:t>
      </w:r>
      <w:r>
        <w:t xml:space="preserve">.</w:t>
      </w:r>
    </w:p>
    <w:p w:rsidR="00D90A18" w:rsidP="00750824" w:rsidRDefault="00D90A18" w14:paraId="49258D8A" w14:textId="77777777">
      <w:pPr>
        <w:jc w:val="both"/>
      </w:pPr>
    </w:p>
    <w:p w:rsidR="00983F19" w:rsidP="00750824" w:rsidRDefault="00000000" w14:paraId="40B3D2CE" w14:textId="77777777">
      <w:pPr>
        <w:pStyle w:val="Naslov3"/>
        <w:jc w:val="both"/>
      </w:pPr>
      <w:r>
        <w:t xml:space="preserve">Zalecenie 2.2 [DYREKTYWA]: Wyraźne uregulowanie systemu flotowego i łańcuchów pośrednictwa</w:t>
      </w:r>
    </w:p>
    <w:p w:rsidR="00983F19" w:rsidP="00750824" w:rsidRDefault="00000000" w14:paraId="4DAB0359" w14:textId="1C4B87AA">
      <w:pPr>
        <w:jc w:val="both"/>
      </w:pPr>
      <w:r>
        <w:t xml:space="preserve">Krajowe przepisy prawne muszą doprecyzować definicję pośrednika w taki sposób, aby wyraźnie obejmowała ona wszystkie formy systemu flotowego, w tym wieloetapowe</w:t>
      </w:r>
      <w:r>
        <w:t xml:space="preserve"> łańcuchy </w:t>
      </w:r>
      <w:r>
        <w:t xml:space="preserve">podwykonawców</w:t>
      </w:r>
      <w:r>
        <w:t xml:space="preserve">. Prawo musi określać, że każdy podmiot</w:t>
      </w:r>
      <w:r w:rsidR="00A60485">
        <w:t xml:space="preserve">, </w:t>
      </w:r>
      <w:r>
        <w:t xml:space="preserve">osoba fizyczna lub prawna</w:t>
      </w:r>
      <w:r w:rsidR="00A60485">
        <w:t xml:space="preserve">, </w:t>
      </w:r>
      <w:r w:rsidR="00A60485">
        <w:t xml:space="preserve">którego </w:t>
      </w:r>
      <w:r>
        <w:t xml:space="preserve">celem </w:t>
      </w:r>
      <w:r w:rsidR="00A60485">
        <w:t xml:space="preserve">jest </w:t>
      </w:r>
      <w:r>
        <w:t xml:space="preserve">organizowanie lub pośredniczenie w </w:t>
      </w:r>
      <w:r>
        <w:t xml:space="preserve">pracy </w:t>
      </w:r>
      <w:r>
        <w:t xml:space="preserve">na platformie</w:t>
      </w:r>
      <w:r>
        <w:t xml:space="preserve">, </w:t>
      </w:r>
      <w:r>
        <w:t xml:space="preserve">jest </w:t>
      </w:r>
      <w:r>
        <w:t xml:space="preserve">pośrednikiem. Wynajem konta, na który platforma zezwala lub pozwala, uznaje się za pośrednictwo. Zalecamy ministerstwom utworzenie publicznie dostępnego rejestru pośredników działających w imieniu platform.</w:t>
      </w:r>
    </w:p>
    <w:p w:rsidR="00D90A18" w:rsidP="00750824" w:rsidRDefault="00D90A18" w14:paraId="34AC575B" w14:textId="77777777">
      <w:pPr>
        <w:jc w:val="both"/>
      </w:pPr>
    </w:p>
    <w:p w:rsidR="00D90A18" w:rsidP="00750824" w:rsidRDefault="00000000" w14:paraId="52A018B9" w14:textId="5D50A1D9">
      <w:pPr>
        <w:pStyle w:val="Blokbesedila"/>
      </w:pPr>
      <w:r>
        <w:t xml:space="preserve">Kontekst: System flotowy występuje w co najmniej 41 z 91 analizowanych platform. </w:t>
      </w:r>
      <w:r>
        <w:t xml:space="preserve">Uber </w:t>
      </w:r>
      <w:r>
        <w:t xml:space="preserve">Eats </w:t>
      </w:r>
      <w:r>
        <w:t xml:space="preserve">Niemcy, doświadczenia z firmami-przykrywkami w Chorwacji i Serbii oraz hiszpańskie doświadczenia związane z ustawą o dostawcach (</w:t>
      </w:r>
      <w:r>
        <w:t xml:space="preserve">Ley </w:t>
      </w:r>
      <w:r>
        <w:t xml:space="preserve">Rider</w:t>
      </w:r>
      <w:r>
        <w:t xml:space="preserve">) to udokumentowane przykłady tego, jak platformy za pomocą pośredników przenoszą ryzyko prawne na pracowników </w:t>
      </w:r>
      <w:r w:rsidR="00A60485">
        <w:t xml:space="preserve">i/lub na firmy pośredniczące</w:t>
      </w:r>
      <w:r>
        <w:t xml:space="preserve">.</w:t>
      </w:r>
    </w:p>
    <w:p w:rsidR="00D90A18" w:rsidP="00750824" w:rsidRDefault="00D90A18" w14:paraId="62E142CD" w14:textId="77777777">
      <w:pPr>
        <w:jc w:val="both"/>
      </w:pPr>
    </w:p>
    <w:p w:rsidR="00983F19" w:rsidP="00750824" w:rsidRDefault="00000000" w14:paraId="76CCAB41" w14:textId="09B6CB43">
      <w:pPr>
        <w:pStyle w:val="Naslov3"/>
        <w:jc w:val="both"/>
      </w:pPr>
      <w:r>
        <w:t xml:space="preserve">Zalecenie 2.3 [WYKRACZA POZA MINIMUM]: </w:t>
      </w:r>
      <w:r>
        <w:t xml:space="preserve">Odpowiedzialność </w:t>
      </w:r>
      <w:r w:rsidR="00A25A76">
        <w:t xml:space="preserve">solidarna </w:t>
      </w:r>
      <w:r>
        <w:t xml:space="preserve">jako </w:t>
      </w:r>
      <w:r w:rsidR="00A60485">
        <w:t xml:space="preserve">wymóg</w:t>
      </w:r>
      <w:r>
        <w:t xml:space="preserve"> prawny</w:t>
      </w:r>
      <w:r>
        <w:t xml:space="preserve">, a nie tylko możliwość</w:t>
      </w:r>
    </w:p>
    <w:p w:rsidR="00983F19" w:rsidP="00750824" w:rsidRDefault="00000000" w14:paraId="24D2D553" w14:textId="13267CCE">
      <w:pPr>
        <w:jc w:val="both"/>
      </w:pPr>
      <w:r>
        <w:t xml:space="preserve">Artykuł 3 dyrektywy wymaga, aby pracownicy </w:t>
      </w:r>
      <w:r w:rsidR="00A60485">
        <w:t xml:space="preserve">wykonujący</w:t>
      </w:r>
      <w:r w:rsidR="00A60485">
        <w:t xml:space="preserve"> pracę </w:t>
      </w:r>
      <w:r>
        <w:t xml:space="preserve">za pośrednictwem pośredników </w:t>
      </w:r>
      <w:r>
        <w:t xml:space="preserve">korzystali z takiego samego poziomu ochrony. </w:t>
      </w:r>
      <w:r w:rsidR="00A60485">
        <w:t xml:space="preserve">Niezbędnym narzędziem </w:t>
      </w:r>
      <w:r>
        <w:t xml:space="preserve">do osiągnięcia tego celu jest </w:t>
      </w:r>
      <w:r w:rsidR="00A25A76">
        <w:t xml:space="preserve">solidarna </w:t>
      </w:r>
      <w:r>
        <w:t xml:space="preserve">odpowiedzialność platformy i pośrednika. Sformułowanie </w:t>
      </w:r>
      <w:r>
        <w:t xml:space="preserve">„w stosownych </w:t>
      </w:r>
      <w:r w:rsidR="00320506">
        <w:t xml:space="preserve">przypadkach” </w:t>
      </w:r>
      <w:r>
        <w:t xml:space="preserve">stanowi minimalny standard </w:t>
      </w:r>
      <w:r w:rsidR="00320506">
        <w:t xml:space="preserve">i nie </w:t>
      </w:r>
      <w:r>
        <w:t xml:space="preserve">stanowi przeszkody dla wprowadzenia bardziej rygorystycznych regulacji. Zalecamy ministerstwom, aby </w:t>
      </w:r>
      <w:r>
        <w:t xml:space="preserve">wprowadziły odpowiedzialność </w:t>
      </w:r>
      <w:r w:rsidR="00A25A76">
        <w:t xml:space="preserve">solidarną </w:t>
      </w:r>
      <w:r>
        <w:t xml:space="preserve">jako domniemanie prawne: platforma i pośrednik ponoszą </w:t>
      </w:r>
      <w:r w:rsidR="00A25A76">
        <w:t xml:space="preserve">solidarną </w:t>
      </w:r>
      <w:r>
        <w:t xml:space="preserve">odpowiedzialność za wszystkie zobowiązania wynikające z dyrektywy, chyba że platforma udowodni, że istnienie stosunku pracy leży poza jej wpływem. </w:t>
      </w:r>
      <w:r>
        <w:t xml:space="preserve">Odpowiedzialność</w:t>
      </w:r>
      <w:r w:rsidR="00320506">
        <w:t xml:space="preserve"> solidarna </w:t>
      </w:r>
      <w:r>
        <w:t xml:space="preserve">musi obejmować co najmniej wynagrodzenie, składki </w:t>
      </w:r>
      <w:r w:rsidR="00320506">
        <w:t xml:space="preserve">wynikające z pracy </w:t>
      </w:r>
      <w:r>
        <w:t xml:space="preserve">oraz prawo do zrzeszania się.</w:t>
      </w:r>
    </w:p>
    <w:p w:rsidR="00D90A18" w:rsidP="00750824" w:rsidRDefault="00D90A18" w14:paraId="474E9C9B" w14:textId="77777777">
      <w:pPr>
        <w:jc w:val="both"/>
      </w:pPr>
    </w:p>
    <w:p w:rsidR="00983F19" w:rsidP="00750824" w:rsidRDefault="00000000" w14:paraId="2DDABCC7" w14:textId="44C2EF04">
      <w:pPr>
        <w:pStyle w:val="Blokbesedila"/>
      </w:pPr>
      <w:r>
        <w:lastRenderedPageBreak/>
      </w:r>
      <w:r>
        <w:t xml:space="preserve">Kontekst: Grupa ekspertów KE wyjaśniła, że </w:t>
      </w:r>
      <w:r>
        <w:t xml:space="preserve">odpowiedzialność </w:t>
      </w:r>
      <w:r w:rsidR="00A25A76">
        <w:t xml:space="preserve">solidarna </w:t>
      </w:r>
      <w:r>
        <w:t xml:space="preserve">nie jest obowiązkowa we wszystkich przypadkach, ale jest właściwa zawsze wtedy, gdy bez niej pracownik byłby zmuszony dochodzić swoich praw od podmiotu, z którym nie ma bezpośredniej umowy. Doświadczenia związane z firmami-przykrywkami pokazują, że w przypadku zamknięcia podwykonawcy pracownicy pozostają bez jakiejkolwiek ochrony. Projekt układu zbiorowego ZSSS/Związek Mladi plus dla </w:t>
      </w:r>
      <w:r>
        <w:t xml:space="preserve">Wolt </w:t>
      </w:r>
      <w:r>
        <w:t xml:space="preserve">Slovenija zawiera </w:t>
      </w:r>
      <w:r>
        <w:t xml:space="preserve">umowny zakaz stosowania systemu flotowego z sankcją w wysokości 5 000 EUR na pracownika – jest to model, który należy poprzeć na poziomie normatywnym.</w:t>
      </w:r>
    </w:p>
    <w:p w:rsidR="00983F19" w:rsidP="00750824" w:rsidRDefault="00000000" w14:paraId="3B88E94C" w14:textId="0AAD5ED6">
      <w:pPr>
        <w:pStyle w:val="Naslov3"/>
        <w:jc w:val="both"/>
      </w:pPr>
      <w:r>
        <w:t xml:space="preserve">Zalecenie 2.4 [WYKRACZA POZA MINIMUM]: </w:t>
      </w:r>
      <w:r w:rsidR="00FD0595">
        <w:t xml:space="preserve">Rzeczywista </w:t>
      </w:r>
      <w:r>
        <w:t xml:space="preserve">kontrola czasowa łańcuchów pośrednictwa za pośrednictwem ELA</w:t>
      </w:r>
    </w:p>
    <w:p w:rsidR="00983F19" w:rsidP="00750824" w:rsidRDefault="00000000" w14:paraId="0E6ADBA2" w14:textId="496AC0C6">
      <w:pPr>
        <w:jc w:val="both"/>
      </w:pPr>
      <w:r>
        <w:t xml:space="preserve">Zgodnie z protokołem partnerów społecznych SDDP zalecamy, aby państwa członkowskie nałożyły na platformy obowiązek zapewnienia cyfrowego dostępu dla organów nadzorczych oraz Europejskiej Agencji Pracy (</w:t>
      </w:r>
      <w:r>
        <w:t xml:space="preserve">„European </w:t>
      </w:r>
      <w:r>
        <w:t xml:space="preserve">Labour </w:t>
      </w:r>
      <w:r>
        <w:t xml:space="preserve">Authority </w:t>
      </w:r>
      <w:r w:rsidR="00FD0595">
        <w:t xml:space="preserve">(ELA)”</w:t>
      </w:r>
      <w:r>
        <w:t xml:space="preserve">), który w czasie rzeczywistym i </w:t>
      </w:r>
      <w:r>
        <w:t xml:space="preserve">w formie zanonimizowanej </w:t>
      </w:r>
      <w:r>
        <w:t xml:space="preserve">przedstawia liczbę aktywnych pracowników, obecnych podwykonawców oraz zagregowane dane dotyczące wynagrodzeń. Platforma </w:t>
      </w:r>
      <w:r w:rsidR="00FD0595">
        <w:t xml:space="preserve">powinna </w:t>
      </w:r>
      <w:r>
        <w:t xml:space="preserve">przedłożyć wstępny rejestr w </w:t>
      </w:r>
      <w:r w:rsidR="00FD0595">
        <w:t xml:space="preserve">ciągu 60 </w:t>
      </w:r>
      <w:r>
        <w:t xml:space="preserve">dni od wejścia w życie ustawy transpozycyjnej i aktualizować go co miesiąc. Inspektorat </w:t>
      </w:r>
      <w:r w:rsidR="00FD0595">
        <w:t xml:space="preserve">powinien </w:t>
      </w:r>
      <w:r>
        <w:t xml:space="preserve">potwierdzić działanie dostępu w ciągu 15 dni; bez potwierdzenia certyfikat społeczny zostanie wstrzymany. Dane muszą być anonimowe i zgodne z rozporządzeniem o ochronie danych osobowych (RODO). Celem nie jest nadzór nad poszczególnymi pracownikami, lecz wykrywanie ukrytych </w:t>
      </w:r>
      <w:r>
        <w:t xml:space="preserve">relacji </w:t>
      </w:r>
      <w:r>
        <w:t xml:space="preserve">podwykonawczych </w:t>
      </w:r>
      <w:r>
        <w:t xml:space="preserve">i </w:t>
      </w:r>
      <w:r>
        <w:t xml:space="preserve">systematycznego przenoszenia ryzyka. Dostęp do danych zbiorczych </w:t>
      </w:r>
      <w:r w:rsidR="00FD0595">
        <w:t xml:space="preserve">powinny </w:t>
      </w:r>
      <w:r>
        <w:t xml:space="preserve">mieć również związki zawodowe w ramach negocjacji zbiorowych. ELA </w:t>
      </w:r>
      <w:r w:rsidR="00FD0595">
        <w:t xml:space="preserve">powinna </w:t>
      </w:r>
      <w:r>
        <w:t xml:space="preserve">pełnić rolę mediatora w sprawach transgranicznych oraz koordynować wspólne kontrole inspekcyjne.</w:t>
      </w:r>
      <w:r>
        <w:rPr>
          <w:rStyle w:val="Sprotnaopomba-sklic"/>
        </w:rPr>
        <w:footnoteReference w:id="1"/>
      </w:r>
    </w:p>
    <w:p w:rsidR="00D90A18" w:rsidP="00750824" w:rsidRDefault="00D90A18" w14:paraId="34789338" w14:textId="77777777">
      <w:pPr>
        <w:jc w:val="both"/>
      </w:pPr>
    </w:p>
    <w:p w:rsidR="00983F19" w:rsidP="00750824" w:rsidRDefault="00000000" w14:paraId="10B49C1F" w14:textId="77777777">
      <w:pPr>
        <w:pStyle w:val="Blokbesedila"/>
      </w:pPr>
      <w:r>
        <w:t xml:space="preserve">Kontekst: Protokół partnerów społecznych SDDP (III filar) przewiduje </w:t>
      </w:r>
      <w:r>
        <w:t xml:space="preserve">rejestr </w:t>
      </w:r>
      <w:r>
        <w:t xml:space="preserve">działający w czasie rzeczywistym </w:t>
      </w:r>
      <w:r>
        <w:t xml:space="preserve">jako narzędzie zapobiegania </w:t>
      </w:r>
      <w:r>
        <w:t xml:space="preserve">nadużyciom </w:t>
      </w:r>
      <w:r>
        <w:t xml:space="preserve">w zakresie podwykonawstwa</w:t>
      </w:r>
      <w:r>
        <w:t xml:space="preserve">. Bez niezależnego źródła danych związki zawodowe i inspektoraty znajdują się w gorszej sytuacji strukturalnej podczas negocjacji. ELA posiada już uprawnienia do transgranicznej wymiany informacji – mechanizm ten bezpośrednio włączyłby ją do nadzoru prewencyjnego.</w:t>
      </w:r>
    </w:p>
    <w:p w:rsidR="00D90A18" w:rsidP="00750824" w:rsidRDefault="00D90A18" w14:paraId="7BD5FD64" w14:textId="77777777">
      <w:pPr>
        <w:jc w:val="both"/>
      </w:pPr>
    </w:p>
    <w:p w:rsidR="00983F19" w:rsidP="00750824" w:rsidRDefault="00000000" w14:paraId="5B66E501" w14:textId="77777777">
      <w:pPr>
        <w:pStyle w:val="Naslov3"/>
        <w:jc w:val="both"/>
      </w:pPr>
      <w:r>
        <w:t xml:space="preserve">Zalecenie 2.5 [DYREKTYWA]: Jasne uregulowanie kompetencji terytorialnych</w:t>
      </w:r>
    </w:p>
    <w:p w:rsidR="00983F19" w:rsidP="00750824" w:rsidRDefault="00000000" w14:paraId="156C44FC" w14:textId="14D819C7">
      <w:pPr>
        <w:jc w:val="both"/>
      </w:pPr>
      <w:r>
        <w:t xml:space="preserve">Ministerstwa muszą włączyć do ustawy o transpozycji wyraźny przepis, który upoważnia i zobowiązuje inspektorat pracy do podejmowania działań wobec każdej platformy organizującej pracę na terytorium kraju</w:t>
      </w:r>
      <w:r w:rsidR="00FD0595">
        <w:t xml:space="preserve">, </w:t>
      </w:r>
      <w:r>
        <w:t xml:space="preserve">niezależnie od siedziby platformy lub </w:t>
      </w:r>
      <w:r w:rsidR="00FD0595">
        <w:t xml:space="preserve">stosowania systemu prawnego określonego </w:t>
      </w:r>
      <w:r>
        <w:t xml:space="preserve">w umowach. Powoływanie się na zagraniczną siedzibę lub wybór prawa zagranicznego jako podstawy braku właściwości jest niedopuszczalne. Platformy, które nie mają siedziby w UE, muszą posiadać przedstawiciela w Unii. Zalecamy ministerstwom, aby w ustawie zawarły wyraźny zakaz, zgodnie z którym platforma nie mogłaby w negocjacjach lub postępowaniach przed organami powoływać się na zagraniczną siedzibę jako podstawę do ograniczenia odpowiedzialności.</w:t>
      </w:r>
      <w:r>
        <w:rPr>
          <w:rStyle w:val="Sprotnaopomba-sklic"/>
        </w:rPr>
        <w:footnoteReference w:id="2"/>
      </w:r>
    </w:p>
    <w:p w:rsidR="00D90A18" w:rsidP="00750824" w:rsidRDefault="00D90A18" w14:paraId="759F476B" w14:textId="77777777">
      <w:pPr>
        <w:jc w:val="both"/>
      </w:pPr>
    </w:p>
    <w:p w:rsidR="00D90A18" w:rsidP="00750824" w:rsidRDefault="00000000" w14:paraId="7A83C5D5" w14:textId="011814CF">
      <w:pPr>
        <w:pStyle w:val="Blokbesedila"/>
      </w:pPr>
      <w:r>
        <w:t xml:space="preserve">Kontekst: Artykuł 1 ust. 3 dyrektywy w połączeniu z rozporządzeniem Rzym I tworzy solidne ramy prawne dotyczące jurysdykcji terytorialnej. Twierdzenia niektórych platform</w:t>
      </w:r>
      <w:r w:rsidR="00FD0595">
        <w:t xml:space="preserve">, </w:t>
      </w:r>
      <w:r>
        <w:t xml:space="preserve">że określone zobowiązania ich nie dotyczą</w:t>
      </w:r>
      <w:r>
        <w:lastRenderedPageBreak/>
      </w:r>
      <w:r>
        <w:t xml:space="preserve"> lub że określone organy nie są </w:t>
      </w:r>
      <w:r w:rsidR="00792F1C">
        <w:t xml:space="preserve">właściwe</w:t>
      </w:r>
      <w:r w:rsidR="00FD0595">
        <w:t xml:space="preserve">, </w:t>
      </w:r>
      <w:r>
        <w:t xml:space="preserve">są sprzeczne z dyrektywą i należy je wykluczyć już w treści ustawy.</w:t>
      </w:r>
      <w:r>
        <w:rPr>
          <w:rStyle w:val="Sprotnaopomba-sklic"/>
        </w:rPr>
        <w:footnoteReference w:id="3"/>
      </w:r>
    </w:p>
    <w:p w:rsidR="00D90A18" w:rsidP="00750824" w:rsidRDefault="00D90A18" w14:paraId="2C498739" w14:textId="77777777">
      <w:pPr>
        <w:jc w:val="both"/>
      </w:pPr>
    </w:p>
    <w:p w:rsidR="00983F19" w:rsidP="00750824" w:rsidRDefault="00000000" w14:paraId="25DDBE1E" w14:textId="77777777">
      <w:pPr>
        <w:pStyle w:val="Naslov3"/>
        <w:jc w:val="both"/>
      </w:pPr>
      <w:r>
        <w:t xml:space="preserve">Zalecenie 2.6 [WYKROCZĄCE POZA MINIMUM]: Dialog społeczny jako narzędzie ustalania zakresu stosowania</w:t>
      </w:r>
    </w:p>
    <w:p w:rsidR="00983F19" w:rsidP="00750824" w:rsidRDefault="00000000" w14:paraId="46D33B99" w14:textId="77777777">
      <w:pPr>
        <w:jc w:val="both"/>
      </w:pPr>
      <w:r>
        <w:t xml:space="preserve">Ministerstwa powinny uwzględnić w ustawie transpozycyjnej mechanizm umożliwiający partnerom społecznym złożenie formalnej inicjatywy w celu ustalenia, czy dany model biznesowy spełnia kryteria DLP. W ramach tego mechanizmu właściwy organ powinien w określonym terminie (np. 60 dni) wydać wiążące stanowisko, które stanowi podstawę do dalszych działań. Takie ustalenia opierają się na dialogu społecznym między ministerstwem, związkami zawodowymi i pracodawcami i są szybsze, tańsze oraz bardziej sprawiedliwe niż indywidualne pozwy, na które poszczególni pracownicy często nie są w stanie sobie pozwolić.</w:t>
      </w:r>
    </w:p>
    <w:p w:rsidR="00FD0595" w:rsidP="00750824" w:rsidRDefault="00FD0595" w14:paraId="1BEA3115" w14:textId="77777777">
      <w:pPr>
        <w:jc w:val="both"/>
      </w:pPr>
    </w:p>
    <w:p w:rsidR="00983F19" w:rsidP="00750824" w:rsidRDefault="00000000" w14:paraId="30A226FD" w14:textId="77777777">
      <w:pPr>
        <w:pStyle w:val="Blokbesedila"/>
      </w:pPr>
      <w:r>
        <w:t xml:space="preserve">Kontekst: Motywem przewodnim niniejszego dokumentu jest to, że dialog społeczny będzie pomostem wypełniającym lukę między przyjęciem dyrektywy a jej faktycznym wdrożeniem. Zbiorowy mechanizm rozwiązywania sporów o szerokim zasięgu jest skuteczniejszy niż indywidualne postępowania sądowe.</w:t>
      </w:r>
    </w:p>
    <w:p w:rsidR="00D90A18" w:rsidP="00750824" w:rsidRDefault="00D90A18" w14:paraId="57BE798C" w14:textId="77777777">
      <w:pPr>
        <w:jc w:val="both"/>
      </w:pPr>
    </w:p>
    <w:p w:rsidRPr="00D90A18" w:rsidR="00983F19" w:rsidP="00750824" w:rsidRDefault="00000000" w14:paraId="4149CE32" w14:textId="77777777">
      <w:pPr>
        <w:jc w:val="both"/>
        <w:rPr>
          <w:rStyle w:val="Neenpoudarek"/>
        </w:rPr>
      </w:pPr>
      <w:r>
        <w:rPr>
          <w:rStyle w:val="Neenpoudarek"/>
        </w:rPr>
        <w:t xml:space="preserve">Uwaga dotycząca wdrożenia</w:t>
      </w:r>
    </w:p>
    <w:p w:rsidRPr="00D90A18" w:rsidR="00983F19" w:rsidP="00750824" w:rsidRDefault="00000000" w14:paraId="477821F1" w14:textId="4BED8176">
      <w:pPr>
        <w:jc w:val="both"/>
        <w:rPr>
          <w:rStyle w:val="Neenpoudarek"/>
        </w:rPr>
      </w:pPr>
      <w:r>
        <w:rPr>
          <w:rStyle w:val="Neenpoudarek"/>
        </w:rPr>
        <w:t xml:space="preserve">Definicje zawarte w niniejszym rozdziale stanowią podstawę, na której opierają się wszystkie kolejne rozdziały niniejszego dokumentu. Domniemanie prawne zatrudnienia (</w:t>
      </w:r>
      <w:r>
        <w:rPr>
          <w:rStyle w:val="Neenpoudarek"/>
        </w:rPr>
        <w:t xml:space="preserve">rozdz</w:t>
      </w:r>
      <w:r>
        <w:rPr>
          <w:rStyle w:val="Neenpoudarek"/>
        </w:rPr>
        <w:t xml:space="preserve">. 4) będzie skuteczne tylko wtedy, gdy pojęcie DLP zostanie przeniesione bez luk sektorowych. Zarządzanie algorytmiczne (</w:t>
      </w:r>
      <w:r>
        <w:rPr>
          <w:rStyle w:val="Neenpoudarek"/>
        </w:rPr>
        <w:t xml:space="preserve">rozdz</w:t>
      </w:r>
      <w:r>
        <w:rPr>
          <w:rStyle w:val="Neenpoudarek"/>
        </w:rPr>
        <w:t xml:space="preserve">. 5) zapewni ochronę wyłącznie osobom, które są PPPW w rozumieniu dyrektywy. Prawa zbiorowe (</w:t>
      </w:r>
      <w:r>
        <w:rPr>
          <w:rStyle w:val="Neenpoudarek"/>
        </w:rPr>
        <w:t xml:space="preserve">rozdz</w:t>
      </w:r>
      <w:r>
        <w:rPr>
          <w:rStyle w:val="Neenpoudarek"/>
        </w:rPr>
        <w:t xml:space="preserve">. 7) będą dostępne tylko wtedy, gdy łańcuch pośrednictwa zostanie jasno uregulowany. Dokładność w transpozycji artykułów 1–3 nie jest wymogiem formalnym – jest warunkiem wszelkiej pozostałej ochrony </w:t>
      </w:r>
      <w:r w:rsidR="00FD0595">
        <w:rPr>
          <w:rStyle w:val="Neenpoudarek"/>
        </w:rPr>
        <w:t xml:space="preserve">wynikającej z dyrektywy</w:t>
      </w:r>
      <w:r>
        <w:rPr>
          <w:rStyle w:val="Neenpoudarek"/>
        </w:rPr>
        <w:t xml:space="preserve">.</w:t>
      </w:r>
    </w:p>
    <w:p w:rsidR="00750824" w:rsidRDefault="00750824" w14:paraId="1079C305" w14:textId="77777777">
      <w:pPr>
        <w:rPr>
          <w:b/>
          <w:bCs/>
          <w:color w:val="1F3864"/>
          <w:sz w:val="36"/>
          <w:szCs w:val="36"/>
        </w:rPr>
      </w:pPr>
      <w:bookmarkStart w:name="X2ed98e4ec239b0ccf1f85db2f0674c03d64541e" w:id="10"/>
      <w:bookmarkEnd w:id="4"/>
      <w:r>
        <w:br w:type="page"/>
      </w:r>
    </w:p>
    <w:p w:rsidR="00983F19" w:rsidP="00750824" w:rsidRDefault="00000000" w14:paraId="66BAE2DB" w14:textId="646347CD">
      <w:pPr>
        <w:pStyle w:val="Naslov1"/>
        <w:jc w:val="both"/>
      </w:pPr>
      <w:bookmarkStart w:name="_Toc233699484" w:id="11"/>
      <w:r>
        <w:lastRenderedPageBreak/>
      </w:r>
      <w:r>
        <w:t xml:space="preserve">Rozdział 3: Domniemanie prawne </w:t>
      </w:r>
      <w:r w:rsidR="00CF3B80">
        <w:t xml:space="preserve">zatrudnienia </w:t>
      </w:r>
      <w:r>
        <w:t xml:space="preserve">i ustalanie statusu prawnego w zakresie prawa pracy</w:t>
      </w:r>
      <w:bookmarkEnd w:id="11"/>
    </w:p>
    <w:p w:rsidR="00983F19" w:rsidP="00750824" w:rsidRDefault="00000000" w14:paraId="2A9DD044" w14:textId="77777777">
      <w:pPr>
        <w:pStyle w:val="Naslov2"/>
        <w:jc w:val="both"/>
      </w:pPr>
      <w:bookmarkStart w:name="_Toc233699485" w:id="12"/>
      <w:bookmarkStart w:name="zahteve-direktive" w:id="13"/>
      <w:r>
        <w:t xml:space="preserve">3.1 Wymogi dyrektywy</w:t>
      </w:r>
      <w:bookmarkEnd w:id="12"/>
    </w:p>
    <w:p w:rsidR="00983F19" w:rsidP="00750824" w:rsidRDefault="00000000" w14:paraId="034B78FA" w14:textId="75AB6398">
      <w:pPr>
        <w:jc w:val="both"/>
      </w:pPr>
      <w:r>
        <w:t xml:space="preserve">Dyrektywa UE 2024/2831 w sprawie </w:t>
      </w:r>
      <w:r>
        <w:t xml:space="preserve">pracy </w:t>
      </w:r>
      <w:r>
        <w:t xml:space="preserve">na platformach </w:t>
      </w:r>
      <w:r w:rsidR="00C91807">
        <w:t xml:space="preserve">poświęca </w:t>
      </w:r>
      <w:r>
        <w:t xml:space="preserve">kwestii statusu zatrudnienia </w:t>
      </w:r>
      <w:r>
        <w:t xml:space="preserve">rozdział II (art. 4–6), który w raporcie grupy ekspertów Komisji Europejskiej słusznie określono jako centralny obszar całej dyrektywy. Bez skutecznego rozwiązania kwestii, czy osoba wykonująca </w:t>
      </w:r>
      <w:r>
        <w:t xml:space="preserve">pracę </w:t>
      </w:r>
      <w:r>
        <w:t xml:space="preserve">na platformach</w:t>
      </w:r>
      <w:r>
        <w:t xml:space="preserve"> jest </w:t>
      </w:r>
      <w:r>
        <w:t xml:space="preserve">pracownikiem, czy osobą samozatrudnioną, wszystkie pozostałe przepisy dyrektywy tracą niemal na znaczeniu.</w:t>
      </w:r>
    </w:p>
    <w:p w:rsidR="00D90A18" w:rsidP="00750824" w:rsidRDefault="00D90A18" w14:paraId="016CD21C" w14:textId="77777777">
      <w:pPr>
        <w:jc w:val="both"/>
      </w:pPr>
    </w:p>
    <w:p w:rsidR="00983F19" w:rsidP="00750824" w:rsidRDefault="00000000" w14:paraId="46C533FF" w14:textId="24CB1F4A">
      <w:pPr>
        <w:jc w:val="both"/>
      </w:pPr>
      <w:r>
        <w:rPr>
          <w:b/>
          <w:bCs/>
        </w:rPr>
        <w:t xml:space="preserve">Ustalenie właściwego statusu zatrudnienia (art. 4) </w:t>
      </w:r>
      <w:r>
        <w:t xml:space="preserve">wymaga od państw członkowskich ustanowienia odpowiednich i skutecznych procedur służących ustaleniu właściwego statusu prawnego osób wykonujących </w:t>
      </w:r>
      <w:r>
        <w:t xml:space="preserve">pracę </w:t>
      </w:r>
      <w:r>
        <w:t xml:space="preserve">na platformach</w:t>
      </w:r>
      <w:r>
        <w:t xml:space="preserve">. Artykuł ten wprowadza zasadę </w:t>
      </w:r>
      <w:r>
        <w:rPr>
          <w:b/>
          <w:bCs/>
        </w:rPr>
        <w:t xml:space="preserve">pierwszeństwa faktów </w:t>
      </w:r>
      <w:r>
        <w:t xml:space="preserve">(</w:t>
      </w:r>
      <w:r w:rsidRPr="00792F1C">
        <w:t xml:space="preserve">„primacy </w:t>
      </w:r>
      <w:r w:rsidRPr="00792F1C">
        <w:t xml:space="preserve">of </w:t>
      </w:r>
      <w:r w:rsidRPr="00792F1C" w:rsidR="000D74B6">
        <w:t xml:space="preserve">facts”</w:t>
      </w:r>
      <w:r>
        <w:t xml:space="preserve">): przy ustalaniu istnienia </w:t>
      </w:r>
      <w:r w:rsidR="00CF3B80">
        <w:t xml:space="preserve">stosunku pracy </w:t>
      </w:r>
      <w:r>
        <w:t xml:space="preserve">fakty muszą zawsze przeważać nad wolą stron lub umownym uregulowaniem stosunku. Innymi słowy, platforma nie może, powołując się na umowę, którą sama jednostronnie opracowała i zaproponowała do podpisania, wykluczyć istnienia </w:t>
      </w:r>
      <w:r w:rsidR="00CF3B80">
        <w:t xml:space="preserve">stosunku pracy</w:t>
      </w:r>
      <w:r>
        <w:t xml:space="preserve">, na co wskazują faktyczne okoliczności pracy. Artykuł 4 wymaga również jednoznacznej identyfikacji pracodawcy, co jest szczególnie trudne w sytuacjach, gdy między platformą a pracownikiem znajduje się łańcuch pośredników lub podwykonawców.</w:t>
      </w:r>
    </w:p>
    <w:p w:rsidR="00D90A18" w:rsidP="00750824" w:rsidRDefault="00D90A18" w14:paraId="1668947A" w14:textId="77777777">
      <w:pPr>
        <w:jc w:val="both"/>
      </w:pPr>
    </w:p>
    <w:p w:rsidR="00983F19" w:rsidP="00750824" w:rsidRDefault="00000000" w14:paraId="4514C0B2" w14:textId="42C2910F">
      <w:pPr>
        <w:jc w:val="both"/>
      </w:pPr>
      <w:r>
        <w:rPr>
          <w:b/>
          <w:bCs/>
        </w:rPr>
        <w:t xml:space="preserve">Prawne domniemanie </w:t>
      </w:r>
      <w:r w:rsidR="00CF3B80">
        <w:rPr>
          <w:b/>
          <w:bCs/>
        </w:rPr>
        <w:t xml:space="preserve">stosunku pracy </w:t>
      </w:r>
      <w:r>
        <w:rPr>
          <w:b/>
          <w:bCs/>
        </w:rPr>
        <w:t xml:space="preserve">(art. 5) </w:t>
      </w:r>
      <w:r>
        <w:t xml:space="preserve">jest kluczowym narzędziem dyrektywy. Wprowadza ona podlegające obaleniu domniemanie prawne, że stosunek umowny między cyfrową platformą pracy a osobą wykonującą pracę za jej pośrednictwem stanowi </w:t>
      </w:r>
      <w:r w:rsidR="00CF3B80">
        <w:rPr>
          <w:b/>
          <w:bCs/>
        </w:rPr>
        <w:t xml:space="preserve">stosunek pracy</w:t>
      </w:r>
      <w:r>
        <w:t xml:space="preserve">, jeżeli stwierdzono fakty wskazujące na wydawanie poleceń i sprawowanie kontroli (</w:t>
      </w:r>
      <w:r w:rsidRPr="00792F1C">
        <w:t xml:space="preserve">„direction </w:t>
      </w:r>
      <w:r w:rsidRPr="00792F1C">
        <w:t xml:space="preserve">and </w:t>
      </w:r>
      <w:r w:rsidRPr="00792F1C" w:rsidR="000D74B6">
        <w:t xml:space="preserve">control”</w:t>
      </w:r>
      <w:r>
        <w:t xml:space="preserve">). Dyrektywa rozumie to pojęcie szeroko: obejmuje ono nie tylko bezpośrednie instrukcje, ale także pośrednie kierowanie zachowaniem za pośrednictwem systemów algorytmicznych, praktyki karne i </w:t>
      </w:r>
      <w:r w:rsidR="000D74B6">
        <w:t xml:space="preserve">naciski </w:t>
      </w:r>
      <w:r>
        <w:t xml:space="preserve">(motyw 30). W procesie transpozycji kluczowe znaczenie ma </w:t>
      </w:r>
      <w:r>
        <w:t xml:space="preserve">interpretacja</w:t>
      </w:r>
      <w:r>
        <w:t xml:space="preserve"> krajowego pojęcia </w:t>
      </w:r>
      <w:r w:rsidR="000D74B6">
        <w:t xml:space="preserve">„</w:t>
      </w:r>
      <w:r>
        <w:t xml:space="preserve">kierownictwa i </w:t>
      </w:r>
      <w:r w:rsidR="000D74B6">
        <w:t xml:space="preserve">kontroli” </w:t>
      </w:r>
      <w:r>
        <w:t xml:space="preserve">(np. w słoweńskiej ustawie ZDR-1, art. 4) w taki sposób, aby obejmowało ono również te pośrednie formy </w:t>
      </w:r>
      <w:r w:rsidR="000D74B6">
        <w:t xml:space="preserve">podporządkowania</w:t>
      </w:r>
      <w:r>
        <w:t xml:space="preserve">.</w:t>
      </w:r>
    </w:p>
    <w:p w:rsidR="00D90A18" w:rsidP="00750824" w:rsidRDefault="00D90A18" w14:paraId="4831453B" w14:textId="77777777">
      <w:pPr>
        <w:jc w:val="both"/>
      </w:pPr>
    </w:p>
    <w:p w:rsidR="00983F19" w:rsidP="00750824" w:rsidRDefault="00000000" w14:paraId="2539B6BC" w14:textId="77DCA821">
      <w:pPr>
        <w:jc w:val="both"/>
      </w:pPr>
      <w:r>
        <w:t xml:space="preserve">Ciężar dowodu (</w:t>
      </w:r>
      <w:r w:rsidRPr="00792F1C">
        <w:t xml:space="preserve">„burden </w:t>
      </w:r>
      <w:r w:rsidRPr="00792F1C">
        <w:t xml:space="preserve">of </w:t>
      </w:r>
      <w:r w:rsidRPr="00792F1C" w:rsidR="000D74B6">
        <w:t xml:space="preserve">proof</w:t>
      </w:r>
      <w:r>
        <w:t xml:space="preserve">”) w celu podważenia tego domniemania spoczywa na platformie. </w:t>
      </w:r>
      <w:r w:rsidR="000D74B6">
        <w:t xml:space="preserve">Jeśli </w:t>
      </w:r>
      <w:r>
        <w:t xml:space="preserve">platforma </w:t>
      </w:r>
      <w:r w:rsidR="000D74B6">
        <w:t xml:space="preserve">nie przyjmuje tego domniemania, </w:t>
      </w:r>
      <w:r>
        <w:t xml:space="preserve">musi udowodnić, że stosunek umowny nie ma charakteru </w:t>
      </w:r>
      <w:r w:rsidR="00CF3B80">
        <w:t xml:space="preserve">zatrudnienia</w:t>
      </w:r>
      <w:r>
        <w:t xml:space="preserve">. Dyrektywa nie zaostrza tego standardu poprzez wymóg stosowania dodatkowych kryteriów</w:t>
      </w:r>
      <w:r w:rsidR="000D74B6">
        <w:t xml:space="preserve">; </w:t>
      </w:r>
      <w:r>
        <w:t xml:space="preserve">jak wyjaśniła grupa ekspertów KE, art. 5 </w:t>
      </w:r>
      <w:r>
        <w:rPr>
          <w:b/>
          <w:bCs/>
        </w:rPr>
        <w:t xml:space="preserve">nie wymaga od państw członkowskich określenia kryteriów w środkach transpozycji</w:t>
      </w:r>
      <w:r w:rsidR="000D74B6">
        <w:t xml:space="preserve">. </w:t>
      </w:r>
      <w:r>
        <w:t xml:space="preserve">Wystarczy ustalenie faktów wskazujących na wydawanie poleceń i sprawowanie nadzoru. Wymagany standard dowodowy jest porównywalny z zasadą </w:t>
      </w:r>
      <w:r>
        <w:rPr>
          <w:i/>
          <w:iCs/>
        </w:rPr>
        <w:t xml:space="preserve">prima </w:t>
      </w:r>
      <w:r>
        <w:rPr>
          <w:i/>
          <w:iCs/>
        </w:rPr>
        <w:t xml:space="preserve">facie </w:t>
      </w:r>
      <w:r>
        <w:t xml:space="preserve">w unijnym prawodawstwie dotyczącym zakazu dyskryminacji: wystarczy, aby fakty wskazywały, że podległość jest co najmniej prawdopodobna lub możliwa. Dyrektywa nie wymaga pełnego dowodu.</w:t>
      </w:r>
    </w:p>
    <w:p w:rsidR="00D90A18" w:rsidP="00750824" w:rsidRDefault="00D90A18" w14:paraId="32241D05" w14:textId="77777777">
      <w:pPr>
        <w:jc w:val="both"/>
      </w:pPr>
    </w:p>
    <w:p w:rsidR="00983F19" w:rsidP="00750824" w:rsidRDefault="00000000" w14:paraId="2E7A10AD" w14:textId="5847BA8D">
      <w:pPr>
        <w:jc w:val="both"/>
      </w:pPr>
      <w:r>
        <w:t xml:space="preserve">Domniemanie prawne należy interpretować w połączeniu z motywem 30, który podkreśla, że w </w:t>
      </w:r>
      <w:r>
        <w:t xml:space="preserve">pracy </w:t>
      </w:r>
      <w:r>
        <w:t xml:space="preserve">na platformach</w:t>
      </w:r>
      <w:r>
        <w:t xml:space="preserve"> instrukcje i nadzór </w:t>
      </w:r>
      <w:r>
        <w:t xml:space="preserve">często nie mają charakteru bezpośredniego, lecz pośredni </w:t>
      </w:r>
      <w:r w:rsidR="00D7386B">
        <w:t xml:space="preserve">– </w:t>
      </w:r>
      <w:r>
        <w:t xml:space="preserve">poprzez systemy algorytmiczne, praktyki sankcyjne i naciski, które zachęcają do określonego zachowania. Platformy dysponują wszystkimi danymi dotyczącymi charakteru stosunku pracy, w szczególności algorytmami, za pomocą których zarządzają pracownikami. Właśnie to uzasadnia przeniesienie ciężaru dowodu.</w:t>
      </w:r>
    </w:p>
    <w:p w:rsidR="00D90A18" w:rsidP="00750824" w:rsidRDefault="00D90A18" w14:paraId="1BDE77BE" w14:textId="77777777">
      <w:pPr>
        <w:jc w:val="both"/>
      </w:pPr>
    </w:p>
    <w:p w:rsidR="00983F19" w:rsidP="00750824" w:rsidRDefault="00000000" w14:paraId="40A48505" w14:textId="77777777">
      <w:pPr>
        <w:jc w:val="both"/>
      </w:pPr>
      <w:r>
        <w:t xml:space="preserve">Dyrektywa przewiduje, że domniemanie prawne ma zastosowanie we wszystkich odpowiednich </w:t>
      </w:r>
      <w:r>
        <w:rPr>
          <w:b/>
          <w:bCs/>
        </w:rPr>
        <w:t xml:space="preserve">postępowaniach administracyjnych i sądowych </w:t>
      </w:r>
      <w:r>
        <w:t xml:space="preserve">mających na celu ustalenie statusu zatrudnienia. Nie ma ono automatycznego zastosowania w </w:t>
      </w:r>
      <w:r>
        <w:t xml:space="preserve">postępowaniach </w:t>
      </w:r>
      <w:r>
        <w:t xml:space="preserve">podatkowych,</w:t>
      </w:r>
      <w:r>
        <w:lastRenderedPageBreak/>
      </w:r>
      <w:r>
        <w:t xml:space="preserve"> karnych i z zakresu zabezpieczenia społecznego, chociaż państwa członkowskie mogą je na nie rozszerzyć. Stosowanie domniemania nie ma charakteru retroaktywnego: w przypadku stosunków, które istniały przed 2 grudnia 2026 r. i były wówczas już zawarte, prawa wynikające z </w:t>
      </w:r>
      <w:r>
        <w:t xml:space="preserve">na nowo zdefiniowanego </w:t>
      </w:r>
      <w:r>
        <w:t xml:space="preserve">statusu są uznawane wyłącznie w odniesieniu do okresu po tej dacie.</w:t>
      </w:r>
    </w:p>
    <w:p w:rsidR="00D90A18" w:rsidP="00750824" w:rsidRDefault="00D90A18" w14:paraId="028FF839" w14:textId="77777777">
      <w:pPr>
        <w:jc w:val="both"/>
      </w:pPr>
    </w:p>
    <w:p w:rsidR="00983F19" w:rsidP="00750824" w:rsidRDefault="00000000" w14:paraId="6832494B" w14:textId="6E9DCF73">
      <w:pPr>
        <w:jc w:val="both"/>
      </w:pPr>
      <w:r>
        <w:t xml:space="preserve">Szczególne znaczenie mają dwa przepisy dotyczące wszczęcia postępowania. Zgodnie z art. 5 ust. 4 </w:t>
      </w:r>
      <w:r>
        <w:rPr>
          <w:b/>
          <w:bCs/>
        </w:rPr>
        <w:t xml:space="preserve">prawo </w:t>
      </w:r>
      <w:r>
        <w:t xml:space="preserve">do wszczęcia postępowania </w:t>
      </w:r>
      <w:r>
        <w:t xml:space="preserve">przysługuje </w:t>
      </w:r>
      <w:r>
        <w:t xml:space="preserve">pracownikom i ich przedstawicielom. Zgodnie z art. 5 ust. 5 właściwe organy krajowe mają </w:t>
      </w:r>
      <w:r>
        <w:rPr>
          <w:b/>
          <w:bCs/>
        </w:rPr>
        <w:t xml:space="preserve">obowiązek </w:t>
      </w:r>
      <w:r>
        <w:t xml:space="preserve">podjąć odpowiednie środki lub wszcząć odpowiednie postępowania, jeżeli uznają, że dana osoba mogła zostać błędnie sklasyfikowana </w:t>
      </w:r>
      <w:r w:rsidR="00D7386B">
        <w:t xml:space="preserve">– </w:t>
      </w:r>
      <w:r>
        <w:rPr>
          <w:b/>
          <w:bCs/>
        </w:rPr>
        <w:t xml:space="preserve">niezależnie od zgody pracownika</w:t>
      </w:r>
      <w:r>
        <w:t xml:space="preserve">. Ponadto zgodnie z art. 19 dyrektywy przedstawicielstwo pracowników ma prawo występować w postępowaniach w imieniu jednego lub kilku pracowników, co otwiera drogę do zbiorowego dochodzenia praw.</w:t>
      </w:r>
    </w:p>
    <w:p w:rsidR="00D90A18" w:rsidP="00750824" w:rsidRDefault="00D90A18" w14:paraId="6C32B0FD" w14:textId="77777777">
      <w:pPr>
        <w:jc w:val="both"/>
      </w:pPr>
    </w:p>
    <w:p w:rsidR="00983F19" w:rsidP="00750824" w:rsidRDefault="00000000" w14:paraId="6FBCDC95" w14:textId="476D66BA">
      <w:pPr>
        <w:jc w:val="both"/>
      </w:pPr>
      <w:r>
        <w:rPr>
          <w:b/>
          <w:bCs/>
        </w:rPr>
        <w:t xml:space="preserve">Ramy środków wspierających (art. 6) </w:t>
      </w:r>
      <w:r>
        <w:t xml:space="preserve">zobowiązują państwa członkowskie do ustanowienia kompleksowych ram środków służących skutecznemu wdrażaniu domniemania prawnego. Ramy te muszą obejmować opracowanie wytycznych i praktycznych zaleceń dla platform, pracowników i partnerów społecznych; ustanowienie procedur, dzięki którym właściwe organy będą proaktywnie identyfikować, celowo zajmować się i ścigać platformy naruszające przepisy dotyczące statusu zatrudnienia; skuteczne kontrole i inspekcje, zwłaszcza w odniesieniu do platform, w przypadku których </w:t>
      </w:r>
      <w:r>
        <w:t xml:space="preserve">już stwierdzono</w:t>
      </w:r>
      <w:r w:rsidR="00CF3B80">
        <w:t xml:space="preserve"> istnienie stosunku pracy</w:t>
      </w:r>
      <w:r>
        <w:t xml:space="preserve">; oraz odpowiednie szkolenia organów kontrolnych, w tym w zakresie wiedzy technicznej dotyczącej zarządzania algorytmicznego.</w:t>
      </w:r>
    </w:p>
    <w:p w:rsidR="00983F19" w:rsidP="00750824" w:rsidRDefault="00000000" w14:paraId="3B6737F1" w14:textId="77777777">
      <w:pPr>
        <w:pStyle w:val="Naslov2"/>
        <w:jc w:val="both"/>
      </w:pPr>
      <w:bookmarkStart w:name="_Toc233699486" w:id="14"/>
      <w:bookmarkStart w:name="ugotovitve-iz-prakse" w:id="15"/>
      <w:bookmarkEnd w:id="13"/>
      <w:r>
        <w:t xml:space="preserve">3.2 Wnioski wynikające z praktyki</w:t>
      </w:r>
      <w:bookmarkEnd w:id="14"/>
    </w:p>
    <w:p w:rsidR="00983F19" w:rsidP="00750824" w:rsidRDefault="00000000" w14:paraId="01D9DD1D" w14:textId="77777777">
      <w:pPr>
        <w:pStyle w:val="Naslov3"/>
        <w:jc w:val="both"/>
      </w:pPr>
      <w:bookmarkStart w:name="praznina-med-pravico-in-stvarnostjo" w:id="16"/>
      <w:r>
        <w:t xml:space="preserve">Rozbieżność między prawem a rzeczywistością</w:t>
      </w:r>
    </w:p>
    <w:p w:rsidR="00983F19" w:rsidP="00750824" w:rsidRDefault="00000000" w14:paraId="1E045CBB" w14:textId="58FAC5BB">
      <w:pPr>
        <w:jc w:val="both"/>
      </w:pPr>
      <w:r>
        <w:t xml:space="preserve">Doświadczenia z krajów partnerskich projektu SDDP wskazują, że kwestia domniemania prawnego i ustalania statusu zatrudnienia jest najbardziej złożonym i najbardziej wrażliwym politycznie obszarem wdrażania dyrektywy. Jednocześnie ma to kluczowe znaczenie dla wszystkich pozostałych praw: bez statusu zatrudnienia związki zawodowe nie mają prawa reprezentować pracownika, bez statusu zatrudnienia układ zbiorowy nie ma zastosowania do pracownika, a bez statusu zatrudnienia nie ma </w:t>
      </w:r>
      <w:r>
        <w:t xml:space="preserve">praw</w:t>
      </w:r>
      <w:r w:rsidR="000D74B6">
        <w:t xml:space="preserve"> pracowniczych i socjalnych</w:t>
      </w:r>
      <w:r w:rsidR="000D74B6">
        <w:t xml:space="preserve">.</w:t>
      </w:r>
    </w:p>
    <w:p w:rsidR="000D74B6" w:rsidP="00750824" w:rsidRDefault="000D74B6" w14:paraId="2F2FEA86" w14:textId="77777777">
      <w:pPr>
        <w:jc w:val="both"/>
      </w:pPr>
    </w:p>
    <w:p w:rsidR="00983F19" w:rsidP="00750824" w:rsidRDefault="00000000" w14:paraId="28663872" w14:textId="77777777">
      <w:pPr>
        <w:jc w:val="both"/>
      </w:pPr>
      <w:r>
        <w:t xml:space="preserve">Konferencja śródokresowa projektu SDDP (Lublana, maj 2025 r.) jednoznacznie to potwierdziła: bez statusu pracowniczego wszystkie pozostałe prawa wynikające z dyrektywy pozostają niedostępne.</w:t>
      </w:r>
    </w:p>
    <w:p w:rsidR="00983F19" w:rsidP="00750824" w:rsidRDefault="00000000" w14:paraId="749034F8" w14:textId="77777777">
      <w:pPr>
        <w:pStyle w:val="Naslov3"/>
        <w:jc w:val="both"/>
      </w:pPr>
      <w:bookmarkStart w:name="Xb628c4a68f4dd592c51cb0fabb9c985081de79b" w:id="17"/>
      <w:bookmarkEnd w:id="16"/>
      <w:r>
        <w:t xml:space="preserve">Hiszpania: od ignorowania prawa do groźby kary pozbawienia wolności</w:t>
      </w:r>
    </w:p>
    <w:p w:rsidR="00983F19" w:rsidP="00750824" w:rsidRDefault="00000000" w14:paraId="5B4CF9D7" w14:textId="789C054D">
      <w:pPr>
        <w:jc w:val="both"/>
      </w:pPr>
      <w:r>
        <w:t xml:space="preserve">Hiszpania oferuje </w:t>
      </w:r>
      <w:r w:rsidR="000D74B6">
        <w:t xml:space="preserve">najbardziej kompleksowe </w:t>
      </w:r>
      <w:r>
        <w:t xml:space="preserve">doświadczenie </w:t>
      </w:r>
      <w:r w:rsidR="00D7386B">
        <w:t xml:space="preserve">– </w:t>
      </w:r>
      <w:r>
        <w:t xml:space="preserve">zarówno sukcesów, jak i zagrożeń. Po zwycięstwach związków zawodowych w sądach rząd hiszpański przyjął w 2021 r. tzw. </w:t>
      </w:r>
      <w:r>
        <w:t xml:space="preserve">ustawę o dostawcach (</w:t>
      </w:r>
      <w:r>
        <w:rPr>
          <w:i/>
          <w:iCs/>
        </w:rPr>
        <w:t xml:space="preserve">„Ley </w:t>
      </w:r>
      <w:r w:rsidR="000D74B6">
        <w:rPr>
          <w:i/>
          <w:iCs/>
        </w:rPr>
        <w:t xml:space="preserve">Rider”</w:t>
      </w:r>
      <w:r>
        <w:t xml:space="preserve">), która wprowadza domniemanie </w:t>
      </w:r>
      <w:r w:rsidR="00CF3B80">
        <w:t xml:space="preserve">zatrudnienia</w:t>
      </w:r>
      <w:r>
        <w:t xml:space="preserve"> w sektorze dostaw żywności</w:t>
      </w:r>
      <w:r>
        <w:t xml:space="preserve">. Reakcja platform była bardzo wymowna i przebiegała w trzech etapach.</w:t>
      </w:r>
    </w:p>
    <w:p w:rsidR="000D74B6" w:rsidP="00750824" w:rsidRDefault="000D74B6" w14:paraId="2F0C8863" w14:textId="77777777">
      <w:pPr>
        <w:jc w:val="both"/>
      </w:pPr>
    </w:p>
    <w:p w:rsidR="00983F19" w:rsidP="00750824" w:rsidRDefault="00000000" w14:paraId="33198EBD" w14:textId="4A6FB9E6">
      <w:pPr>
        <w:jc w:val="both"/>
      </w:pPr>
      <w:r>
        <w:t xml:space="preserve">W pierwszej fazie </w:t>
      </w:r>
      <w:r>
        <w:t xml:space="preserve">Glovo </w:t>
      </w:r>
      <w:r w:rsidR="00D7386B">
        <w:t xml:space="preserve">– </w:t>
      </w:r>
      <w:r>
        <w:t xml:space="preserve">największa hiszpańska platforma zatrudniająca około 12 000 dostawców </w:t>
      </w:r>
      <w:r w:rsidR="00D7386B">
        <w:t xml:space="preserve">– </w:t>
      </w:r>
      <w:r>
        <w:t xml:space="preserve">ogłosiła zatrudnienie zaledwie około 2 000 osób (20 %). Oferowane umowy o pracę przewidywały minimalną tygodniową liczbę godzin oraz warunki znacznie gorsze od dotychczasowych zarobków, przez co większość dostawców ich nie przyjęła. Jednocześnie </w:t>
      </w:r>
      <w:r>
        <w:t xml:space="preserve">Glovo</w:t>
      </w:r>
      <w:r>
        <w:t xml:space="preserve"> </w:t>
      </w:r>
      <w:r>
        <w:t xml:space="preserve">zmieniło parametry algorytmiczne w taki sposób, aby stworzyć pozory autonomii </w:t>
      </w:r>
      <w:r w:rsidR="00D7386B">
        <w:t xml:space="preserve">– </w:t>
      </w:r>
      <w:r>
        <w:t xml:space="preserve">swobodna rejestracja bez konieczności wybierania terminów, możliwość odrzucania zamówień </w:t>
      </w:r>
      <w:r w:rsidR="00D7386B">
        <w:t xml:space="preserve">– </w:t>
      </w:r>
      <w:r>
        <w:t xml:space="preserve">próbując w ten sposób podważyć elementy </w:t>
      </w:r>
      <w:r w:rsidR="000D74B6">
        <w:t xml:space="preserve">podporządkowania pracowników</w:t>
      </w:r>
      <w:r>
        <w:t xml:space="preserve">.</w:t>
      </w:r>
    </w:p>
    <w:p w:rsidR="000D74B6" w:rsidP="00750824" w:rsidRDefault="000D74B6" w14:paraId="6D06A04D" w14:textId="77777777">
      <w:pPr>
        <w:jc w:val="both"/>
      </w:pPr>
    </w:p>
    <w:p w:rsidR="00983F19" w:rsidP="00750824" w:rsidRDefault="00000000" w14:paraId="7685B622" w14:textId="51AC6A7F">
      <w:pPr>
        <w:jc w:val="both"/>
      </w:pPr>
      <w:r>
        <w:lastRenderedPageBreak/>
      </w:r>
      <w:r>
        <w:t xml:space="preserve">W kolejnej fazie nastąpiły lata sporów. Hiszpański inspektorat pracy </w:t>
      </w:r>
      <w:r>
        <w:t xml:space="preserve">nałożył</w:t>
      </w:r>
      <w:r>
        <w:t xml:space="preserve"> </w:t>
      </w:r>
      <w:r w:rsidR="000D74B6">
        <w:t xml:space="preserve">na Glovo </w:t>
      </w:r>
      <w:r>
        <w:t xml:space="preserve">rekordową grzywnę w wysokości 79 milionów euro, a urząd ds. zabezpieczenia społecznego zażądał łącznie około 450 milionów euro grzywien i zaległych składek. Sądy konsekwentnie orzekały na korzyść pracowników. W 2022 roku Hiszpania zmieniła kodeks karny w taki sposób, że pozorne samozatrudnienie stało się przestępstwem.</w:t>
      </w:r>
    </w:p>
    <w:p w:rsidR="000D74B6" w:rsidP="00750824" w:rsidRDefault="000D74B6" w14:paraId="73B12AA2" w14:textId="77777777">
      <w:pPr>
        <w:jc w:val="both"/>
      </w:pPr>
    </w:p>
    <w:p w:rsidR="00983F19" w:rsidP="00750824" w:rsidRDefault="00000000" w14:paraId="02A92F84" w14:textId="71AF2FA0">
      <w:pPr>
        <w:jc w:val="both"/>
      </w:pPr>
      <w:r>
        <w:t xml:space="preserve">Decydujący zwrot nastąpił dopiero w trzeciej fazie, kiedy współzałożyciel i dyrektor wykonawczy </w:t>
      </w:r>
      <w:r>
        <w:t xml:space="preserve">Glovo, </w:t>
      </w:r>
      <w:r>
        <w:t xml:space="preserve">Óscar </w:t>
      </w:r>
      <w:r>
        <w:t xml:space="preserve">Pierre, </w:t>
      </w:r>
      <w:r>
        <w:t xml:space="preserve">został </w:t>
      </w:r>
      <w:r>
        <w:t xml:space="preserve">postawiony w stan oskarżenia. Dzień przed rozprawą sądową </w:t>
      </w:r>
      <w:r w:rsidR="00D7386B">
        <w:t xml:space="preserve">– </w:t>
      </w:r>
      <w:r>
        <w:t xml:space="preserve">w grudniu 2024 roku </w:t>
      </w:r>
      <w:r w:rsidR="00D7386B">
        <w:t xml:space="preserve">– </w:t>
      </w:r>
      <w:r>
        <w:t xml:space="preserve">firma Glovo</w:t>
      </w:r>
      <w:r>
        <w:t xml:space="preserve"> </w:t>
      </w:r>
      <w:r>
        <w:t xml:space="preserve">ogłosiła, że </w:t>
      </w:r>
      <w:r w:rsidR="000D74B6">
        <w:t xml:space="preserve">zatrudni </w:t>
      </w:r>
      <w:r>
        <w:t xml:space="preserve">wszystkich dostawców. To doświadczenie jednoznacznie pokazuje, że </w:t>
      </w:r>
      <w:r>
        <w:t xml:space="preserve">sam </w:t>
      </w:r>
      <w:r>
        <w:t xml:space="preserve">jasny przepis prawny dotyczący domniemania </w:t>
      </w:r>
      <w:r w:rsidR="00CF3B80">
        <w:t xml:space="preserve">zatrudnienia </w:t>
      </w:r>
      <w:r>
        <w:t xml:space="preserve">nie wystarcza </w:t>
      </w:r>
      <w:r w:rsidR="00D7386B">
        <w:t xml:space="preserve">– </w:t>
      </w:r>
      <w:r w:rsidR="000D74B6">
        <w:t xml:space="preserve">konieczne </w:t>
      </w:r>
      <w:r>
        <w:t xml:space="preserve">jest </w:t>
      </w:r>
      <w:r w:rsidR="000D74B6">
        <w:t xml:space="preserve">skuteczne egzekwowanie </w:t>
      </w:r>
      <w:r>
        <w:t xml:space="preserve">prawa, wykraczające poza same sankcje finansowe i obejmujące odpowiedzialność karną osób odpowiedzialnych.</w:t>
      </w:r>
    </w:p>
    <w:p w:rsidR="000D74B6" w:rsidP="00750824" w:rsidRDefault="000D74B6" w14:paraId="7C98E11A" w14:textId="77777777">
      <w:pPr>
        <w:jc w:val="both"/>
      </w:pPr>
    </w:p>
    <w:p w:rsidR="00983F19" w:rsidP="00750824" w:rsidRDefault="00000000" w14:paraId="2F90837E" w14:textId="6BB51443">
      <w:pPr>
        <w:jc w:val="both"/>
      </w:pPr>
      <w:r>
        <w:t xml:space="preserve">Jednocześnie </w:t>
      </w:r>
      <w:r>
        <w:t xml:space="preserve">doświadczenia</w:t>
      </w:r>
      <w:r w:rsidR="000D74B6">
        <w:t xml:space="preserve"> hiszpańskie </w:t>
      </w:r>
      <w:r>
        <w:t xml:space="preserve">ujawniają ograniczenie systemowe: ustawa o dostawcach dotyczy wyłącznie dostaw żywności, a nie wszystkich </w:t>
      </w:r>
      <w:r>
        <w:t xml:space="preserve">pracowników </w:t>
      </w:r>
      <w:r>
        <w:t xml:space="preserve">platformowych</w:t>
      </w:r>
      <w:r>
        <w:t xml:space="preserve">. </w:t>
      </w:r>
      <w:r>
        <w:t xml:space="preserve">Po uchwaleniu ustawy </w:t>
      </w:r>
      <w:r>
        <w:t xml:space="preserve">Uber </w:t>
      </w:r>
      <w:r>
        <w:t xml:space="preserve">Eats </w:t>
      </w:r>
      <w:r>
        <w:t xml:space="preserve">zrestrukturyzował cały model biznesowy, przechodząc na system oparty wyłącznie na podwykonawcach</w:t>
      </w:r>
      <w:r w:rsidR="000D74B6">
        <w:t xml:space="preserve">, </w:t>
      </w:r>
      <w:r w:rsidR="000D74B6">
        <w:t xml:space="preserve">tzw. </w:t>
      </w:r>
      <w:r>
        <w:t xml:space="preserve">system flotowy (</w:t>
      </w:r>
      <w:r w:rsidRPr="00792F1C">
        <w:t xml:space="preserve">„fleet </w:t>
      </w:r>
      <w:r w:rsidRPr="00792F1C" w:rsidR="000D74B6">
        <w:t xml:space="preserve">system”</w:t>
      </w:r>
      <w:r>
        <w:t xml:space="preserve">)</w:t>
      </w:r>
      <w:r w:rsidR="000D74B6">
        <w:t xml:space="preserve">, </w:t>
      </w:r>
      <w:r>
        <w:t xml:space="preserve">i w ten sposób formalnie spełnił wymóg zatrudnienia, ale poprzez pośredników utrwalił </w:t>
      </w:r>
      <w:r>
        <w:t xml:space="preserve">niepewność zatrudnienia</w:t>
      </w:r>
      <w:r>
        <w:t xml:space="preserve">. Pokazuje to, że każda regulacja ograniczona do konkretnego sektora jest </w:t>
      </w:r>
      <w:r w:rsidR="000D74B6">
        <w:t xml:space="preserve">nieskuteczna</w:t>
      </w:r>
      <w:r>
        <w:t xml:space="preserve">.</w:t>
      </w:r>
    </w:p>
    <w:p w:rsidR="00983F19" w:rsidP="00750824" w:rsidRDefault="00000000" w14:paraId="56113684" w14:textId="77777777">
      <w:pPr>
        <w:pStyle w:val="Naslov3"/>
        <w:jc w:val="both"/>
      </w:pPr>
      <w:bookmarkStart w:name="belgija-domneva-brez-izvršbe" w:id="18"/>
      <w:bookmarkEnd w:id="17"/>
      <w:r>
        <w:t xml:space="preserve">Belgia: domniemanie bez egzekucji</w:t>
      </w:r>
    </w:p>
    <w:p w:rsidR="00983F19" w:rsidP="00750824" w:rsidRDefault="00000000" w14:paraId="6D654A34" w14:textId="7244F666">
      <w:pPr>
        <w:jc w:val="both"/>
      </w:pPr>
      <w:r w:rsidR="00792F1C">
        <w:t xml:space="preserve">Doświadczenia belgijskie </w:t>
      </w:r>
      <w:r w:rsidR="000D74B6">
        <w:t xml:space="preserve">wskazują na </w:t>
      </w:r>
      <w:r>
        <w:t xml:space="preserve">niepokojącą tendencję. Belgijskie ustawodawstwo zawiera odmianę prawnego domniemania </w:t>
      </w:r>
      <w:r w:rsidR="00CF3B80">
        <w:t xml:space="preserve">zatrudnienia</w:t>
      </w:r>
      <w:r>
        <w:t xml:space="preserve">, jednak w praktyce nic to nie zmieniło. Podczas konferencji w Lublanie przedstawiciel belgijskiego związku zawodowego stwierdził, że istnienie przepisu prawnego dotyczącego domniemania bez odpowiednich możliwości kontrolnych i sankcji oznacza martwą literę </w:t>
      </w:r>
      <w:r w:rsidR="000D74B6">
        <w:t xml:space="preserve">prawa</w:t>
      </w:r>
      <w:r>
        <w:t xml:space="preserve">: </w:t>
      </w:r>
      <w:r>
        <w:rPr>
          <w:i/>
          <w:iCs/>
        </w:rPr>
        <w:t xml:space="preserve">„Belgia posiada listę kryteriów zatrudnienia, ale </w:t>
      </w:r>
      <w:r w:rsidR="000D74B6">
        <w:rPr>
          <w:i/>
          <w:iCs/>
        </w:rPr>
        <w:t xml:space="preserve">brakuje egzekwowania prawa</w:t>
      </w:r>
      <w:r>
        <w:rPr>
          <w:i/>
          <w:iCs/>
        </w:rPr>
        <w:t xml:space="preserve">”.</w:t>
      </w:r>
      <w:r>
        <w:t xml:space="preserve"> Przypadek </w:t>
      </w:r>
      <w:r>
        <w:t xml:space="preserve">firmy</w:t>
      </w:r>
      <w:r>
        <w:t xml:space="preserve"> Takeaway</w:t>
      </w:r>
      <w:r>
        <w:t xml:space="preserve">, zarejestrowanej jako agencja reklamowa w celu uniknięcia lepiej opłacanych branżowych układów zbiorowych obowiązujących w sektorze transportowym, pokazuje, że platformy wykorzystują każdą lukę prawną </w:t>
      </w:r>
      <w:r w:rsidR="00D7386B">
        <w:t xml:space="preserve">– </w:t>
      </w:r>
      <w:r>
        <w:t xml:space="preserve">od formy umowy po klasyfikację branżową.</w:t>
      </w:r>
    </w:p>
    <w:p w:rsidR="00983F19" w:rsidP="00750824" w:rsidRDefault="00000000" w14:paraId="61DCAE71" w14:textId="77777777">
      <w:pPr>
        <w:pStyle w:val="Naslov3"/>
        <w:jc w:val="both"/>
      </w:pPr>
      <w:bookmarkStart w:name="italija-tretji-status-kot-past" w:id="19"/>
      <w:bookmarkEnd w:id="18"/>
      <w:r>
        <w:t xml:space="preserve">Włochy: trzeci status jako pułapka</w:t>
      </w:r>
    </w:p>
    <w:p w:rsidR="00983F19" w:rsidP="00750824" w:rsidRDefault="00000000" w14:paraId="6A1D0123" w14:textId="1A771B3B">
      <w:pPr>
        <w:jc w:val="both"/>
      </w:pPr>
      <w:r>
        <w:t xml:space="preserve">Włochy stoją przed szczególnym wyzwaniem: oprócz klasycznego rozróżnienia między pracownikiem a osobą samozatrudnioną istnieją dwie kategorie pośrednie. Związki zawodowe </w:t>
      </w:r>
      <w:r w:rsidR="006928D1">
        <w:t xml:space="preserve">ostrzegają</w:t>
      </w:r>
      <w:r>
        <w:t xml:space="preserve">, że dyrektywa, wdrożona bez należytej staranności, </w:t>
      </w:r>
      <w:r w:rsidR="006928D1">
        <w:t xml:space="preserve">zalegalizowałaby </w:t>
      </w:r>
      <w:r>
        <w:t xml:space="preserve">trzeci status (</w:t>
      </w:r>
      <w:r w:rsidR="006928D1">
        <w:t xml:space="preserve">„pracownicy para-podlegli”</w:t>
      </w:r>
      <w:r>
        <w:t xml:space="preserve">), który platformy proponują jako </w:t>
      </w:r>
      <w:r>
        <w:t xml:space="preserve">„rozwiązanie</w:t>
      </w:r>
      <w:r w:rsidR="006928D1">
        <w:t xml:space="preserve">”. </w:t>
      </w:r>
      <w:r>
        <w:t xml:space="preserve">Doświadczenie </w:t>
      </w:r>
      <w:r>
        <w:t xml:space="preserve">JustEat</w:t>
      </w:r>
      <w:r>
        <w:t xml:space="preserve">, który jako jedyna spośród dużych platform zawarł rzeczywiste umowy o pracę, pokazuje, że jest to możliwe </w:t>
      </w:r>
      <w:r w:rsidR="00D7386B">
        <w:t xml:space="preserve">– </w:t>
      </w:r>
      <w:r>
        <w:t xml:space="preserve">jednak kontekst polityczny skrajnie </w:t>
      </w:r>
      <w:r>
        <w:t xml:space="preserve">prawicowego rządu blokuje wdrożenie dyrektywy. Związki zawodowe skupiają się zatem na porozumieniach regionalnych i negocjacjach zbiorowych.</w:t>
      </w:r>
    </w:p>
    <w:p w:rsidR="00983F19" w:rsidP="00750824" w:rsidRDefault="00000000" w14:paraId="75C17E9E" w14:textId="77777777">
      <w:pPr>
        <w:pStyle w:val="Naslov3"/>
        <w:jc w:val="both"/>
      </w:pPr>
      <w:bookmarkStart w:name="slovenija-čakanje-na-ministrstvo" w:id="20"/>
      <w:bookmarkEnd w:id="19"/>
      <w:r>
        <w:t xml:space="preserve">Słowenia: oczekiwanie na decyzję ministerstwa</w:t>
      </w:r>
    </w:p>
    <w:p w:rsidR="00983F19" w:rsidP="00750824" w:rsidRDefault="00000000" w14:paraId="1B236A9D" w14:textId="3D37079A">
      <w:pPr>
        <w:jc w:val="both"/>
      </w:pPr>
      <w:r>
        <w:t xml:space="preserve">W Słowenii </w:t>
      </w:r>
      <w:r>
        <w:t xml:space="preserve">Wolt </w:t>
      </w:r>
      <w:r>
        <w:t xml:space="preserve">dominuje na rynku </w:t>
      </w:r>
      <w:r>
        <w:t xml:space="preserve">dostaw </w:t>
      </w:r>
      <w:r>
        <w:t xml:space="preserve">platformowych</w:t>
      </w:r>
      <w:r>
        <w:t xml:space="preserve">, stosując model samozatrudnienia. Związki zawodowe napotkały ambiwalentne nastawienie samych pracowników: pracownicy dostrzegają swoją zależność od platformy, ale jednocześnie oczekują, że to ministerstwo rozwiąże problem </w:t>
      </w:r>
      <w:r w:rsidR="00D7386B">
        <w:t xml:space="preserve">– </w:t>
      </w:r>
      <w:r>
        <w:t xml:space="preserve">a nie negocjacje zbiorowe. </w:t>
      </w:r>
      <w:r w:rsidR="006928D1">
        <w:t xml:space="preserve">Po wyborach parlamentarnych </w:t>
      </w:r>
      <w:r>
        <w:t xml:space="preserve">w marcu 2026 r. wola polityczna do ambitnego wdrożenia dyrektywy jest niepewna. Słowenia tradycyjnie czeka do ostatniej chwili z transpozycją dyrektyw europejskich. Jednocześnie ZSSS w swoich wytycznych dotyczących wdrożenia z kwietnia 2025 r. proponuje, aby Słowenia wykorzystała dyrektywę do wprowadzenia</w:t>
      </w:r>
      <w:r>
        <w:lastRenderedPageBreak/>
      </w:r>
      <w:r>
        <w:t xml:space="preserve"> zmian systemowych: ustanowienia </w:t>
      </w:r>
      <w:r>
        <w:rPr>
          <w:b/>
          <w:bCs/>
        </w:rPr>
        <w:t xml:space="preserve">ogólnego domniemania </w:t>
      </w:r>
      <w:r w:rsidR="00CF3B80">
        <w:rPr>
          <w:b/>
          <w:bCs/>
        </w:rPr>
        <w:t xml:space="preserve">istnienia stosunku pracy lub zatrudnienia </w:t>
      </w:r>
      <w:r>
        <w:rPr>
          <w:b/>
          <w:bCs/>
        </w:rPr>
        <w:t xml:space="preserve">w odniesieniu do wszystkich rodzajów pracy w </w:t>
      </w:r>
      <w:r w:rsidR="006928D1">
        <w:rPr>
          <w:b/>
          <w:bCs/>
        </w:rPr>
        <w:t xml:space="preserve">Słowenii</w:t>
      </w:r>
      <w:r w:rsidR="006928D1">
        <w:t xml:space="preserve">, </w:t>
      </w:r>
      <w:r>
        <w:t xml:space="preserve">a nie tylko w przypadku </w:t>
      </w:r>
      <w:r>
        <w:t xml:space="preserve">pracy </w:t>
      </w:r>
      <w:r>
        <w:t xml:space="preserve">na platformach</w:t>
      </w:r>
      <w:r>
        <w:t xml:space="preserve">.</w:t>
      </w:r>
    </w:p>
    <w:p w:rsidR="00983F19" w:rsidP="00750824" w:rsidRDefault="00000000" w14:paraId="38BDBC36" w14:textId="77777777">
      <w:pPr>
        <w:pStyle w:val="Naslov3"/>
        <w:jc w:val="both"/>
      </w:pPr>
      <w:bookmarkStart w:name="problem-podizvajalcev" w:id="21"/>
      <w:bookmarkEnd w:id="20"/>
      <w:r>
        <w:t xml:space="preserve">Problem podwykonawców</w:t>
      </w:r>
    </w:p>
    <w:p w:rsidR="00983F19" w:rsidP="00750824" w:rsidRDefault="00000000" w14:paraId="61EA3FC7" w14:textId="60717B63">
      <w:pPr>
        <w:jc w:val="both"/>
      </w:pPr>
      <w:bookmarkStart w:name="X1bf507dade63a3b9248d91b10533f96b3456f6d" w:id="22"/>
      <w:bookmarkEnd w:id="21"/>
      <w:r>
        <w:t xml:space="preserve">Wszystkie kraje partnerskie zgodnie stwierdzają, że </w:t>
      </w:r>
      <w:r>
        <w:t xml:space="preserve">podwykonawstwo </w:t>
      </w:r>
      <w:r>
        <w:t xml:space="preserve">(</w:t>
      </w:r>
      <w:r w:rsidR="006928D1">
        <w:t xml:space="preserve">„subcontracting”</w:t>
      </w:r>
      <w:r>
        <w:t xml:space="preserve">) staje się najczęstszym mechanizmem pozwalającym na obejście prawnego domniemania </w:t>
      </w:r>
      <w:r w:rsidR="00CF3B80">
        <w:t xml:space="preserve">zatrudnienia </w:t>
      </w:r>
      <w:r w:rsidR="006928D1">
        <w:t xml:space="preserve">oraz odpowiedzialności </w:t>
      </w:r>
      <w:r w:rsidR="006928D1">
        <w:t xml:space="preserve">platform </w:t>
      </w:r>
      <w:r w:rsidR="006928D1">
        <w:t xml:space="preserve">w ogóle</w:t>
      </w:r>
      <w:r>
        <w:t xml:space="preserve">. W Niemczech związki zawodowe, opierając się na doświadczeniach związanych z przepisami dotyczącymi sektora pocztowego (ograniczenie</w:t>
      </w:r>
      <w:r>
        <w:t xml:space="preserve"> łańcuchów </w:t>
      </w:r>
      <w:r>
        <w:t xml:space="preserve">podwykonawczych </w:t>
      </w:r>
      <w:r>
        <w:t xml:space="preserve">w dostawach paczek), stwierdzają, że platformy w coraz szybszym tempie przechodzą na modele oparte na łańcuchach podwykonawców, w których pracownicy formalnie nie są zatrudnieni przez platformę. W Hiszpanii platformy takie jak </w:t>
      </w:r>
      <w:r>
        <w:t xml:space="preserve">Glovo</w:t>
      </w:r>
      <w:r>
        <w:t xml:space="preserve">, </w:t>
      </w:r>
      <w:r>
        <w:t xml:space="preserve">Uber </w:t>
      </w:r>
      <w:r>
        <w:t xml:space="preserve">Eats </w:t>
      </w:r>
      <w:r>
        <w:t xml:space="preserve">i Just </w:t>
      </w:r>
      <w:r>
        <w:t xml:space="preserve">Eat </w:t>
      </w:r>
      <w:r>
        <w:t xml:space="preserve">po wejściu w życie ustawy </w:t>
      </w:r>
      <w:r>
        <w:rPr>
          <w:i/>
          <w:iCs/>
        </w:rPr>
        <w:t xml:space="preserve">Ley </w:t>
      </w:r>
      <w:r>
        <w:rPr>
          <w:i/>
          <w:iCs/>
        </w:rPr>
        <w:t xml:space="preserve">Rider </w:t>
      </w:r>
      <w:r>
        <w:t xml:space="preserve">przeszły na </w:t>
      </w:r>
      <w:r>
        <w:t xml:space="preserve">modele </w:t>
      </w:r>
      <w:r>
        <w:t xml:space="preserve">oparte na podwykonawstwie</w:t>
      </w:r>
      <w:r>
        <w:t xml:space="preserve">, przez co związki zawodowe często w ogóle nie wiedzą, kto jest faktycznym pracodawcą danego pracownika.</w:t>
      </w:r>
    </w:p>
    <w:p w:rsidR="00D90A18" w:rsidP="00750824" w:rsidRDefault="00D90A18" w14:paraId="729D9F2A" w14:textId="77777777">
      <w:pPr>
        <w:jc w:val="both"/>
      </w:pPr>
    </w:p>
    <w:p w:rsidR="00983F19" w:rsidP="00750824" w:rsidRDefault="00000000" w14:paraId="23F0015A" w14:textId="77777777">
      <w:pPr>
        <w:jc w:val="both"/>
      </w:pPr>
      <w:bookmarkStart w:name="X464365a3056fb9d1594f024ef98aa7e37f41722" w:id="23"/>
      <w:bookmarkEnd w:id="22"/>
      <w:r>
        <w:t xml:space="preserve">Dyrektywa w </w:t>
      </w:r>
      <w:r>
        <w:t xml:space="preserve">sprawie pracy </w:t>
      </w:r>
      <w:r>
        <w:t xml:space="preserve">na platformach </w:t>
      </w:r>
      <w:r>
        <w:t xml:space="preserve">porusza tę kwestię w art. 3, który wymaga, aby pracownicy zatrudnieni za pośrednictwem podmiotów pośredniczących korzystali z takiego samego poziomu ochrony jak ci pozostający w bezpośrednim stosunku z platformą, w tym z mechanizmów odpowiedzialności solidarnej. Jednak faktyczne wdrożenie tego przepisu będzie kluczowym sprawdzianem.</w:t>
      </w:r>
    </w:p>
    <w:p w:rsidR="00983F19" w:rsidP="00750824" w:rsidRDefault="00000000" w14:paraId="49708D2C" w14:textId="77777777">
      <w:pPr>
        <w:pStyle w:val="Naslov3"/>
        <w:jc w:val="both"/>
      </w:pPr>
      <w:bookmarkStart w:name="Xb9c5b4a731a8b417512c018455fc5f559bc3d6e" w:id="24"/>
      <w:bookmarkEnd w:id="23"/>
      <w:r>
        <w:t xml:space="preserve">Wspólna konkluzja strukturalna: kto wszczął postępowanie?</w:t>
      </w:r>
    </w:p>
    <w:p w:rsidR="00983F19" w:rsidP="00750824" w:rsidRDefault="00000000" w14:paraId="7DE4A2A7" w14:textId="5D09F7E6">
      <w:pPr>
        <w:jc w:val="both"/>
      </w:pPr>
      <w:r>
        <w:t xml:space="preserve">Podczas konferencji Tea Jarc (ETUC) podkreśliła kluczowe wyzwanie praktyczne: aby domniemanie prawne mogło zostać uznane, ktoś musi wszcząć postępowanie. Pracownicy często tego nie robią, obawiając się utraty zarobków. Sądy działają powoli i są kosztowne. Dlatego ETUC kładzie główny nacisk na </w:t>
      </w:r>
      <w:r>
        <w:rPr>
          <w:b/>
          <w:bCs/>
        </w:rPr>
        <w:t xml:space="preserve">postępowania administracyjne </w:t>
      </w:r>
      <w:r w:rsidR="006928D1">
        <w:t xml:space="preserve">oraz </w:t>
      </w:r>
      <w:r>
        <w:t xml:space="preserve">inspektoraty pracy, które mają </w:t>
      </w:r>
      <w:r>
        <w:rPr>
          <w:b/>
          <w:bCs/>
        </w:rPr>
        <w:t xml:space="preserve">obowiązek </w:t>
      </w:r>
      <w:r>
        <w:t xml:space="preserve">wszcząć postępowanie, gdy zauważą oznaki błędnej klasyfikacji </w:t>
      </w:r>
      <w:r>
        <w:rPr>
          <w:b/>
          <w:bCs/>
        </w:rPr>
        <w:t xml:space="preserve">bez zgody pracownika</w:t>
      </w:r>
      <w:r>
        <w:t xml:space="preserve">. Dyrektywa zawiera ten obowiązek w art. 5 ust. 5, jednak jej skuteczne wdrożenie wymaga, aby inspektoraty dysponowały odpowiednią kadrą i zapleczem merytorycznym.</w:t>
      </w:r>
    </w:p>
    <w:p w:rsidR="00983F19" w:rsidP="00750824" w:rsidRDefault="00000000" w14:paraId="4740E06C" w14:textId="77777777">
      <w:pPr>
        <w:pStyle w:val="Naslov2"/>
        <w:jc w:val="both"/>
      </w:pPr>
      <w:bookmarkStart w:name="_Toc233699487" w:id="25"/>
      <w:bookmarkStart w:name="priporočila" w:id="26"/>
      <w:bookmarkEnd w:id="15"/>
      <w:bookmarkEnd w:id="24"/>
      <w:r>
        <w:t xml:space="preserve">3.3 Zalecenia</w:t>
      </w:r>
      <w:bookmarkEnd w:id="25"/>
    </w:p>
    <w:p w:rsidR="00983F19" w:rsidP="00750824" w:rsidRDefault="00000000" w14:paraId="1EEE5D89" w14:textId="77777777">
      <w:pPr>
        <w:jc w:val="both"/>
      </w:pPr>
      <w:r>
        <w:t xml:space="preserve">Na podstawie analizy wymogów dyrektywy, doświadczeń praktycznych oraz dyskusji grupy ekspertów Komisji Europejskiej formułujemy następujące zalecenia dla państw członkowskich dotyczące transpozycji rozdziału II dyrektywy.</w:t>
      </w:r>
    </w:p>
    <w:p w:rsidR="00D90A18" w:rsidP="00750824" w:rsidRDefault="00D90A18" w14:paraId="3987237E" w14:textId="77777777">
      <w:pPr>
        <w:jc w:val="both"/>
      </w:pPr>
    </w:p>
    <w:p w:rsidR="00D90A18" w:rsidP="00750824" w:rsidRDefault="00000000" w14:paraId="106960A2" w14:textId="63A00551">
      <w:pPr>
        <w:pStyle w:val="Naslov3"/>
        <w:jc w:val="both"/>
      </w:pPr>
      <w:r>
        <w:t xml:space="preserve">Zalecenie 3.1 [DYREKTYWA]: Domniemanie prawne </w:t>
      </w:r>
      <w:r w:rsidR="00CF3B80">
        <w:t xml:space="preserve">zatrudnienia </w:t>
      </w:r>
      <w:r>
        <w:t xml:space="preserve">bez dodatkowych kryteriów</w:t>
      </w:r>
    </w:p>
    <w:p w:rsidR="00D90A18" w:rsidP="00750824" w:rsidRDefault="00000000" w14:paraId="35ACE1BF" w14:textId="64747BBE">
      <w:pPr>
        <w:jc w:val="both"/>
      </w:pPr>
      <w:r>
        <w:t xml:space="preserve">Państwa członkowskie nie powinny, przy transpozycji art. 5, wprowadzać dodatkowych kryteriów ani wykazów wskaźników, które musiałyby zostać spełnione, zanim zostanie </w:t>
      </w:r>
      <w:r>
        <w:t xml:space="preserve">uruchomione </w:t>
      </w:r>
      <w:r>
        <w:t xml:space="preserve">domniemanie prawne </w:t>
      </w:r>
      <w:r w:rsidR="00CF3B80">
        <w:t xml:space="preserve">zatrudnienia</w:t>
      </w:r>
      <w:r>
        <w:t xml:space="preserve">. Grupa ekspertów KE wyjaśniła to jednoznacznie: dyrektywa nie wymaga kryteriów, a jedynie ustalenia faktów wskazujących na wydawanie poleceń i sprawowanie nadzoru, przy standardzie porównywalnym z zasadą </w:t>
      </w:r>
      <w:r>
        <w:rPr>
          <w:i/>
          <w:iCs/>
        </w:rPr>
        <w:t xml:space="preserve">prima </w:t>
      </w:r>
      <w:r>
        <w:rPr>
          <w:i/>
          <w:iCs/>
        </w:rPr>
        <w:t xml:space="preserve">facie </w:t>
      </w:r>
      <w:r>
        <w:t xml:space="preserve">w </w:t>
      </w:r>
      <w:r>
        <w:t xml:space="preserve">unijnym prawodawstwie </w:t>
      </w:r>
      <w:r>
        <w:t xml:space="preserve">antydyskryminacyjnym</w:t>
      </w:r>
      <w:r>
        <w:t xml:space="preserve">. Wystarczy, że fakty </w:t>
      </w:r>
      <w:r w:rsidR="006B029C">
        <w:t xml:space="preserve">wskazują na możliwość istnienia podległości; </w:t>
      </w:r>
      <w:r>
        <w:t xml:space="preserve">nie </w:t>
      </w:r>
      <w:r w:rsidR="006B029C">
        <w:t xml:space="preserve">są </w:t>
      </w:r>
      <w:r>
        <w:t xml:space="preserve">wymagane </w:t>
      </w:r>
      <w:r w:rsidR="006B029C">
        <w:t xml:space="preserve">niezbite </w:t>
      </w:r>
      <w:r w:rsidR="006B029C">
        <w:t xml:space="preserve">dowody</w:t>
      </w:r>
      <w:r>
        <w:t xml:space="preserve">. Doświadczenia belgijskie </w:t>
      </w:r>
      <w:r w:rsidR="006B029C">
        <w:t xml:space="preserve">pokazują</w:t>
      </w:r>
      <w:r>
        <w:t xml:space="preserve">, że długie listy kryteriów przynoszą korzyści platformom, a nie pracownikom: platformy po prostu dostosowują umowy i organizację pracy w taki sposób, aby formalnie żadne z kryteriów nie było spełnione </w:t>
      </w:r>
      <w:r w:rsidR="006B029C">
        <w:t xml:space="preserve">lub aby spełnionych było zbyt mało</w:t>
      </w:r>
      <w:r>
        <w:t xml:space="preserve">.</w:t>
      </w:r>
    </w:p>
    <w:p w:rsidR="005418CA" w:rsidP="00750824" w:rsidRDefault="005418CA" w14:paraId="528984B3" w14:textId="77777777">
      <w:pPr>
        <w:jc w:val="both"/>
      </w:pPr>
    </w:p>
    <w:p w:rsidR="00D90A18" w:rsidP="00750824" w:rsidRDefault="00000000" w14:paraId="445D2D62" w14:textId="2A3B60B3">
      <w:pPr>
        <w:pStyle w:val="Naslov3"/>
        <w:jc w:val="both"/>
      </w:pPr>
      <w:r>
        <w:t xml:space="preserve">Zalecenie 3.2 [DYREKTYWA]: Postępowania administracyjne jako podstawowa droga do ustalenia statusu</w:t>
      </w:r>
    </w:p>
    <w:p w:rsidR="00983F19" w:rsidP="00750824" w:rsidRDefault="00000000" w14:paraId="45A2F001" w14:textId="3908CFB5">
      <w:pPr>
        <w:jc w:val="both"/>
      </w:pPr>
      <w:r>
        <w:lastRenderedPageBreak/>
      </w:r>
      <w:r>
        <w:t xml:space="preserve">Państwa członkowskie powinny, w ramach wdrażania art. 5, ustanowić lub wzmocnić </w:t>
      </w:r>
      <w:r>
        <w:rPr>
          <w:b/>
          <w:bCs/>
        </w:rPr>
        <w:t xml:space="preserve">procedury administracyjne prowadzone przez inspektoraty pracy </w:t>
      </w:r>
      <w:r>
        <w:t xml:space="preserve">jako podstawową drogę do ustalenia statusu prawnego </w:t>
      </w:r>
      <w:r>
        <w:t xml:space="preserve">pracowników </w:t>
      </w:r>
      <w:r>
        <w:t xml:space="preserve">platformowych</w:t>
      </w:r>
      <w:r>
        <w:t xml:space="preserve">, równolegle z postępowaniami sądowymi. Postępowania administracyjne są szybsze, tańsze i bardziej dostępne dla pracowników znajdujących się w </w:t>
      </w:r>
      <w:r>
        <w:t xml:space="preserve">niepewnej </w:t>
      </w:r>
      <w:r>
        <w:t xml:space="preserve">sytuacji. Doświadczenia praktyczne pokazują, że często </w:t>
      </w:r>
      <w:r w:rsidR="006B029C">
        <w:t xml:space="preserve">nie można </w:t>
      </w:r>
      <w:r>
        <w:t xml:space="preserve">oczekiwać </w:t>
      </w:r>
      <w:r>
        <w:t xml:space="preserve">zgody pracownika na postępowanie sądowe </w:t>
      </w:r>
      <w:r w:rsidR="00D7386B">
        <w:t xml:space="preserve">– </w:t>
      </w:r>
      <w:r>
        <w:t xml:space="preserve">pracownicy obawiają się utraty dostępu do platformy </w:t>
      </w:r>
      <w:r w:rsidR="006B029C">
        <w:t xml:space="preserve">lub utraty zarobków, dlatego kluczowe znaczenie ma możliwość wszczęcia postępowania bez ich udziału</w:t>
      </w:r>
      <w:r>
        <w:t xml:space="preserve">. Zgodnie z art. 5 ust. 5 dyrektywy inspektorat ma obowiązek wszcząć postępowanie bez zgody pracownika, gdy wykryje oznaki </w:t>
      </w:r>
      <w:r w:rsidR="006B029C">
        <w:t xml:space="preserve">nieprawidłowego statusu prawnego pracowników</w:t>
      </w:r>
      <w:r>
        <w:t xml:space="preserve">. Obowiązek ten należy wyraźnie uwzględnić w krajowych </w:t>
      </w:r>
      <w:r w:rsidR="006B029C">
        <w:t xml:space="preserve">przepisach</w:t>
      </w:r>
      <w:r>
        <w:t xml:space="preserve"> transponujących </w:t>
      </w:r>
      <w:r>
        <w:t xml:space="preserve">dyrektywę.</w:t>
      </w:r>
    </w:p>
    <w:p w:rsidR="00D90A18" w:rsidP="00750824" w:rsidRDefault="00D90A18" w14:paraId="16DE2351" w14:textId="77777777">
      <w:pPr>
        <w:jc w:val="both"/>
      </w:pPr>
    </w:p>
    <w:p w:rsidR="00D90A18" w:rsidP="00750824" w:rsidRDefault="00000000" w14:paraId="62FDA2CE" w14:textId="2022511F">
      <w:pPr>
        <w:pStyle w:val="Naslov3"/>
        <w:jc w:val="both"/>
      </w:pPr>
      <w:r>
        <w:t xml:space="preserve">Zalecenie 3.3 [WYKRACZA POZA MINIMUM]: Wzmocnienie inspektoratów pracy poprzez zatrudnienie specjalistów ds. kadr i ekspertów w dziedzinie algorytmów</w:t>
      </w:r>
    </w:p>
    <w:p w:rsidR="00D90A18" w:rsidP="00750824" w:rsidRDefault="00000000" w14:paraId="375BA482" w14:textId="09351655">
      <w:pPr>
        <w:jc w:val="both"/>
      </w:pPr>
      <w:r>
        <w:t xml:space="preserve">Artykuł 6 dyrektywy wymaga skutecznych </w:t>
      </w:r>
      <w:r>
        <w:t xml:space="preserve">kontroli</w:t>
      </w:r>
      <w:r w:rsidR="00352350">
        <w:t xml:space="preserve"> inspekcyjnych </w:t>
      </w:r>
      <w:r>
        <w:t xml:space="preserve">oraz odpowiedniego przygotowania organów właściwych w zakresie zarządzania algorytmicznego. Wszystkie kraje partnerskie zgłaszają, że inspektoraty nie dysponują ani wystarczającą kadrą, ani wiedzą techniczną niezbędną do </w:t>
      </w:r>
      <w:r w:rsidR="00352350">
        <w:t xml:space="preserve">zrozumienia i </w:t>
      </w:r>
      <w:r>
        <w:t xml:space="preserve">oceny nadzoru opartego na algorytmach. Zalecamy, aby rządy przy transpozycji dyrektywy przeznaczyły konkretne środki budżetowe na: zatrudnienie nowych inspektorów specjalizujących się w cyfrowych modelach biznesowych, utworzenie lub rozbudowę tzw. </w:t>
      </w:r>
      <w:r w:rsidR="00352350">
        <w:t xml:space="preserve">jednostek ds. </w:t>
      </w:r>
      <w:r w:rsidR="00352350">
        <w:t xml:space="preserve">gospodarki </w:t>
      </w:r>
      <w:r w:rsidR="00352350">
        <w:t xml:space="preserve">platformowej </w:t>
      </w:r>
      <w:r>
        <w:t xml:space="preserve">w ramach istniejących inspektoratów oraz zapewnienie dostępu do ekspertów technicznych w zakresie zarządzania algorytmicznego na potrzeby poszczególnych spraw. Przykład hiszpański pokazuje, że intensywna działalność inspekcyjna w połączeniu z groźbą odpowiedzialności karnej </w:t>
      </w:r>
      <w:r w:rsidR="00D7386B">
        <w:t xml:space="preserve">– </w:t>
      </w:r>
      <w:r>
        <w:t xml:space="preserve">a nie tylko sankcji finansowych </w:t>
      </w:r>
      <w:r w:rsidR="00D7386B">
        <w:t xml:space="preserve">– </w:t>
      </w:r>
      <w:r>
        <w:t xml:space="preserve">przynosi decydujący zwrot w postępowaniu platform.</w:t>
      </w:r>
    </w:p>
    <w:p w:rsidR="006B029C" w:rsidP="00750824" w:rsidRDefault="006B029C" w14:paraId="0AEE926B" w14:textId="77777777">
      <w:pPr>
        <w:jc w:val="both"/>
      </w:pPr>
    </w:p>
    <w:p w:rsidR="00D90A18" w:rsidP="00750824" w:rsidRDefault="00000000" w14:paraId="51C2E9BD" w14:textId="06788943">
      <w:pPr>
        <w:pStyle w:val="Naslov3"/>
        <w:jc w:val="both"/>
      </w:pPr>
      <w:r>
        <w:t xml:space="preserve">Zalecenie 3.4 [WYKRACZA POZA MINIMUM]: </w:t>
      </w:r>
      <w:r w:rsidR="00A25A76">
        <w:t xml:space="preserve">Solidarna </w:t>
      </w:r>
      <w:r>
        <w:t xml:space="preserve">odpowiedzialność całego łańcucha pośredników</w:t>
      </w:r>
    </w:p>
    <w:p w:rsidR="00D90A18" w:rsidP="00750824" w:rsidRDefault="00000000" w14:paraId="3D8DE1AF" w14:textId="6F0F5E56">
      <w:pPr>
        <w:jc w:val="both"/>
      </w:pPr>
      <w:r>
        <w:t xml:space="preserve">W całości patrz zalecenie 2.3. W kontekście domniemania prawnego </w:t>
      </w:r>
      <w:r w:rsidR="00CF3B80">
        <w:t xml:space="preserve">zatrudnienia </w:t>
      </w:r>
      <w:r>
        <w:t xml:space="preserve">podkreślamy: </w:t>
      </w:r>
      <w:r>
        <w:t xml:space="preserve">podwykonawstwo </w:t>
      </w:r>
      <w:r>
        <w:t xml:space="preserve">stało się najczęstszym mechanizmem pozwalającym na obejście tego domniemania. Bez obowiązkowej </w:t>
      </w:r>
      <w:r>
        <w:t xml:space="preserve">odpowiedzialności </w:t>
      </w:r>
      <w:r w:rsidR="00A25A76">
        <w:t xml:space="preserve">solidarnej </w:t>
      </w:r>
      <w:r>
        <w:t xml:space="preserve">każda domniemana relacja </w:t>
      </w:r>
      <w:r w:rsidR="00CF3B80">
        <w:t xml:space="preserve">zatrudnienia</w:t>
      </w:r>
      <w:r>
        <w:t xml:space="preserve"> zostanie </w:t>
      </w:r>
      <w:r>
        <w:t xml:space="preserve">obejście poprzez proste </w:t>
      </w:r>
      <w:r w:rsidR="00352350">
        <w:t xml:space="preserve">umieszczenie </w:t>
      </w:r>
      <w:r>
        <w:t xml:space="preserve">podwykonawcy pomiędzy platformą a pracownikiem.</w:t>
      </w:r>
    </w:p>
    <w:p w:rsidR="005418CA" w:rsidP="00750824" w:rsidRDefault="005418CA" w14:paraId="69123DCA" w14:textId="77777777">
      <w:pPr>
        <w:jc w:val="both"/>
      </w:pPr>
    </w:p>
    <w:p w:rsidR="00D90A18" w:rsidP="00750824" w:rsidRDefault="00000000" w14:paraId="0717D13E" w14:textId="65383591">
      <w:pPr>
        <w:pStyle w:val="Naslov3"/>
        <w:jc w:val="both"/>
      </w:pPr>
      <w:r>
        <w:t xml:space="preserve">Zalecenie 3.5 [DYREKTYWA]: Zbiorowe dochodzenie domniemania zatrudnienia przez związki zawodowe</w:t>
      </w:r>
    </w:p>
    <w:p w:rsidR="00983F19" w:rsidP="00750824" w:rsidRDefault="00000000" w14:paraId="37C2E2C2" w14:textId="18A8E766">
      <w:pPr>
        <w:jc w:val="both"/>
      </w:pPr>
      <w:r>
        <w:t xml:space="preserve">Artykuł 19 dyrektywy gwarantuje przedstawicielom pracowników prawo do występowania w postępowaniach w imieniu jednego lub większej liczby pracowników. Państwa członkowskie powinny wzmocnić ten mechanizm poprzez ustanowienie jasnych zasad proceduralnych, które umożliwią związkom zawodowym wszczynanie postępowań zbiorowych lub grupowych w celu ustalenia </w:t>
      </w:r>
      <w:r>
        <w:t xml:space="preserve">statusu</w:t>
      </w:r>
      <w:r w:rsidR="00352350">
        <w:t xml:space="preserve"> prawnego w zakresie prawa pracy </w:t>
      </w:r>
      <w:r>
        <w:t xml:space="preserve">bez konieczności uzyskania </w:t>
      </w:r>
      <w:r w:rsidR="00352350">
        <w:t xml:space="preserve">indywidualnej zgody </w:t>
      </w:r>
      <w:r>
        <w:t xml:space="preserve">każdego pracownika z osobna. Podczas konferencji w Lublanie </w:t>
      </w:r>
      <w:r w:rsidR="00352350">
        <w:t xml:space="preserve">w ramach projektu SDDP </w:t>
      </w:r>
      <w:r>
        <w:t xml:space="preserve">było to wspólne żądanie wszystkich partnerskich organizacji związkowych, </w:t>
      </w:r>
      <w:r w:rsidR="00352350">
        <w:t xml:space="preserve">popierane również </w:t>
      </w:r>
      <w:r>
        <w:t xml:space="preserve">przez </w:t>
      </w:r>
      <w:r>
        <w:t xml:space="preserve">ETUC. W krajach, w których pozwy zbiorowe nie są możliwe (np. w Niemczech, Słowenii), ustanowienie tej możliwości na drodze ustawowej jest warunkiem wstępnym skutecznego wdrożenia dyrektywy.</w:t>
      </w:r>
    </w:p>
    <w:p w:rsidR="00D90A18" w:rsidP="00750824" w:rsidRDefault="00D90A18" w14:paraId="4A81FEE6" w14:textId="77777777">
      <w:pPr>
        <w:jc w:val="both"/>
      </w:pPr>
    </w:p>
    <w:p w:rsidR="00D90A18" w:rsidP="00750824" w:rsidRDefault="00000000" w14:paraId="781C8FE6" w14:textId="47EC77EB">
      <w:pPr>
        <w:pStyle w:val="Naslov3"/>
        <w:jc w:val="both"/>
      </w:pPr>
      <w:r>
        <w:lastRenderedPageBreak/>
      </w:r>
      <w:r>
        <w:t xml:space="preserve">Zalecenie 3.6 [WYKRACZA POZA MINIMUM]: Dialog społeczny jako ścieżka równoległa </w:t>
      </w:r>
      <w:r w:rsidR="00D7386B">
        <w:t xml:space="preserve">– </w:t>
      </w:r>
      <w:r>
        <w:t xml:space="preserve">ustalanie statusu bez oczekiwania na orzeczenia sądowe</w:t>
      </w:r>
    </w:p>
    <w:p w:rsidR="00983F19" w:rsidP="00750824" w:rsidRDefault="00000000" w14:paraId="7AC95C4B" w14:textId="2E3E2CBC">
      <w:pPr>
        <w:jc w:val="both"/>
      </w:pPr>
      <w:r>
        <w:t xml:space="preserve">Dyrektywa w art. 29 ust. 3–4 umożliwia partnerom społecznym wdrażanie przepisów dyrektywy w drodze układów zbiorowych, przy czym muszą być zapewnione ogólne cele dyrektywy. Stwarza to możliwość </w:t>
      </w:r>
      <w:r>
        <w:t xml:space="preserve">rozszerzenia istniejących układów zbiorowych w pokrewnych sektorach (np. sektor pocztowy, sektor transportowy) na pracowników platform wykonujących porównywalną pracę. Taki model </w:t>
      </w:r>
      <w:r w:rsidR="001B1A93">
        <w:t xml:space="preserve">„</w:t>
      </w:r>
      <w:r>
        <w:t xml:space="preserve">umów zbiorowych jako </w:t>
      </w:r>
      <w:r w:rsidR="001B1A93">
        <w:t xml:space="preserve">pomostu” </w:t>
      </w:r>
      <w:r>
        <w:t xml:space="preserve">stanowi podstawowy element niniejszego dokumentu: dialog społeczny nie czeka na </w:t>
      </w:r>
      <w:r w:rsidR="00827187">
        <w:t xml:space="preserve">potencjalnie </w:t>
      </w:r>
      <w:r>
        <w:t xml:space="preserve">długotrwałe orzeczenie sądowe, które prawnie określi status, lecz zapewnia pracownikom konkretne prawa od razu. Rząd powinien aktywnie wspierać tego rodzaju porozumienia poprzez mechanizmy mediacji oraz zachęty finansowe dla platform, które dobrowolnie przystąpią do negocjacji zbiorowych.</w:t>
      </w:r>
    </w:p>
    <w:p w:rsidR="00D90A18" w:rsidP="00750824" w:rsidRDefault="00D90A18" w14:paraId="19E69F43" w14:textId="77777777">
      <w:pPr>
        <w:jc w:val="both"/>
      </w:pPr>
    </w:p>
    <w:p w:rsidR="00D90A18" w:rsidP="00750824" w:rsidRDefault="00000000" w14:paraId="3F78841D" w14:textId="2BFBC407">
      <w:pPr>
        <w:pStyle w:val="Naslov3"/>
        <w:jc w:val="both"/>
      </w:pPr>
      <w:r>
        <w:t xml:space="preserve">Zalecenie 3.7 [AMBICJONALNE]: Ogólne domniemanie </w:t>
      </w:r>
      <w:r w:rsidR="00CF3B80">
        <w:t xml:space="preserve">zatrudnienia </w:t>
      </w:r>
      <w:r>
        <w:t xml:space="preserve">dla wszystkich rodzajów pracy</w:t>
      </w:r>
    </w:p>
    <w:p w:rsidR="00983F19" w:rsidP="00750824" w:rsidRDefault="00000000" w14:paraId="0D711DE9" w14:textId="13F86F4A">
      <w:pPr>
        <w:jc w:val="both"/>
      </w:pPr>
      <w:r w:rsidR="00615F18">
        <w:t xml:space="preserve">Pa</w:t>
      </w:r>
      <w:r>
        <w:t xml:space="preserve">ństwa członkowskie powinny </w:t>
      </w:r>
      <w:r w:rsidR="00F2754C">
        <w:t xml:space="preserve">wykorzystać dyrektywę jako okazję </w:t>
      </w:r>
      <w:r>
        <w:t xml:space="preserve">do systemowej zmiany </w:t>
      </w:r>
      <w:r w:rsidR="00F2754C">
        <w:t xml:space="preserve">mającej na celu ograniczenie rozprzestrzeniania się </w:t>
      </w:r>
      <w:r w:rsidR="00F2754C">
        <w:t xml:space="preserve">niepewności </w:t>
      </w:r>
      <w:r w:rsidR="00F2754C">
        <w:t xml:space="preserve">na rynku pracy</w:t>
      </w:r>
      <w:r>
        <w:t xml:space="preserve">: wprowadzenie ogólnego domniemania prawnego, że każda praca jest wykonywana na podstawie </w:t>
      </w:r>
      <w:r w:rsidR="00CF3B80">
        <w:t xml:space="preserve">stosunku pracy</w:t>
      </w:r>
      <w:r>
        <w:t xml:space="preserve">, chyba że pracodawca </w:t>
      </w:r>
      <w:r w:rsidRPr="005418CA">
        <w:rPr>
          <w:b/>
          <w:bCs/>
        </w:rPr>
        <w:t xml:space="preserve">z góry </w:t>
      </w:r>
      <w:r>
        <w:t xml:space="preserve">wykaże, że w danym przypadku nie występują elementy stosunku pracy</w:t>
      </w:r>
      <w:r>
        <w:t xml:space="preserve">. ZSSS w swoich wytycznych dotyczących wdrożenia dyrektywy (kwiecień 2025 r.) proponuje to podejście dla Słowenii</w:t>
      </w:r>
      <w:r w:rsidR="00F2754C">
        <w:t xml:space="preserve">; </w:t>
      </w:r>
      <w:r>
        <w:t xml:space="preserve">jako przykład dobrej praktyki zalecamy je również innym państwom członkowskim UE, ponieważ przewiduje ono odwrócenie ciężaru dowodu w odniesieniu do wszystkich nietypowych form pracy, a nie tylko </w:t>
      </w:r>
      <w:r>
        <w:t xml:space="preserve">pracy </w:t>
      </w:r>
      <w:r>
        <w:t xml:space="preserve">platformowej</w:t>
      </w:r>
      <w:r>
        <w:t xml:space="preserve">.</w:t>
      </w:r>
    </w:p>
    <w:p w:rsidR="005418CA" w:rsidP="00750824" w:rsidRDefault="005418CA" w14:paraId="577A9F2D" w14:textId="77777777">
      <w:pPr>
        <w:jc w:val="both"/>
      </w:pPr>
    </w:p>
    <w:p w:rsidR="00983F19" w:rsidP="00750824" w:rsidRDefault="00000000" w14:paraId="47953129" w14:textId="5AEB9B22">
      <w:pPr>
        <w:jc w:val="both"/>
      </w:pPr>
      <w:r>
        <w:t xml:space="preserve">Równolegle </w:t>
      </w:r>
      <w:r w:rsidR="00F2754C">
        <w:t xml:space="preserve">należy </w:t>
      </w:r>
      <w:r>
        <w:t xml:space="preserve">utworzyć rejestr nietypowych form pracy z wpisanymi powodami</w:t>
      </w:r>
      <w:r w:rsidR="00F2754C">
        <w:t xml:space="preserve">, które wykluczają elementy </w:t>
      </w:r>
      <w:r>
        <w:t xml:space="preserve">stosunku pracy </w:t>
      </w:r>
      <w:r w:rsidR="00615F18">
        <w:t xml:space="preserve">lub zatrudnienia</w:t>
      </w:r>
      <w:r>
        <w:t xml:space="preserve">, co umożliwiłoby organom nadzorczym systematyczny nadzór oraz uzyskanie uprawnień do stwierdzania istnienia stosunku pracy w drodze decyzji, która stanowiłaby bezpośrednią podstawę do zapisania do ubezpieczenia społecznego </w:t>
      </w:r>
      <w:r w:rsidR="00F2754C">
        <w:t xml:space="preserve">lub zawarcia stosunku pracy</w:t>
      </w:r>
      <w:r>
        <w:t xml:space="preserve">. Takie podejście wyeliminowałoby podstawową wadę obecnego systemu </w:t>
      </w:r>
      <w:r w:rsidR="00D7386B">
        <w:t xml:space="preserve">– </w:t>
      </w:r>
      <w:r>
        <w:t xml:space="preserve">obecnie pracownik ponosi cały ciężar dowodowy i ryzykuje długotrwałe postępowanie sądowe, </w:t>
      </w:r>
      <w:r>
        <w:rPr>
          <w:b/>
          <w:bCs/>
        </w:rPr>
        <w:t xml:space="preserve">podczas gdy pracodawca, który stworzył taki stosunek, spokojnie czeka</w:t>
      </w:r>
      <w:r>
        <w:t xml:space="preserve">. Dyrektywa nie tylko dopuszcza takie bardziej ambitne podejście, ale wręcz wyraźnie je promuje w duchu art. 26 i art. 6 (ramy środków wspierających).</w:t>
      </w:r>
    </w:p>
    <w:p w:rsidR="00D90A18" w:rsidP="00750824" w:rsidRDefault="00D90A18" w14:paraId="418BD09B" w14:textId="77777777">
      <w:pPr>
        <w:jc w:val="both"/>
      </w:pPr>
    </w:p>
    <w:p w:rsidR="00983F19" w:rsidP="00750824" w:rsidRDefault="00000000" w14:paraId="2BCE9490" w14:textId="77777777">
      <w:pPr>
        <w:jc w:val="both"/>
      </w:pPr>
      <w:r>
        <w:rPr>
          <w:i/>
          <w:iCs/>
        </w:rPr>
        <w:t xml:space="preserve">Źródła: Raport grupy ekspertów ds. transpozycji dyrektywy (UE) 2024/2831 (styczeń 2026 r.); Notatki z konferencji pośredniej SDDP, Lublana, maj 2025 r.; Wytyczne ZSSS dotyczące wdrożenia dyrektywy UE 2024/2831 (kwiecień 2025 r., przyjęte na 13. posiedzeniu Prezydium ZSSS).</w:t>
      </w:r>
    </w:p>
    <w:p w:rsidR="00750824" w:rsidRDefault="00750824" w14:paraId="756DEE11" w14:textId="77777777">
      <w:pPr>
        <w:rPr>
          <w:b/>
          <w:bCs/>
          <w:color w:val="1F3864"/>
          <w:sz w:val="36"/>
          <w:szCs w:val="36"/>
        </w:rPr>
      </w:pPr>
      <w:bookmarkStart w:name="X8e939e3967694a792ac80ce4c2e3272ea45726e" w:id="27"/>
      <w:bookmarkEnd w:id="10"/>
      <w:bookmarkEnd w:id="26"/>
      <w:r>
        <w:br w:type="page"/>
      </w:r>
    </w:p>
    <w:p w:rsidR="00983F19" w:rsidP="00750824" w:rsidRDefault="00000000" w14:paraId="2F263261" w14:textId="42F96A40">
      <w:pPr>
        <w:pStyle w:val="Naslov1"/>
        <w:jc w:val="both"/>
      </w:pPr>
      <w:bookmarkStart w:name="_Toc233699488" w:id="28"/>
      <w:r>
        <w:lastRenderedPageBreak/>
      </w:r>
      <w:r>
        <w:t xml:space="preserve">Rozdział 4: Zarządzanie algorytmiczne i nadzór ludzki</w:t>
      </w:r>
      <w:bookmarkEnd w:id="28"/>
    </w:p>
    <w:p w:rsidR="00983F19" w:rsidP="00750824" w:rsidRDefault="00000000" w14:paraId="67677373" w14:textId="77777777">
      <w:pPr>
        <w:pStyle w:val="Naslov2"/>
        <w:jc w:val="both"/>
      </w:pPr>
      <w:bookmarkStart w:name="_Toc233699489" w:id="29"/>
      <w:bookmarkStart w:name="zahteve-direktive-1" w:id="30"/>
      <w:r>
        <w:t xml:space="preserve">4.1 Wymogi dyrektywy</w:t>
      </w:r>
      <w:bookmarkEnd w:id="29"/>
    </w:p>
    <w:p w:rsidR="00983F19" w:rsidP="00750824" w:rsidRDefault="00000000" w14:paraId="06C4F62C" w14:textId="3B67F9E5">
      <w:pPr>
        <w:jc w:val="both"/>
      </w:pPr>
      <w:r>
        <w:t xml:space="preserve">Dyrektywa </w:t>
      </w:r>
      <w:r>
        <w:t xml:space="preserve">poświęca</w:t>
      </w:r>
      <w:r w:rsidR="00557445">
        <w:t xml:space="preserve"> zarządzaniu algorytmicznemu </w:t>
      </w:r>
      <w:r>
        <w:t xml:space="preserve">cały rozdział III (art. 7–15), co odzwierciedla </w:t>
      </w:r>
      <w:r w:rsidR="0069475D">
        <w:t xml:space="preserve">przekonanie</w:t>
      </w:r>
      <w:r>
        <w:t xml:space="preserve">, że zautomatyzowane kierowanie pracownikami jest kluczową cechą </w:t>
      </w:r>
      <w:r>
        <w:t xml:space="preserve">pracy </w:t>
      </w:r>
      <w:r>
        <w:t xml:space="preserve">na platformach</w:t>
      </w:r>
      <w:r>
        <w:t xml:space="preserve">, a jednocześnie jednym z jej największych wyzwań. Dyrektywa ustanawia trzy filary regulacji zarządzania algorytmicznego: ograniczenia przetwarzania danych osobowych, wymogi dotyczące przejrzystości oraz prawa do nadzoru ludzkiego i weryfikacji decyzji.</w:t>
      </w:r>
    </w:p>
    <w:p w:rsidR="00D90A18" w:rsidP="00750824" w:rsidRDefault="00D90A18" w14:paraId="4D249EF8" w14:textId="77777777">
      <w:pPr>
        <w:jc w:val="both"/>
      </w:pPr>
    </w:p>
    <w:p w:rsidR="00983F19" w:rsidP="00750824" w:rsidRDefault="00000000" w14:paraId="10F377A6" w14:textId="77777777">
      <w:pPr>
        <w:jc w:val="both"/>
      </w:pPr>
      <w:r>
        <w:rPr>
          <w:b/>
          <w:bCs/>
        </w:rPr>
        <w:t xml:space="preserve">Ograniczenia przetwarzania danych (art. 7) </w:t>
      </w:r>
      <w:r>
        <w:t xml:space="preserve">stanowią bezwzględne zakazy, których platformy nie mogą naruszać w żadnym wypadku. Platformom wyraźnie zabrania się:</w:t>
      </w:r>
    </w:p>
    <w:p w:rsidR="00D90A18" w:rsidP="00750824" w:rsidRDefault="00D90A18" w14:paraId="6741CFD4" w14:textId="77777777">
      <w:pPr>
        <w:jc w:val="both"/>
      </w:pPr>
    </w:p>
    <w:p w:rsidR="00983F19" w:rsidP="00750824" w:rsidRDefault="00000000" w14:paraId="62CEDE84" w14:textId="77777777">
      <w:pPr>
        <w:numPr>
          <w:ilvl w:val="0"/>
          <w:numId w:val="3"/>
        </w:numPr>
        <w:jc w:val="both"/>
      </w:pPr>
      <w:r>
        <w:t xml:space="preserve">automatyczne przetwarzanie danych dotyczących stanu emocjonalnego lub psychicznego pracowników,</w:t>
      </w:r>
    </w:p>
    <w:p w:rsidR="00983F19" w:rsidP="00750824" w:rsidRDefault="00000000" w14:paraId="353B5A60" w14:textId="77777777">
      <w:pPr>
        <w:numPr>
          <w:ilvl w:val="0"/>
          <w:numId w:val="3"/>
        </w:numPr>
        <w:jc w:val="both"/>
      </w:pPr>
      <w:r>
        <w:t xml:space="preserve">uzyskiwanie dostępu do prywatnych rozmów między pracownikami lub między pracownikami a ich przedstawicielami,</w:t>
      </w:r>
    </w:p>
    <w:p w:rsidR="00983F19" w:rsidP="00750824" w:rsidRDefault="00000000" w14:paraId="4106E858" w14:textId="77777777">
      <w:pPr>
        <w:numPr>
          <w:ilvl w:val="0"/>
          <w:numId w:val="3"/>
        </w:numPr>
        <w:jc w:val="both"/>
      </w:pPr>
      <w:r>
        <w:t xml:space="preserve">gromadzenie danych osobowych poza godzinami pracy (gdy pracownik nie oferuje ani nie wykonuje pracy),</w:t>
      </w:r>
    </w:p>
    <w:p w:rsidR="00983F19" w:rsidP="00750824" w:rsidRDefault="00000000" w14:paraId="410C5F25" w14:textId="77777777">
      <w:pPr>
        <w:numPr>
          <w:ilvl w:val="0"/>
          <w:numId w:val="3"/>
        </w:numPr>
        <w:jc w:val="both"/>
      </w:pPr>
      <w:r>
        <w:t xml:space="preserve">przetwarzanie danych w celu przewidywania korzystania z podstawowych praw (w tym zrzeszania się w związkach zawodowych i strajku) oraz wyciąganie wniosków dotyczących pochodzenia rasowego lub etnicznego, stanu zdrowia, przynależności do związków zawodowych lub innych szczególnych kategorii danych na podstawie innych danych osobowych.</w:t>
      </w:r>
    </w:p>
    <w:p w:rsidR="00D90A18" w:rsidP="00750824" w:rsidRDefault="00D90A18" w14:paraId="12AAECDB" w14:textId="77777777">
      <w:pPr>
        <w:ind w:start="720"/>
        <w:jc w:val="both"/>
      </w:pPr>
    </w:p>
    <w:p w:rsidR="00983F19" w:rsidP="00750824" w:rsidRDefault="00000000" w14:paraId="424D3BF0" w14:textId="234A481F">
      <w:pPr>
        <w:jc w:val="both"/>
      </w:pPr>
      <w:r>
        <w:t xml:space="preserve">Jak wyjaśniła grupa ekspertów </w:t>
      </w:r>
      <w:r w:rsidR="0069475D">
        <w:t xml:space="preserve">KE </w:t>
      </w:r>
      <w:r>
        <w:t xml:space="preserve">ds. transpozycji dyrektywy, zakazy te mają szerszy zakres niż ogólne rozporządzenie o ochronie danych (RODO) oraz niż ustawa o sztucznej inteligencji (</w:t>
      </w:r>
      <w:r>
        <w:t xml:space="preserve">„AI </w:t>
      </w:r>
      <w:r w:rsidR="005418CA">
        <w:t xml:space="preserve">Act”</w:t>
      </w:r>
      <w:r w:rsidR="0069475D">
        <w:t xml:space="preserve">).</w:t>
      </w:r>
      <w:r>
        <w:t xml:space="preserve"> </w:t>
      </w:r>
      <w:r>
        <w:t xml:space="preserve">Obejmują one wszystkie zautomatyzowane systemy, a nie tylko systemy sztucznej inteligencji, i nie dopuszczają wyjątków opartych na zgodzie pracownika, ponieważ zgoda w kontekście relacji sił między platformą a pracownikiem nie może być dobrowolna.</w:t>
      </w:r>
    </w:p>
    <w:p w:rsidR="00D90A18" w:rsidP="00750824" w:rsidRDefault="00D90A18" w14:paraId="280150BD" w14:textId="77777777">
      <w:pPr>
        <w:jc w:val="both"/>
      </w:pPr>
    </w:p>
    <w:p w:rsidR="00983F19" w:rsidP="00750824" w:rsidRDefault="00BB574B" w14:paraId="55832160" w14:textId="14EF0076">
      <w:pPr>
        <w:jc w:val="both"/>
      </w:pPr>
      <w:r>
        <w:rPr>
          <w:b/>
          <w:bCs/>
        </w:rPr>
        <w:t xml:space="preserve">Artykuł 9 (Przejrzystość) </w:t>
      </w:r>
      <w:r>
        <w:t xml:space="preserve">wymaga, aby platformy ujawniały pracownikom, ich przedstawicielom oraz właściwym organom szczegółowe informacje na temat funkcjonowania zautomatyzowanych systemów nadzoru i podejmowania decyzji. Obejmuje to kategorie danych przetwarzanych przez systemy, parametry wpływające na decyzje oraz względną wagę poszczególnych parametrów. Szczególnie istotny jest wymóg ujawnienia powodów decyzji o ograniczeniu, tymczasowym zawieszeniu lub zamknięciu konta pracownika, a także o odmowie zapłaty za wykonaną pracę. Informacje muszą być przekazane jasnym i zrozumiałym językiem, a pracownicy muszą je otrzymać najpóźniej w pierwszym dniu roboczym oraz przed każdą zmianą mającą wpływ na warunki pracy.</w:t>
      </w:r>
    </w:p>
    <w:p w:rsidR="00D90A18" w:rsidP="00750824" w:rsidRDefault="00D90A18" w14:paraId="22A43AFD" w14:textId="77777777">
      <w:pPr>
        <w:jc w:val="both"/>
      </w:pPr>
    </w:p>
    <w:p w:rsidR="00983F19" w:rsidP="00750824" w:rsidRDefault="00BB574B" w14:paraId="1177D0F5" w14:textId="1AD19168">
      <w:pPr>
        <w:jc w:val="both"/>
      </w:pPr>
      <w:r>
        <w:rPr>
          <w:b/>
          <w:bCs/>
        </w:rPr>
        <w:t xml:space="preserve">Artykuł 10 (Nadzór ludzki) </w:t>
      </w:r>
      <w:r>
        <w:t xml:space="preserve">zobowiązuje państwa członkowskie do zapewnienia regularnego nadzoru i oceny wpływu zautomatyzowanych systemów na warunki pracy, w tym oceny ryzyka dyskryminacji. Platformy muszą zapewnić wystarczające zasoby ludzkie do celów nadzoru, przy czym osoby sprawujące nadzór muszą posiadać odpowiednie kwalifikacje i uprawnienia do unieważnienia decyzji podejmowanych automatycznie. Każda decyzja o ograniczeniu lub zamknięciu konta musi zostać zatwierdzona przez człowieka.</w:t>
      </w:r>
    </w:p>
    <w:p w:rsidR="00D90A18" w:rsidP="00750824" w:rsidRDefault="00D90A18" w14:paraId="3C9800B3" w14:textId="77777777">
      <w:pPr>
        <w:jc w:val="both"/>
      </w:pPr>
    </w:p>
    <w:p w:rsidR="00983F19" w:rsidP="00750824" w:rsidRDefault="00BB574B" w14:paraId="2E5FA79F" w14:textId="1732E3A8">
      <w:pPr>
        <w:jc w:val="both"/>
      </w:pPr>
      <w:r>
        <w:rPr>
          <w:b/>
          <w:bCs/>
        </w:rPr>
        <w:lastRenderedPageBreak/>
      </w:r>
      <w:r>
        <w:rPr>
          <w:b/>
          <w:bCs/>
        </w:rPr>
        <w:t xml:space="preserve">Artykuł 11 (Prawo do weryfikacji przez człowieka) </w:t>
      </w:r>
      <w:r>
        <w:t xml:space="preserve">przyznaje pracownikom prawo do uzasadnienia i weryfikacji każdej decyzji systemu zautomatyzowanego, która ma istotny wpływ na ich warunki pracy. Platforma musi zapewnić uzasadnienie bez zbędnej zwłoki, najpóźniej w dniu wejścia w życie decyzji. Pracownik lub jego przedstawiciele mogą zażądać ponownej weryfikacji decyzji przez człowieka, a platforma musi bez zbędnej zwłoki udzielić uzasadnionej odpowiedzi.</w:t>
      </w:r>
    </w:p>
    <w:p w:rsidR="00D90A18" w:rsidP="00750824" w:rsidRDefault="00D90A18" w14:paraId="26AE5B60" w14:textId="77777777">
      <w:pPr>
        <w:jc w:val="both"/>
      </w:pPr>
    </w:p>
    <w:p w:rsidR="00983F19" w:rsidP="00750824" w:rsidRDefault="00BB574B" w14:paraId="09F438D6" w14:textId="15EAB0FB">
      <w:pPr>
        <w:jc w:val="both"/>
      </w:pPr>
      <w:r>
        <w:rPr>
          <w:b/>
          <w:bCs/>
        </w:rPr>
        <w:t xml:space="preserve">Artykuł 12 (Bezpieczeństwo i zdrowie) </w:t>
      </w:r>
      <w:r>
        <w:t xml:space="preserve">wyraźnie zakazuje stosowania algorytmów, które wywierają nieproporcjonalną presję na pracowników lub zagrażają ich zdrowiu fizycznemu lub psychicznemu. Obejmuje to zakaz stosowania systemów, które zachęcają do niebezpiecznych zachowań (np. nadmiernej prędkości w przypadku kurierów) lub uniemożliwiają niezbędne przerwy.</w:t>
      </w:r>
    </w:p>
    <w:p w:rsidR="00983F19" w:rsidP="00750824" w:rsidRDefault="00000000" w14:paraId="79351DBD" w14:textId="77777777">
      <w:pPr>
        <w:pStyle w:val="Naslov2"/>
        <w:jc w:val="both"/>
      </w:pPr>
      <w:bookmarkStart w:name="_Toc233699490" w:id="31"/>
      <w:bookmarkStart w:name="ugotovitve-iz-prakse-1" w:id="32"/>
      <w:bookmarkEnd w:id="30"/>
      <w:r>
        <w:t xml:space="preserve">4.2 Wnioski wynikające z praktyki</w:t>
      </w:r>
      <w:bookmarkEnd w:id="31"/>
    </w:p>
    <w:p w:rsidR="00983F19" w:rsidP="00750824" w:rsidRDefault="00000000" w14:paraId="05C2DE1D" w14:textId="77777777">
      <w:pPr>
        <w:pStyle w:val="Naslov3"/>
        <w:jc w:val="both"/>
      </w:pPr>
      <w:bookmarkStart w:name="algoritem-kot-šef-v-stroju" w:id="33"/>
      <w:r>
        <w:t xml:space="preserve">Algorytm jako „szef w maszynie”</w:t>
      </w:r>
    </w:p>
    <w:p w:rsidR="00983F19" w:rsidP="00750824" w:rsidRDefault="00000000" w14:paraId="1FCFBB28" w14:textId="72E72BD0">
      <w:pPr>
        <w:jc w:val="both"/>
      </w:pPr>
      <w:r>
        <w:t xml:space="preserve">Praktyka </w:t>
      </w:r>
      <w:r>
        <w:t xml:space="preserve">pracy </w:t>
      </w:r>
      <w:r>
        <w:t xml:space="preserve">na platformach </w:t>
      </w:r>
      <w:r>
        <w:t xml:space="preserve">pokazuje, że zarządzanie algorytmiczne nie stanowi jedynie technicznego narzędzia do organizacji pracy, ale kompleksowy system nadzoru, który przejmuje wszystkie klasyczne funkcje kierownicze </w:t>
      </w:r>
      <w:r w:rsidR="00D7386B">
        <w:t xml:space="preserve">– </w:t>
      </w:r>
      <w:r>
        <w:t xml:space="preserve">przydzielanie zadań, ocenianie wyników, nadzorowanie, </w:t>
      </w:r>
      <w:r w:rsidR="00944A43">
        <w:t xml:space="preserve">nakładanie sankcji </w:t>
      </w:r>
      <w:r>
        <w:t xml:space="preserve">i zwolnienia </w:t>
      </w:r>
      <w:r w:rsidR="00D7386B">
        <w:t xml:space="preserve">– </w:t>
      </w:r>
      <w:r>
        <w:t xml:space="preserve">często bez jakiejkolwiek interwencji człowieka.</w:t>
      </w:r>
    </w:p>
    <w:p w:rsidR="00D90A18" w:rsidP="00750824" w:rsidRDefault="00D90A18" w14:paraId="7F4B9EFB" w14:textId="77777777">
      <w:pPr>
        <w:jc w:val="both"/>
      </w:pPr>
    </w:p>
    <w:p w:rsidR="00983F19" w:rsidP="00750824" w:rsidRDefault="00000000" w14:paraId="131EFEE5" w14:textId="0BC879B3">
      <w:pPr>
        <w:jc w:val="both"/>
      </w:pPr>
      <w:r w:rsidR="00944A43">
        <w:t xml:space="preserve">Przykład</w:t>
      </w:r>
      <w:r>
        <w:t xml:space="preserve"> austriacki </w:t>
      </w:r>
      <w:r>
        <w:t xml:space="preserve">obrazowo opisuje mechanizm tego nadzoru na trzech poziomach: na pierwszym, </w:t>
      </w:r>
      <w:r>
        <w:rPr>
          <w:b/>
          <w:bCs/>
        </w:rPr>
        <w:t xml:space="preserve">poziomie danych</w:t>
      </w:r>
      <w:r>
        <w:t xml:space="preserve">, platforma za pośrednictwem smartfona nieustannie rejestruje dane, których ludzki przełożony nigdy nie byłby w stanie monitorować: lokalizację GPS, przyspieszenie, czas bezczynności, szybkość reakcji na </w:t>
      </w:r>
      <w:r w:rsidR="00944A43">
        <w:t xml:space="preserve">zlecenia…</w:t>
      </w:r>
    </w:p>
    <w:p w:rsidR="00D90A18" w:rsidP="00750824" w:rsidRDefault="00D90A18" w14:paraId="27254679" w14:textId="77777777">
      <w:pPr>
        <w:jc w:val="both"/>
      </w:pPr>
    </w:p>
    <w:p w:rsidR="00983F19" w:rsidP="00750824" w:rsidRDefault="00000000" w14:paraId="5C0D5B09" w14:textId="2ECE3FAC">
      <w:pPr>
        <w:jc w:val="both"/>
      </w:pPr>
      <w:r>
        <w:t xml:space="preserve">Na drugim </w:t>
      </w:r>
      <w:r>
        <w:rPr>
          <w:b/>
          <w:bCs/>
        </w:rPr>
        <w:t xml:space="preserve">poziomie</w:t>
      </w:r>
      <w:r>
        <w:t xml:space="preserve">, </w:t>
      </w:r>
      <w:r>
        <w:rPr>
          <w:b/>
          <w:bCs/>
        </w:rPr>
        <w:t xml:space="preserve">procesowym</w:t>
      </w:r>
      <w:r>
        <w:t xml:space="preserve">, dane te przekształcane są w </w:t>
      </w:r>
      <w:r>
        <w:t xml:space="preserve">nieprzejrzyste </w:t>
      </w:r>
      <w:r>
        <w:t xml:space="preserve">wskaźniki wydajności, które decydują o pozostaniu pracownika na platformie. Charakterystycznym przykładem jest tzw. </w:t>
      </w:r>
      <w:r w:rsidR="00A275F6">
        <w:t xml:space="preserve">„</w:t>
      </w:r>
      <w:r>
        <w:t xml:space="preserve">ocena </w:t>
      </w:r>
      <w:r w:rsidR="00A275F6">
        <w:t xml:space="preserve">doskonałości”, </w:t>
      </w:r>
      <w:r>
        <w:t xml:space="preserve">stosowana np. </w:t>
      </w:r>
      <w:r>
        <w:t xml:space="preserve">przez Foodora </w:t>
      </w:r>
      <w:r w:rsidR="00D7386B">
        <w:t xml:space="preserve">– </w:t>
      </w:r>
      <w:r>
        <w:t xml:space="preserve">gamifikowany </w:t>
      </w:r>
      <w:r>
        <w:t xml:space="preserve">wskaźnik w skali od 0 do 100, obliczany na podstawie ocen klientów, wydajności oraz dostępności w okresach zwiększonego popytu. Wyższa ocena zapewnia priorytetowy dostęp do harmonogramu i dochodowych zmian</w:t>
      </w:r>
      <w:r w:rsidR="00A275F6">
        <w:t xml:space="preserve">, natomiast </w:t>
      </w:r>
      <w:r>
        <w:t xml:space="preserve">niższa ocena faktycznie karze pracownika za korzystanie z czasu wolnego.</w:t>
      </w:r>
    </w:p>
    <w:p w:rsidR="00D90A18" w:rsidP="00750824" w:rsidRDefault="00D90A18" w14:paraId="076A4243" w14:textId="77777777">
      <w:pPr>
        <w:jc w:val="both"/>
      </w:pPr>
    </w:p>
    <w:p w:rsidR="00983F19" w:rsidP="00750824" w:rsidRDefault="00000000" w14:paraId="127CBD97" w14:textId="7110B01F">
      <w:pPr>
        <w:jc w:val="both"/>
      </w:pPr>
      <w:r>
        <w:t xml:space="preserve">Na trzecim, </w:t>
      </w:r>
      <w:r>
        <w:rPr>
          <w:b/>
          <w:bCs/>
        </w:rPr>
        <w:t xml:space="preserve">wykonawczym poziomie </w:t>
      </w:r>
      <w:r>
        <w:t xml:space="preserve">system nie tylko wydaje zalecenia, ale samodzielnie realizuje decyzje </w:t>
      </w:r>
      <w:r w:rsidR="00D7386B">
        <w:t xml:space="preserve">– </w:t>
      </w:r>
      <w:r>
        <w:t xml:space="preserve">w tym tzw. </w:t>
      </w:r>
      <w:r>
        <w:t xml:space="preserve">„robotyczne </w:t>
      </w:r>
      <w:r w:rsidR="00A275F6">
        <w:t xml:space="preserve">zwolnienia” </w:t>
      </w:r>
      <w:r>
        <w:t xml:space="preserve">(</w:t>
      </w:r>
      <w:r w:rsidR="00A275F6">
        <w:t xml:space="preserve">„robo-firing</w:t>
      </w:r>
      <w:r>
        <w:t xml:space="preserve">”), kiedy konto pracownika zostaje automatycznie </w:t>
      </w:r>
      <w:r>
        <w:t xml:space="preserve">dezaktywowane</w:t>
      </w:r>
      <w:r>
        <w:t xml:space="preserve">, jeśli jego wskaźniki spadną poniżej z góry określonego progu (np. 20-procentowy wskaźnik anulowanych zamówień w </w:t>
      </w:r>
      <w:r>
        <w:t xml:space="preserve">Uberze</w:t>
      </w:r>
      <w:r>
        <w:t xml:space="preserve">), często bez jakiejkolwiek ludzkiej weryfikacji lub możliwości wyjaśnienia. System ten tworzy środowisko ciągłego </w:t>
      </w:r>
      <w:r w:rsidR="00A275F6">
        <w:t xml:space="preserve">„technostresu”, </w:t>
      </w:r>
      <w:r>
        <w:t xml:space="preserve">w którym strach przed algorytmem napędza niebezpieczne wzorce zachowań </w:t>
      </w:r>
      <w:r w:rsidR="00A275F6">
        <w:t xml:space="preserve">– </w:t>
      </w:r>
      <w:r>
        <w:t xml:space="preserve">od nadmiernej prędkości wśród </w:t>
      </w:r>
      <w:r w:rsidR="00A275F6">
        <w:t xml:space="preserve">kurierów </w:t>
      </w:r>
      <w:r>
        <w:t xml:space="preserve">po rezygnację z przerw </w:t>
      </w:r>
      <w:r w:rsidR="00A275F6">
        <w:t xml:space="preserve">– </w:t>
      </w:r>
      <w:r>
        <w:t xml:space="preserve">oraz powoduje chroniczny niepokój pracowników.</w:t>
      </w:r>
    </w:p>
    <w:p w:rsidR="00983F19" w:rsidP="00750824" w:rsidRDefault="00000000" w14:paraId="5681F4A3" w14:textId="77777777">
      <w:pPr>
        <w:pStyle w:val="Naslov3"/>
        <w:jc w:val="both"/>
      </w:pPr>
      <w:bookmarkStart w:name="izkušnje-iz-držav-partneric-projekta" w:id="34"/>
      <w:bookmarkEnd w:id="33"/>
      <w:r>
        <w:t xml:space="preserve">Doświadczenia z krajów partnerskich projektu</w:t>
      </w:r>
    </w:p>
    <w:p w:rsidR="00983F19" w:rsidP="00750824" w:rsidRDefault="00000000" w14:paraId="5293068D" w14:textId="0693E896">
      <w:pPr>
        <w:jc w:val="both"/>
      </w:pPr>
      <w:r>
        <w:rPr>
          <w:b/>
          <w:bCs/>
        </w:rPr>
        <w:t xml:space="preserve">W Austrii </w:t>
      </w:r>
      <w:r>
        <w:t xml:space="preserve">w 2020 roku podpisano pierwszy branżowy układ zbiorowy dla </w:t>
      </w:r>
      <w:r>
        <w:t xml:space="preserve">dostawców </w:t>
      </w:r>
      <w:r>
        <w:t xml:space="preserve">platformowych</w:t>
      </w:r>
      <w:r>
        <w:t xml:space="preserve">, zawarty między związkiem zawodowym </w:t>
      </w:r>
      <w:r w:rsidR="00A275F6">
        <w:t xml:space="preserve">VIDA </w:t>
      </w:r>
      <w:r>
        <w:t xml:space="preserve">a stowarzyszeniami pracodawców. Umowa zapewniła minimalne wynagrodzenia (do 2023 r. powyżej 1 730 </w:t>
      </w:r>
      <w:r w:rsidR="00A275F6">
        <w:t xml:space="preserve">euro</w:t>
      </w:r>
      <w:r>
        <w:t xml:space="preserve">) oraz dodatki na sprzęt, ale okazała się znacznie mniej skuteczna w regulowaniu samego algorytmu </w:t>
      </w:r>
      <w:r w:rsidR="00D7386B">
        <w:t xml:space="preserve">– </w:t>
      </w:r>
      <w:r>
        <w:t xml:space="preserve">nie zawiera bowiem porównywalnych postanowień dotyczących przejrzystości danych, jakie znane są z umów w</w:t>
      </w:r>
      <w:r>
        <w:lastRenderedPageBreak/>
      </w:r>
      <w:r>
        <w:t xml:space="preserve"> Hiszpanii czy Danii. Głównym punktem spornym na austriackim rynku pracy pozostaje status </w:t>
      </w:r>
      <w:r w:rsidR="00A275F6">
        <w:t xml:space="preserve">„</w:t>
      </w:r>
      <w:r>
        <w:t xml:space="preserve">wolnego </w:t>
      </w:r>
      <w:r w:rsidR="00A275F6">
        <w:t xml:space="preserve">wykonawcy” </w:t>
      </w:r>
      <w:r>
        <w:t xml:space="preserve">(</w:t>
      </w:r>
      <w:r>
        <w:t xml:space="preserve">„Freier </w:t>
      </w:r>
      <w:r w:rsidR="00A275F6">
        <w:t xml:space="preserve">Dienstnehmer”</w:t>
      </w:r>
      <w:r>
        <w:t xml:space="preserve">), czyli status hybrydowy pomiędzy pracownikiem a osobą samozatrudnioną, który platformy takie jak </w:t>
      </w:r>
      <w:r>
        <w:t xml:space="preserve">Foodora </w:t>
      </w:r>
      <w:r>
        <w:t xml:space="preserve">i </w:t>
      </w:r>
      <w:r>
        <w:t xml:space="preserve">Lieferando </w:t>
      </w:r>
      <w:r>
        <w:t xml:space="preserve">agresywnie wykorzystują. Reforma, która wejdzie w życie w styczniu 2026 r., wprowadza ustawowe okresy wypowiedzenia oraz możliwość objęcia osób wykonujących pracę na podstawie umowy o świadczenie usług postanowieniami układów zbiorowych</w:t>
      </w:r>
      <w:r w:rsidR="003A5607">
        <w:t xml:space="preserve">, </w:t>
      </w:r>
      <w:r>
        <w:t xml:space="preserve">co otwiera drogę do negocjacji w sprawie zabezpieczeń związanych z algorytmami również dla tej kategorii </w:t>
      </w:r>
      <w:r w:rsidR="003A5607">
        <w:t xml:space="preserve">pracowników</w:t>
      </w:r>
      <w:r>
        <w:t xml:space="preserve">.</w:t>
      </w:r>
    </w:p>
    <w:p w:rsidR="00D90A18" w:rsidP="00750824" w:rsidRDefault="00D90A18" w14:paraId="6D6F3A4B" w14:textId="77777777">
      <w:pPr>
        <w:jc w:val="both"/>
      </w:pPr>
    </w:p>
    <w:p w:rsidR="00983F19" w:rsidP="00750824" w:rsidRDefault="00000000" w14:paraId="5F1C3EBD" w14:textId="363F28E3">
      <w:pPr>
        <w:jc w:val="both"/>
      </w:pPr>
      <w:r>
        <w:t xml:space="preserve">Wyzwaniem strukturalnym w Austrii pozostaje definicja </w:t>
      </w:r>
      <w:r w:rsidR="003A5607">
        <w:t xml:space="preserve">„</w:t>
      </w:r>
      <w:r>
        <w:t xml:space="preserve">miejsca </w:t>
      </w:r>
      <w:r w:rsidR="003A5607">
        <w:t xml:space="preserve">pracy” </w:t>
      </w:r>
      <w:r>
        <w:t xml:space="preserve">(</w:t>
      </w:r>
      <w:r w:rsidR="003A5607">
        <w:t xml:space="preserve">„Betrieb</w:t>
      </w:r>
      <w:r>
        <w:t xml:space="preserve">”): austriackie prawo wymaga fizycznego oddziału w celu utworzenia rady pracowniczej, co pozwala platformom, zarządzanym centralnie z Berlina lub innych miejsc, na unikanie współzarządzania przez pracowników. Podczas gdy kurierzy </w:t>
      </w:r>
      <w:r>
        <w:t xml:space="preserve">Foodore</w:t>
      </w:r>
      <w:r>
        <w:t xml:space="preserve"> </w:t>
      </w:r>
      <w:r>
        <w:t xml:space="preserve">z powodzeniem utworzyli radę pracowniczą, </w:t>
      </w:r>
      <w:r>
        <w:t xml:space="preserve">firma Lieferando</w:t>
      </w:r>
      <w:r>
        <w:t xml:space="preserve"> </w:t>
      </w:r>
      <w:r>
        <w:t xml:space="preserve">zakwestionowała podobne próby na drodze prawnej.</w:t>
      </w:r>
    </w:p>
    <w:p w:rsidR="00D90A18" w:rsidP="00750824" w:rsidRDefault="00D90A18" w14:paraId="599FBD4A" w14:textId="77777777">
      <w:pPr>
        <w:jc w:val="both"/>
      </w:pPr>
    </w:p>
    <w:p w:rsidR="00983F19" w:rsidP="00750824" w:rsidRDefault="00000000" w14:paraId="602D978C" w14:textId="1838B825">
      <w:pPr>
        <w:jc w:val="both"/>
      </w:pPr>
      <w:r>
        <w:rPr>
          <w:b/>
          <w:bCs/>
        </w:rPr>
        <w:t xml:space="preserve">Słowenia </w:t>
      </w:r>
      <w:r>
        <w:t xml:space="preserve">boryka się z wyraźną dominacją jednej platformy, </w:t>
      </w:r>
      <w:r>
        <w:t xml:space="preserve">Wolt</w:t>
      </w:r>
      <w:r>
        <w:t xml:space="preserve">, w ramach której pracownicy działają jako osoby samozatrudnione bez dostępu do informacji na temat działania algorytmu. Dyskusja konferencyjna ujawniła, że pracownicy często nawet nie rozumieją, iż to właśnie algorytm określa ich warunki pracy </w:t>
      </w:r>
      <w:r w:rsidR="00D7386B">
        <w:t xml:space="preserve">– </w:t>
      </w:r>
      <w:r>
        <w:t xml:space="preserve">od przydzielania zadań po rzeczywiste zarobki. Organizowanie się jest dodatkowo utrudnione, ponieważ znaczna część pracowników to migranci, którzy pracują na podstawie wiz studenckich, nie znają swoich praw i znajdują się w jeszcze bardziej </w:t>
      </w:r>
      <w:r>
        <w:t xml:space="preserve">niepewnej </w:t>
      </w:r>
      <w:r>
        <w:t xml:space="preserve">sytuacji. Kluczowym wnioskiem dla Słowenii </w:t>
      </w:r>
      <w:r w:rsidR="003A5607">
        <w:t xml:space="preserve">jest to, że </w:t>
      </w:r>
      <w:r>
        <w:t xml:space="preserve">wielu pracowników oczekuje, iż ich problemy rozwiąże ministerstwo lub konkurencja, a nie negocjacje zbiorowe, co wskazuje również na brak świadomości co do roli dialogu społecznego w regulacji zarządzania algorytmicznego.</w:t>
      </w:r>
    </w:p>
    <w:p w:rsidR="00D90A18" w:rsidP="00750824" w:rsidRDefault="00D90A18" w14:paraId="501BC3A1" w14:textId="77777777">
      <w:pPr>
        <w:jc w:val="both"/>
      </w:pPr>
    </w:p>
    <w:p w:rsidR="00983F19" w:rsidP="00750824" w:rsidRDefault="00000000" w14:paraId="542CD54C" w14:textId="3BFB7244">
      <w:pPr>
        <w:jc w:val="both"/>
      </w:pPr>
      <w:r>
        <w:rPr>
          <w:b/>
          <w:bCs/>
        </w:rPr>
        <w:t xml:space="preserve">Włochy </w:t>
      </w:r>
      <w:r>
        <w:t xml:space="preserve">wyróżniają się doświadczeniem związanym z umową zbiorową zawartą z </w:t>
      </w:r>
      <w:r>
        <w:t xml:space="preserve">JustEat</w:t>
      </w:r>
      <w:r>
        <w:t xml:space="preserve">, która ogranicza presję algorytmu poprzez </w:t>
      </w:r>
      <w:r w:rsidR="003A5607">
        <w:t xml:space="preserve">ustalenie </w:t>
      </w:r>
      <w:r>
        <w:t xml:space="preserve">maksymalnej liczby dostaw </w:t>
      </w:r>
      <w:r w:rsidR="003A5607">
        <w:t xml:space="preserve">– </w:t>
      </w:r>
      <w:r>
        <w:t xml:space="preserve">czterech na godzinę. Podejście to przedkłada bezpieczeństwo człowieka nad optymalizację algorytmiczną i gwarantuje, że dążenie do wydajności nie przeważa nad fizycznymi ograniczeniami pracownika.</w:t>
      </w:r>
    </w:p>
    <w:p w:rsidR="00D90A18" w:rsidP="00750824" w:rsidRDefault="00D90A18" w14:paraId="56FFAE55" w14:textId="77777777">
      <w:pPr>
        <w:jc w:val="both"/>
      </w:pPr>
    </w:p>
    <w:p w:rsidR="00983F19" w:rsidP="00750824" w:rsidRDefault="00000000" w14:paraId="29CFD809" w14:textId="4A63BC91">
      <w:pPr>
        <w:jc w:val="both"/>
      </w:pPr>
      <w:r>
        <w:rPr>
          <w:b/>
          <w:bCs/>
        </w:rPr>
        <w:t xml:space="preserve">Hiszpania </w:t>
      </w:r>
      <w:r>
        <w:t xml:space="preserve">stanowi wiodący przykład zarówno sukcesów, jak i pułapek. Po uchwaleniu ustawy o dostawcach związki zawodowe CCOO i UGT zawarły układ zbiorowy z </w:t>
      </w:r>
      <w:r>
        <w:t xml:space="preserve">JustEat </w:t>
      </w:r>
      <w:r>
        <w:t xml:space="preserve">España</w:t>
      </w:r>
      <w:r>
        <w:t xml:space="preserve">, który nie tylko reguluje wynagrodzenia, ale także powołuje wspólną komisję ds. monitorowania algorytmu </w:t>
      </w:r>
      <w:r w:rsidR="00D7386B">
        <w:t xml:space="preserve">– </w:t>
      </w:r>
      <w:r>
        <w:t xml:space="preserve">organ, który regularnie zbiera się w celu weryfikacji sprawiedliwości parametrów algorytmicznych, w tym kwestii, czy algorytm kierowania zleceń dyskryminuje określone obszary lub grupy demograficzne. Jednak doświadczenia hiszpańskie ujawniają również istotną pułapkę: prawo wymaga dostępu do parametrów algorytmicznych, ale </w:t>
      </w:r>
      <w:r w:rsidRPr="005418CA">
        <w:t xml:space="preserve">nie przewiduje konsekwencji za nieprzestrzeganie tego wymogu</w:t>
      </w:r>
      <w:r w:rsidRPr="00873676">
        <w:t xml:space="preserve">.</w:t>
      </w:r>
    </w:p>
    <w:p w:rsidR="00D90A18" w:rsidP="00750824" w:rsidRDefault="00D90A18" w14:paraId="259F8CFD" w14:textId="77777777">
      <w:pPr>
        <w:jc w:val="both"/>
      </w:pPr>
    </w:p>
    <w:p w:rsidR="00983F19" w:rsidP="00750824" w:rsidRDefault="00000000" w14:paraId="74F096D4" w14:textId="5DA98B40">
      <w:pPr>
        <w:jc w:val="both"/>
      </w:pPr>
      <w:r>
        <w:t xml:space="preserve">Po uchwaleniu ustawy firma</w:t>
      </w:r>
      <w:r>
        <w:t xml:space="preserve"> Glovo </w:t>
      </w:r>
      <w:r>
        <w:t xml:space="preserve">zrestrukturyzowała cały model działalności</w:t>
      </w:r>
      <w:r w:rsidR="00873676">
        <w:t xml:space="preserve">. </w:t>
      </w:r>
      <w:r>
        <w:t xml:space="preserve">Zamiast zatrudniać większość dostawców, zaproponowała im jedynie umowy na minimalny wymiar godzin z niewielką liczbą godzin tygodniowych, których większość nie przyjęła, a jednocześnie zmieniła parametry algorytmiczne tak, aby stworzyć pozory autonomii. Dopiero groźba odpowiedzialności karnej </w:t>
      </w:r>
      <w:r w:rsidR="00D7386B">
        <w:t xml:space="preserve">– </w:t>
      </w:r>
      <w:r>
        <w:t xml:space="preserve">a nie żądanie przejrzystości </w:t>
      </w:r>
      <w:r w:rsidR="00D7386B">
        <w:t xml:space="preserve">– </w:t>
      </w:r>
      <w:r>
        <w:t xml:space="preserve">zmusiła platformę do dostosowania się </w:t>
      </w:r>
      <w:r w:rsidR="00873676">
        <w:t xml:space="preserve">do przepisów</w:t>
      </w:r>
      <w:r>
        <w:t xml:space="preserve">. </w:t>
      </w:r>
    </w:p>
    <w:p w:rsidR="00D90A18" w:rsidP="00750824" w:rsidRDefault="00D90A18" w14:paraId="4CD749D0" w14:textId="77777777">
      <w:pPr>
        <w:jc w:val="both"/>
      </w:pPr>
    </w:p>
    <w:p w:rsidR="00983F19" w:rsidP="00750824" w:rsidRDefault="00000000" w14:paraId="7A3781B5" w14:textId="776D3D41">
      <w:pPr>
        <w:jc w:val="both"/>
      </w:pPr>
      <w:r>
        <w:rPr>
          <w:b/>
          <w:bCs/>
        </w:rPr>
        <w:t xml:space="preserve">Dania </w:t>
      </w:r>
      <w:r>
        <w:t xml:space="preserve">oferuje innowacyjny model odpowiedzialności: porozumienie między związkiem zawodowym 3F a platformą sprzątania </w:t>
      </w:r>
      <w:r>
        <w:t xml:space="preserve">Hilfr </w:t>
      </w:r>
      <w:r>
        <w:t xml:space="preserve">stanowi, że platforma pozostaje prawnie odpowiedzialna za każdą zautomatyzowaną decyzję. Kluczowe </w:t>
      </w:r>
      <w:r w:rsidR="00873676">
        <w:t xml:space="preserve">znaczenie ma </w:t>
      </w:r>
      <w:r>
        <w:t xml:space="preserve">przeniesienie</w:t>
      </w:r>
      <w:r w:rsidR="00873676">
        <w:t xml:space="preserve"> </w:t>
      </w:r>
      <w:r>
        <w:t xml:space="preserve">ciężaru dowodu </w:t>
      </w:r>
      <w:r>
        <w:t xml:space="preserve">na platformę</w:t>
      </w:r>
      <w:r w:rsidR="00873676">
        <w:t xml:space="preserve">: </w:t>
      </w:r>
      <w:r>
        <w:t xml:space="preserve">jeśli algorytm </w:t>
      </w:r>
      <w:r>
        <w:t xml:space="preserve">dezaktywuje </w:t>
      </w:r>
      <w:r>
        <w:t xml:space="preserve">pracownika lub ukrywa jego profil, a platforma nie jest w stanie wyjaśnić tego w zrozumiały sposób, decyzja ta jest automatycznie nieważna. Skutecznie zapobiega to </w:t>
      </w:r>
      <w:r w:rsidR="00873676">
        <w:t xml:space="preserve">bezpodstawnemu nakładaniu sankcji.</w:t>
      </w:r>
    </w:p>
    <w:p w:rsidR="00983F19" w:rsidP="00750824" w:rsidRDefault="00000000" w14:paraId="3E77F218" w14:textId="77777777">
      <w:pPr>
        <w:pStyle w:val="Naslov3"/>
        <w:jc w:val="both"/>
      </w:pPr>
      <w:bookmarkStart w:name="skupne-ugotovitve" w:id="35"/>
      <w:bookmarkEnd w:id="34"/>
      <w:r>
        <w:lastRenderedPageBreak/>
      </w:r>
      <w:r>
        <w:t xml:space="preserve">Wspólne wnioski</w:t>
      </w:r>
    </w:p>
    <w:p w:rsidR="00983F19" w:rsidP="00750824" w:rsidRDefault="00000000" w14:paraId="1A8F4795" w14:textId="77777777">
      <w:pPr>
        <w:jc w:val="both"/>
      </w:pPr>
      <w:r>
        <w:t xml:space="preserve">Z analizy porównawczej wynikają trzy kluczowe wzorce:</w:t>
      </w:r>
    </w:p>
    <w:p w:rsidR="00D90A18" w:rsidP="00750824" w:rsidRDefault="00D90A18" w14:paraId="05B9CFD6" w14:textId="77777777">
      <w:pPr>
        <w:jc w:val="both"/>
      </w:pPr>
    </w:p>
    <w:p w:rsidR="00983F19" w:rsidP="00750824" w:rsidRDefault="00000000" w14:paraId="4466FAC4" w14:textId="77777777">
      <w:pPr>
        <w:jc w:val="both"/>
      </w:pPr>
      <w:r>
        <w:t xml:space="preserve">Po pierwsze, </w:t>
      </w:r>
      <w:r>
        <w:rPr>
          <w:b/>
          <w:bCs/>
        </w:rPr>
        <w:t xml:space="preserve">asymetria informacyjna </w:t>
      </w:r>
      <w:r>
        <w:t xml:space="preserve">pozostaje podstawowym problemem. Platformy dysponują wszystkimi danymi, podczas gdy pracownicy są kierowani przez system, do którego nie mają </w:t>
      </w:r>
      <w:r>
        <w:t xml:space="preserve">wglądu</w:t>
      </w:r>
      <w:r>
        <w:t xml:space="preserve">. Bez dostępu do danych nie można ani rozpoznać naruszeń, ani negocjować w ich sprawie.</w:t>
      </w:r>
    </w:p>
    <w:p w:rsidR="00D90A18" w:rsidP="00750824" w:rsidRDefault="00D90A18" w14:paraId="3DAF099E" w14:textId="77777777">
      <w:pPr>
        <w:jc w:val="both"/>
      </w:pPr>
    </w:p>
    <w:p w:rsidR="00983F19" w:rsidP="00750824" w:rsidRDefault="00000000" w14:paraId="7F10D91F" w14:textId="77777777">
      <w:pPr>
        <w:jc w:val="both"/>
      </w:pPr>
      <w:r>
        <w:t xml:space="preserve">Po drugie, </w:t>
      </w:r>
      <w:r>
        <w:rPr>
          <w:b/>
          <w:bCs/>
        </w:rPr>
        <w:t xml:space="preserve">przejrzystość bez sankcji jest nieskuteczna</w:t>
      </w:r>
      <w:r>
        <w:t xml:space="preserve">. Doświadczenia hiszpańskie jednoznacznie to potwierdzają: prawny wymóg ujawnienia parametrów algorytmicznych bez przewidzianych konsekwencji za naruszenie pozwala platformom po prostu zignorować ten wymóg.</w:t>
      </w:r>
    </w:p>
    <w:p w:rsidR="00D90A18" w:rsidP="00750824" w:rsidRDefault="00D90A18" w14:paraId="44667B97" w14:textId="77777777">
      <w:pPr>
        <w:jc w:val="both"/>
      </w:pPr>
    </w:p>
    <w:p w:rsidR="00983F19" w:rsidP="00750824" w:rsidRDefault="00000000" w14:paraId="2AA0171D" w14:textId="2E4F4808">
      <w:pPr>
        <w:jc w:val="both"/>
      </w:pPr>
      <w:r>
        <w:t xml:space="preserve">Po trzecie, </w:t>
      </w:r>
      <w:r>
        <w:rPr>
          <w:b/>
          <w:bCs/>
        </w:rPr>
        <w:t xml:space="preserve">zarządzanie algorytmiczne wykracza poza </w:t>
      </w:r>
      <w:r>
        <w:rPr>
          <w:b/>
          <w:bCs/>
        </w:rPr>
        <w:t xml:space="preserve">pracę </w:t>
      </w:r>
      <w:r>
        <w:rPr>
          <w:b/>
          <w:bCs/>
        </w:rPr>
        <w:t xml:space="preserve">na platformach</w:t>
      </w:r>
      <w:r>
        <w:t xml:space="preserve">. Jak podkreślono w austriackim artykule, praktyki cyfrowego </w:t>
      </w:r>
      <w:r>
        <w:t xml:space="preserve">tayloryzmu </w:t>
      </w:r>
      <w:r>
        <w:t xml:space="preserve">szybko rozprzestrzeniają </w:t>
      </w:r>
      <w:r>
        <w:t xml:space="preserve">się </w:t>
      </w:r>
      <w:r>
        <w:t xml:space="preserve">w klasycznych środowiskach pracy </w:t>
      </w:r>
      <w:r w:rsidR="00D7386B">
        <w:t xml:space="preserve">– </w:t>
      </w:r>
      <w:r>
        <w:t xml:space="preserve">logistyce, handlu detalicznym, gastronomii, służbie zdrowia. Regulacje ograniczone wyłącznie do platform staną się przestarzałe już za kilka lat.</w:t>
      </w:r>
    </w:p>
    <w:p w:rsidR="00983F19" w:rsidP="00750824" w:rsidRDefault="00000000" w14:paraId="5AA38368" w14:textId="77777777">
      <w:pPr>
        <w:pStyle w:val="Naslov2"/>
        <w:jc w:val="both"/>
      </w:pPr>
      <w:bookmarkStart w:name="_Toc233699491" w:id="36"/>
      <w:bookmarkStart w:name="priporočila-1" w:id="37"/>
      <w:bookmarkEnd w:id="32"/>
      <w:bookmarkEnd w:id="35"/>
      <w:r>
        <w:t xml:space="preserve">4.3 Zalecenia</w:t>
      </w:r>
      <w:bookmarkEnd w:id="36"/>
    </w:p>
    <w:p w:rsidR="00983F19" w:rsidP="00750824" w:rsidRDefault="00000000" w14:paraId="4DF51EBF" w14:textId="77777777">
      <w:pPr>
        <w:jc w:val="both"/>
      </w:pPr>
      <w:r>
        <w:t xml:space="preserve">Na podstawie analizy wymogów dyrektywy, doświadczeń praktycznych oraz dyskusji grupy ekspertów Komisji Europejskiej formułujemy następujące zalecenia dla państw członkowskich dotyczące transpozycji rozdziału III dyrektywy do prawa krajowego.</w:t>
      </w:r>
    </w:p>
    <w:p w:rsidR="00D90A18" w:rsidP="00750824" w:rsidRDefault="00D90A18" w14:paraId="4FA969CA" w14:textId="77777777">
      <w:pPr>
        <w:jc w:val="both"/>
      </w:pPr>
    </w:p>
    <w:p w:rsidR="00D90A18" w:rsidP="00750824" w:rsidRDefault="00000000" w14:paraId="3CB79453" w14:textId="29A95505">
      <w:pPr>
        <w:pStyle w:val="Naslov3"/>
        <w:jc w:val="both"/>
      </w:pPr>
      <w:r>
        <w:t xml:space="preserve">Zalecenie 4.1 [WYKRACZA POZA MINIMUM]: Automatyczna nieważność niewyjaśnionych decyzji algorytmicznych</w:t>
      </w:r>
    </w:p>
    <w:p w:rsidR="00983F19" w:rsidP="00750824" w:rsidRDefault="00000000" w14:paraId="69C20213" w14:textId="6F319C59">
      <w:pPr>
        <w:jc w:val="both"/>
      </w:pPr>
      <w:r>
        <w:t xml:space="preserve">W celu zwiększenia przejrzystości proponujemy wprowadzenie mechanizmu, zgodnie z którym każda decyzja algorytmiczna (np. o zablokowaniu konta lub obniżeniu wynagrodzenia), której platforma nie jest w stanie wyjaśnić w zrozumiałym języku, staje się </w:t>
      </w:r>
      <w:r>
        <w:rPr>
          <w:b/>
          <w:bCs/>
        </w:rPr>
        <w:t xml:space="preserve">automatycznie nieważna</w:t>
      </w:r>
      <w:r>
        <w:t xml:space="preserve">. Podejście to, wzorowane na modelu duńskim, odwraca ciężar </w:t>
      </w:r>
      <w:r w:rsidR="00844626">
        <w:t xml:space="preserve">dowodowy</w:t>
      </w:r>
      <w:r>
        <w:t xml:space="preserve">: zamiast pracownika, który musi udowodnić nieprawidłowość, to platforma musi wykazać zrozumiałość i zgodność z prawem decyzji, w przeciwnym razie zostanie ona unieważniona.</w:t>
      </w:r>
    </w:p>
    <w:p w:rsidR="00D90A18" w:rsidP="00750824" w:rsidRDefault="00D90A18" w14:paraId="52D68F82" w14:textId="77777777">
      <w:pPr>
        <w:jc w:val="both"/>
      </w:pPr>
    </w:p>
    <w:p w:rsidR="00D90A18" w:rsidP="00750824" w:rsidRDefault="00000000" w14:paraId="0C4C4AB1" w14:textId="2610BF6C">
      <w:pPr>
        <w:pStyle w:val="Naslov3"/>
        <w:jc w:val="both"/>
      </w:pPr>
      <w:r>
        <w:t xml:space="preserve">Zalecenie 4.2 [WYKRACZA POZA MINIMUM]: Algorytmiczne </w:t>
      </w:r>
      <w:r>
        <w:t xml:space="preserve">współdecydowanie </w:t>
      </w:r>
      <w:r>
        <w:t xml:space="preserve">poprzez rady pracowników i związki zawodowe </w:t>
      </w:r>
      <w:r w:rsidR="00D7386B">
        <w:t xml:space="preserve">– </w:t>
      </w:r>
      <w:r>
        <w:t xml:space="preserve">wspólne komisje</w:t>
      </w:r>
    </w:p>
    <w:p w:rsidR="00D90A18" w:rsidP="00750824" w:rsidRDefault="00000000" w14:paraId="65DA2152" w14:textId="3D276E36">
      <w:pPr>
        <w:jc w:val="both"/>
      </w:pPr>
      <w:r>
        <w:t xml:space="preserve">Przejrzystość to tylko pierwszy krok</w:t>
      </w:r>
      <w:r w:rsidR="00844626">
        <w:t xml:space="preserve">, powiązanie </w:t>
      </w:r>
      <w:r>
        <w:t xml:space="preserve">z aktywnym współzarządzaniem </w:t>
      </w:r>
      <w:r w:rsidR="00C60A82">
        <w:t xml:space="preserve">musi być skuteczne</w:t>
      </w:r>
      <w:r>
        <w:t xml:space="preserve">. Zalecamy, aby państwa członkowskie rozszerzyły uprawnienia rad pracowniczych i przedstawicieli związków zawodowych tak, aby obejmowały one prawo do zgody (lub przynajmniej prawo do konsultacji o skutku zawieszającym) przed wprowadzeniem lub istotną zmianą parametrów algorytmicznych, które mają wpływ na wynagrodzenie, intensywność pracy lub przydzielanie zadań. Austriacka propozycja prawa weta w odniesieniu do parametrów algorytmicznych </w:t>
      </w:r>
      <w:r w:rsidR="00D7386B">
        <w:t xml:space="preserve">– </w:t>
      </w:r>
      <w:r>
        <w:t xml:space="preserve">analogicznie do istniejącego wymogu uzyskania zgody na wprowadzenie monitoringu wizyjnego </w:t>
      </w:r>
      <w:r w:rsidR="00D7386B">
        <w:t xml:space="preserve">– </w:t>
      </w:r>
      <w:r>
        <w:t xml:space="preserve">stanowi konkretny model przełożenia art. 13 dyrektywy na skuteczną praktykę współdecydowania.</w:t>
      </w:r>
    </w:p>
    <w:p w:rsidR="005418CA" w:rsidP="00750824" w:rsidRDefault="005418CA" w14:paraId="1500E6F4" w14:textId="77777777">
      <w:pPr>
        <w:jc w:val="both"/>
      </w:pPr>
    </w:p>
    <w:p w:rsidR="00D90A18" w:rsidP="00750824" w:rsidRDefault="00000000" w14:paraId="66376D91" w14:textId="57A86EEE">
      <w:pPr>
        <w:pStyle w:val="Naslov3"/>
        <w:jc w:val="both"/>
      </w:pPr>
      <w:r>
        <w:t xml:space="preserve">Zalecenie 4.3 [DYREKTYWA]: Klasyfikacja presji algorytmicznej jako ryzyka psychospołecznego</w:t>
      </w:r>
    </w:p>
    <w:p w:rsidR="00983F19" w:rsidP="00750824" w:rsidRDefault="00000000" w14:paraId="77732E56" w14:textId="24918187">
      <w:pPr>
        <w:jc w:val="both"/>
      </w:pPr>
      <w:r>
        <w:lastRenderedPageBreak/>
      </w:r>
      <w:r>
        <w:t xml:space="preserve">Artykuł 12 dyrektywy wyraźnie zakazuje stosowania algorytmów, które wywierają nieproporcjonalną presję na pracowników. Zalecamy, aby państwa członkowskie w krajowych przepisach dotyczących bezpieczeństwa i higieny pracy wyraźnie zdefiniowały presję algorytmiczną </w:t>
      </w:r>
      <w:r w:rsidR="00D7386B">
        <w:t xml:space="preserve">– </w:t>
      </w:r>
      <w:r>
        <w:t xml:space="preserve">w tym </w:t>
      </w:r>
      <w:r>
        <w:t xml:space="preserve">rankingi </w:t>
      </w:r>
      <w:r>
        <w:t xml:space="preserve">oparte na mechanizmach grywalizacji</w:t>
      </w:r>
      <w:r>
        <w:t xml:space="preserve">, liczniki czasu, stały nadzór cyfrowy oraz systemy uniemożliwiające niezbędne przerwy </w:t>
      </w:r>
      <w:r w:rsidR="00D7386B">
        <w:t xml:space="preserve">– </w:t>
      </w:r>
      <w:r>
        <w:t xml:space="preserve">jako </w:t>
      </w:r>
      <w:r w:rsidRPr="005418CA">
        <w:rPr>
          <w:b/>
          <w:bCs/>
        </w:rPr>
        <w:t xml:space="preserve">ryzyko psychospołeczne</w:t>
      </w:r>
      <w:r>
        <w:t xml:space="preserve">. Umożliwiłoby to inspektoratom pracy </w:t>
      </w:r>
      <w:r>
        <w:t xml:space="preserve">traktowanie</w:t>
      </w:r>
      <w:r w:rsidR="008A4BD4">
        <w:t xml:space="preserve"> toksycznego algorytmu </w:t>
      </w:r>
      <w:r>
        <w:t xml:space="preserve">z taką samą surowością, jak fizyczne zagrożenie w miejscu pracy, w tym nakładanie grzywien i wydawanie nakazów zaprzestania stosowania systemu. </w:t>
      </w:r>
      <w:r w:rsidR="008A4BD4">
        <w:t xml:space="preserve">Takie działanie algorytmu stanowi bowiem fizyczne zagrożenie w miejscu pracy. </w:t>
      </w:r>
    </w:p>
    <w:p w:rsidR="00D90A18" w:rsidP="00750824" w:rsidRDefault="00D90A18" w14:paraId="18C59135" w14:textId="77777777">
      <w:pPr>
        <w:jc w:val="both"/>
      </w:pPr>
    </w:p>
    <w:p w:rsidR="00D90A18" w:rsidP="00750824" w:rsidRDefault="00000000" w14:paraId="7F129147" w14:textId="41EDB068">
      <w:pPr>
        <w:pStyle w:val="Naslov3"/>
        <w:jc w:val="both"/>
      </w:pPr>
      <w:r>
        <w:t xml:space="preserve">Zalecenie 4.4 [WYKRACZA POZA MINIMUM]: Zbiorowy dostęp do danych dla związków zawodowych</w:t>
      </w:r>
    </w:p>
    <w:p w:rsidR="00D90A18" w:rsidP="00750824" w:rsidRDefault="00000000" w14:paraId="065C3E6B" w14:textId="77777777">
      <w:pPr>
        <w:jc w:val="both"/>
      </w:pPr>
      <w:r>
        <w:t xml:space="preserve">Indywidualne wnioski o dostęp do danych (zgodnie z art. 15 RODO) są nieskuteczne, ponieważ ujawniają jedynie fragment obrazu sytuacji i stanowią nadmierne obciążenie dla poszczególnych pracowników. Zalecamy, aby państwa członkowskie, przenosząc prawa wynikające z art. 9 i 15 dyrektywy, ustanowiły ustawowe prawo związków zawodowych do zbiorowego dostępu do zagregowanych danych dotyczących funkcjonowania systemów algorytmicznych. </w:t>
      </w:r>
    </w:p>
    <w:p w:rsidR="00D90A18" w:rsidP="00750824" w:rsidRDefault="00D90A18" w14:paraId="1BD33875" w14:textId="77777777">
      <w:pPr>
        <w:jc w:val="both"/>
      </w:pPr>
    </w:p>
    <w:p w:rsidR="00983F19" w:rsidP="00750824" w:rsidRDefault="00000000" w14:paraId="1129B314" w14:textId="2252D104">
      <w:pPr>
        <w:jc w:val="both"/>
      </w:pPr>
      <w:r>
        <w:t xml:space="preserve">Finansowanie niezależnych ekspertów, którzy pomagają związkom zawodowym w analizie tych danych, powinno być zapewnione z krajowego funduszu na rzecz niezależnej weryfikacji algorytmów (zob. zalecenie 6.1). Umożliwiłoby to związkom zawodowym, poprzez agregację danych </w:t>
      </w:r>
      <w:r>
        <w:t xml:space="preserve">dotyczących tysięcy </w:t>
      </w:r>
      <w:r>
        <w:t xml:space="preserve">pracowników</w:t>
      </w:r>
      <w:r>
        <w:t xml:space="preserve">,</w:t>
      </w:r>
      <w:r>
        <w:t xml:space="preserve"> statystyczną rekonstrukcję logiki systemu oraz ujawnienie ukrytych wzorców dyskryminacji lub naruszeń w zakresie wynagrodzeń </w:t>
      </w:r>
      <w:r w:rsidR="00D7386B">
        <w:t xml:space="preserve">– </w:t>
      </w:r>
      <w:r>
        <w:t xml:space="preserve">podejście, które ETUC zaleca jako </w:t>
      </w:r>
      <w:r>
        <w:t xml:space="preserve">„inżynierię odwrotną szefa</w:t>
      </w:r>
      <w:r w:rsidR="008A4BD4">
        <w:t xml:space="preserve">”. </w:t>
      </w:r>
      <w:r>
        <w:t xml:space="preserve">Prawo do zbiorowego dostępu do danych powinno być wyraźnie oddzielone od </w:t>
      </w:r>
      <w:r w:rsidR="008A4BD4">
        <w:t xml:space="preserve">ochrony </w:t>
      </w:r>
      <w:r>
        <w:t xml:space="preserve">tajemnicy handlowej, którą platformy często nadużywają, aby uniemożliwić jakikolwiek wgląd.</w:t>
      </w:r>
    </w:p>
    <w:p w:rsidR="00D90A18" w:rsidP="00750824" w:rsidRDefault="00D90A18" w14:paraId="07C7C030" w14:textId="77777777">
      <w:pPr>
        <w:jc w:val="both"/>
      </w:pPr>
    </w:p>
    <w:p w:rsidR="00D90A18" w:rsidP="00750824" w:rsidRDefault="00000000" w14:paraId="76E6BE8C" w14:textId="72B2B8B6">
      <w:pPr>
        <w:pStyle w:val="Naslov3"/>
        <w:jc w:val="both"/>
      </w:pPr>
      <w:r>
        <w:t xml:space="preserve">Zalecenie 4.5 [WYKRACZA POZA MINIMUM]: Aktualizacja pojęcia </w:t>
      </w:r>
      <w:r w:rsidR="008A4BD4">
        <w:t xml:space="preserve">„miejsce pracy” </w:t>
      </w:r>
      <w:r>
        <w:t xml:space="preserve">na miarę ery cyfrowej</w:t>
      </w:r>
    </w:p>
    <w:p w:rsidR="00983F19" w:rsidP="00750824" w:rsidRDefault="00000000" w14:paraId="0D28EBDC" w14:textId="2C0E8FF1">
      <w:pPr>
        <w:jc w:val="both"/>
      </w:pPr>
      <w:r>
        <w:t xml:space="preserve">Aby skutecznie egzekwować prawa do informacji i konsultacji wynikające z art. 13 dyrektywy, państwa członkowskie muszą zapewnić, by krajowe ustawodawstwo uznawało cyfrową infrastrukturę platformy za miejsce pracy</w:t>
      </w:r>
      <w:r w:rsidR="008A4BD4">
        <w:t xml:space="preserve">.</w:t>
      </w:r>
      <w:r>
        <w:t xml:space="preserve"> Jeśli platforma pełni funkcje nadzoru i zarządzania za pośrednictwem aplikacji, ta infrastruktura cyfrowa musi być prawnie wystarczająca do utworzenia przedstawicielstwa pracowników. Bez tej aktualizacji platformy będą mogły nadal powoływać się na zdecentralizowany charakter pracy, aby odrzucać współzarządzanie przez pracowników </w:t>
      </w:r>
      <w:r w:rsidR="00D7386B">
        <w:t xml:space="preserve">– </w:t>
      </w:r>
      <w:r>
        <w:t xml:space="preserve">co stoi w bezpośredniej sprzeczności z celem dyrektywy.</w:t>
      </w:r>
    </w:p>
    <w:p w:rsidR="00D90A18" w:rsidP="00750824" w:rsidRDefault="00D90A18" w14:paraId="75ED1915" w14:textId="77777777">
      <w:pPr>
        <w:jc w:val="both"/>
      </w:pPr>
    </w:p>
    <w:p w:rsidR="00983F19" w:rsidP="00750824" w:rsidRDefault="00000000" w14:paraId="23E82361" w14:textId="77777777">
      <w:pPr>
        <w:jc w:val="both"/>
        <w:rPr>
          <w:i/>
          <w:iCs/>
        </w:rPr>
      </w:pPr>
      <w:r>
        <w:rPr>
          <w:i/>
          <w:iCs/>
        </w:rPr>
        <w:t xml:space="preserve">Źródła: Austriacki wkład SDDP </w:t>
      </w:r>
      <w:r>
        <w:rPr>
          <w:i/>
          <w:iCs/>
        </w:rPr>
        <w:t xml:space="preserve">„The </w:t>
      </w:r>
      <w:r>
        <w:rPr>
          <w:i/>
          <w:iCs/>
        </w:rPr>
        <w:t xml:space="preserve">Boss </w:t>
      </w:r>
      <w:r>
        <w:rPr>
          <w:i/>
          <w:iCs/>
        </w:rPr>
        <w:t xml:space="preserve">in </w:t>
      </w:r>
      <w:r>
        <w:rPr>
          <w:i/>
          <w:iCs/>
        </w:rPr>
        <w:t xml:space="preserve">the </w:t>
      </w:r>
      <w:r>
        <w:rPr>
          <w:i/>
          <w:iCs/>
        </w:rPr>
        <w:t xml:space="preserve">Machine” (2025); Raport grupy ekspertów ds. transpozycji dyrektywy (UE) 2024/2831 (styczeń 2026); Notatki z konferencji pośredniej SDDP, Lublana, maj 2025; Podręcznik ETUC dotyczący zarządzania algorytmicznego.</w:t>
      </w:r>
    </w:p>
    <w:p w:rsidR="005418CA" w:rsidP="00750824" w:rsidRDefault="005418CA" w14:paraId="1A14BA97" w14:textId="77777777">
      <w:pPr>
        <w:jc w:val="both"/>
      </w:pPr>
    </w:p>
    <w:p w:rsidR="00FC19E2" w:rsidP="00750824" w:rsidRDefault="00000000" w14:paraId="1BA217AF" w14:textId="4C1588BA">
      <w:pPr>
        <w:pStyle w:val="Naslov3"/>
        <w:jc w:val="both"/>
      </w:pPr>
      <w:r>
        <w:t xml:space="preserve">Zalecenie 4.6 [DYREKTYWA]: Wysokie standardy kontroli ludzkiej dla wszystkich PPPW, niezależnie od statusu zatrudnienia</w:t>
      </w:r>
    </w:p>
    <w:p w:rsidR="00FC19E2" w:rsidP="00750824" w:rsidRDefault="00615AD5" w14:paraId="34734714" w14:textId="373CCEC3">
      <w:pPr>
        <w:jc w:val="both"/>
      </w:pPr>
      <w:r>
        <w:t xml:space="preserve">Doświadczenia pokazują, że platformy zachęcają pracowników do przejścia na status samozatrudnienia, aby uniknąć surowszych wymogów dotyczących zarządzania algorytmicznego, które mają zastosowanie do pracowników </w:t>
      </w:r>
      <w:r w:rsidR="00615F18">
        <w:t xml:space="preserve">zatrudnionych na podstawie umowy o pracę (</w:t>
      </w:r>
      <w:r w:rsidR="00615F18">
        <w:lastRenderedPageBreak/>
      </w:r>
      <w:r w:rsidR="00615F18">
        <w:t xml:space="preserve"> )</w:t>
      </w:r>
      <w:r>
        <w:t xml:space="preserve">. Dyrektywa (art.</w:t>
      </w:r>
      <w:r>
        <w:t xml:space="preserve"> 7–11) zapewnia wszystkim PPPW wysokie standardy kontroli przez człowieka w odniesieniu do zautomatyzowanych decyzji, niezależnie od statusu zatrudnienia, w szczególności zakaz całkowitej automatyzacji decyzji o ograniczeniu lub zawieszeniu dostępu do platformy (art. 10 ust. 5) oraz prawo do merytorycznej weryfikacji przez wykwalifikowaną osobę (art. 11). Państwa członkowskie powinny przy transpozycji wyraźnie potwierdzić, że praw tych nie można warunkowo wyłączyć poprzez powołanie się na status osoby samozatrudnionej lub użytkownika biznesowego.</w:t>
      </w:r>
    </w:p>
    <w:p w:rsidR="00615AD5" w:rsidP="00750824" w:rsidRDefault="00615AD5" w14:paraId="06D40930" w14:textId="77777777">
      <w:pPr>
        <w:jc w:val="both"/>
      </w:pPr>
    </w:p>
    <w:p w:rsidR="00FC19E2" w:rsidP="00750824" w:rsidRDefault="00000000" w14:paraId="457A8E13" w14:textId="4590CF18">
      <w:pPr>
        <w:jc w:val="both"/>
      </w:pPr>
      <w:r>
        <w:t xml:space="preserve">W odniesieniu do użytkowników biznesowych, którzy w innym przypadku podlegają rozporządzeniu P2B (art. 11 ust. 5 dyrektywy</w:t>
      </w:r>
      <w:r w:rsidR="00615AD5">
        <w:t xml:space="preserve">), </w:t>
      </w:r>
      <w:r>
        <w:t xml:space="preserve">dyrektywa w art. 26 ust. 2 wyraźnie zezwala państwom członkowskim na zapewnienie wyższych standardów ochrony niż minimalne. Ministerstwa powinny rozważyć sensowne rozszerzenie wymogów dotyczących weryfikacji przez człowieka, które obecnie mają zastosowanie do PPPW, na wszystkie osoby fizyczne zależne ekonomicznie od platformy</w:t>
      </w:r>
      <w:r w:rsidR="00615AD5">
        <w:t xml:space="preserve">, </w:t>
      </w:r>
      <w:r>
        <w:t xml:space="preserve">niezależnie od formy umownej </w:t>
      </w:r>
      <w:r w:rsidR="00615AD5">
        <w:t xml:space="preserve">zatrudnienia</w:t>
      </w:r>
      <w:r>
        <w:t xml:space="preserve">.</w:t>
      </w:r>
    </w:p>
    <w:p w:rsidR="00615AD5" w:rsidP="00750824" w:rsidRDefault="00615AD5" w14:paraId="7ED492EB" w14:textId="77777777">
      <w:pPr>
        <w:jc w:val="both"/>
      </w:pPr>
    </w:p>
    <w:p w:rsidR="00FC19E2" w:rsidP="00750824" w:rsidRDefault="00000000" w14:paraId="09A95782" w14:textId="77777777">
      <w:pPr>
        <w:jc w:val="both"/>
      </w:pPr>
      <w:r>
        <w:rPr>
          <w:i/>
          <w:iCs/>
        </w:rPr>
        <w:t xml:space="preserve">Źródła: Dyrektywa (UE) 2024/2831, art. 10 ust. 5, art. 11, art. 26 ust. 2, art. 11 ust. 5 oraz rozporządzenie (UE) 2019/1150 (P2B); Raport grupy ekspertów (styczeń 2026 r.), s. 48–52.</w:t>
      </w:r>
    </w:p>
    <w:p w:rsidR="00750824" w:rsidRDefault="00750824" w14:paraId="2A5BAE56" w14:textId="77777777">
      <w:pPr>
        <w:rPr>
          <w:b/>
          <w:bCs/>
          <w:color w:val="1F3864"/>
          <w:sz w:val="36"/>
          <w:szCs w:val="36"/>
        </w:rPr>
      </w:pPr>
      <w:bookmarkStart w:name="poglavje-6-varstvo-podatkov-in-zasebnost" w:id="38"/>
      <w:bookmarkEnd w:id="27"/>
      <w:bookmarkEnd w:id="37"/>
      <w:r>
        <w:br w:type="page"/>
      </w:r>
    </w:p>
    <w:p w:rsidR="00983F19" w:rsidP="00750824" w:rsidRDefault="00000000" w14:paraId="408EB938" w14:textId="1552F3B2">
      <w:pPr>
        <w:pStyle w:val="Naslov1"/>
        <w:jc w:val="both"/>
      </w:pPr>
      <w:bookmarkStart w:name="_Toc233699492" w:id="39"/>
      <w:r>
        <w:lastRenderedPageBreak/>
      </w:r>
      <w:r>
        <w:t xml:space="preserve">Rozdział 5: Ochrona danych i prywatność</w:t>
      </w:r>
      <w:bookmarkEnd w:id="39"/>
    </w:p>
    <w:p w:rsidR="00983F19" w:rsidP="00750824" w:rsidRDefault="00000000" w14:paraId="3E646C84" w14:textId="67926478">
      <w:pPr>
        <w:jc w:val="both"/>
      </w:pPr>
      <w:r>
        <w:t xml:space="preserve">Zarządzanie algorytmiczne </w:t>
      </w:r>
      <w:r>
        <w:t xml:space="preserve">to</w:t>
      </w:r>
      <w:r>
        <w:t xml:space="preserve"> nie tylko technika organizacyjna</w:t>
      </w:r>
      <w:r w:rsidR="003F2469">
        <w:t xml:space="preserve">, </w:t>
      </w:r>
      <w:r>
        <w:t xml:space="preserve">ale system nadzoru działający poprzez </w:t>
      </w:r>
      <w:r w:rsidR="003F2469">
        <w:t xml:space="preserve">gromadzenie </w:t>
      </w:r>
      <w:r>
        <w:t xml:space="preserve">danych. Każde kliknięcie w aplikacji, każda sekunda opóźnienia, każde odrzucenie zamówienia jest rejestrowane i interpretowane przez platformę. Artykuły 7–11 dyrektywy regulują, co platforma może, a czego nie może robić z tymi danymi. Jest to jedna z najbardziej przełomowych części dyrektywy: tam, gdzie RODO ustanawia ogólne zasady, dyrektywa wprowadza surowsze i </w:t>
      </w:r>
      <w:r w:rsidR="003F2469">
        <w:t xml:space="preserve">bardziej szczegółowe </w:t>
      </w:r>
      <w:r>
        <w:t xml:space="preserve">zakazy, których nie da się obejść nawet za zgodą pracownika. Ochrona danych w </w:t>
      </w:r>
      <w:r>
        <w:t xml:space="preserve">pracy </w:t>
      </w:r>
      <w:r>
        <w:t xml:space="preserve">na platformach </w:t>
      </w:r>
      <w:r>
        <w:t xml:space="preserve">to</w:t>
      </w:r>
      <w:r>
        <w:t xml:space="preserve"> nie tylko kwestia prywatności</w:t>
      </w:r>
      <w:r w:rsidR="003F2469">
        <w:t xml:space="preserve">, </w:t>
      </w:r>
      <w:r>
        <w:t xml:space="preserve">ale warunek prowadzenia dialogu społecznego na równych prawach.</w:t>
      </w:r>
    </w:p>
    <w:p w:rsidR="00983F19" w:rsidP="00750824" w:rsidRDefault="00000000" w14:paraId="2DA3CF42" w14:textId="77777777">
      <w:pPr>
        <w:pStyle w:val="Naslov2"/>
        <w:jc w:val="both"/>
      </w:pPr>
      <w:bookmarkStart w:name="_Toc233699493" w:id="40"/>
      <w:bookmarkStart w:name="zahteve-direktive-2" w:id="41"/>
      <w:r>
        <w:t xml:space="preserve">5.1 Wymogi dyrektywy</w:t>
      </w:r>
      <w:bookmarkEnd w:id="40"/>
    </w:p>
    <w:p w:rsidR="00983F19" w:rsidP="00750824" w:rsidRDefault="00000000" w14:paraId="0052DF83" w14:textId="215473CC">
      <w:pPr>
        <w:jc w:val="both"/>
      </w:pPr>
      <w:r>
        <w:t xml:space="preserve">Artykuł 7 wprowadza bezwzględne zakazy przetwarzania danych osobowych za pomocą zautomatyzowanych systemów. Są to zakazy surowsze niż te zawarte w ogólnym rozporządzeniu o ochronie danych (RODO), </w:t>
      </w:r>
      <w:r w:rsidR="000B201C">
        <w:t xml:space="preserve">których </w:t>
      </w:r>
      <w:r>
        <w:t xml:space="preserve">nie może </w:t>
      </w:r>
      <w:r w:rsidR="000B201C">
        <w:t xml:space="preserve">unieważnić </w:t>
      </w:r>
      <w:r w:rsidR="000B201C">
        <w:t xml:space="preserve">nawet </w:t>
      </w:r>
      <w:r>
        <w:t xml:space="preserve">zgoda pracownika</w:t>
      </w:r>
      <w:r>
        <w:t xml:space="preserve">. W motywie 39 dyrektywa jasno wyjaśnia bowiem, że w przypadku </w:t>
      </w:r>
      <w:r>
        <w:t xml:space="preserve">pracy </w:t>
      </w:r>
      <w:r>
        <w:t xml:space="preserve">na platformach</w:t>
      </w:r>
      <w:r>
        <w:t xml:space="preserve"> zgoda </w:t>
      </w:r>
      <w:r>
        <w:t xml:space="preserve">nie może być dobrowolna: pracownik obawiający się konsekwencji nie może podjąć swobodnej decyzji. Platformy nie mogą zatem uzyskać ważnej zgody na zabronione przetwarzanie </w:t>
      </w:r>
      <w:r w:rsidR="000B201C">
        <w:t xml:space="preserve">danych</w:t>
      </w:r>
      <w:r>
        <w:t xml:space="preserve">.</w:t>
      </w:r>
      <w:r>
        <w:rPr>
          <w:rStyle w:val="Sprotnaopomba-sklic"/>
        </w:rPr>
        <w:footnoteReference w:id="4"/>
      </w:r>
    </w:p>
    <w:p w:rsidR="00D90A18" w:rsidP="00750824" w:rsidRDefault="00D90A18" w14:paraId="0655517A" w14:textId="77777777">
      <w:pPr>
        <w:jc w:val="both"/>
      </w:pPr>
    </w:p>
    <w:p w:rsidR="00983F19" w:rsidP="00750824" w:rsidRDefault="00000000" w14:paraId="1223613C" w14:textId="77777777">
      <w:pPr>
        <w:jc w:val="both"/>
      </w:pPr>
      <w:r>
        <w:t xml:space="preserve">Konkretne zakazy to:</w:t>
      </w:r>
    </w:p>
    <w:p w:rsidR="00983F19" w:rsidP="00750824" w:rsidRDefault="00000000" w14:paraId="7255E736" w14:textId="3FEB102F">
      <w:pPr>
        <w:numPr>
          <w:ilvl w:val="0"/>
          <w:numId w:val="4"/>
        </w:numPr>
        <w:jc w:val="both"/>
      </w:pPr>
      <w:r>
        <w:t xml:space="preserve">zakaz gromadzenia i przetwarzania danych dotyczących </w:t>
      </w:r>
      <w:r>
        <w:rPr>
          <w:b/>
          <w:bCs/>
        </w:rPr>
        <w:t xml:space="preserve">stanu emocjonalnego lub psychicznego </w:t>
      </w:r>
      <w:r>
        <w:t xml:space="preserve">pracownika (art. 7 ust. 1 lit. a</w:t>
      </w:r>
      <w:r w:rsidR="000B201C">
        <w:t xml:space="preserve">)),</w:t>
      </w:r>
    </w:p>
    <w:p w:rsidR="00983F19" w:rsidP="00750824" w:rsidRDefault="00000000" w14:paraId="64940747" w14:textId="37D8A1F5">
      <w:pPr>
        <w:numPr>
          <w:ilvl w:val="0"/>
          <w:numId w:val="4"/>
        </w:numPr>
        <w:jc w:val="both"/>
      </w:pPr>
      <w:r>
        <w:t xml:space="preserve">zakaz dostępu do </w:t>
      </w:r>
      <w:r>
        <w:rPr>
          <w:b/>
          <w:bCs/>
        </w:rPr>
        <w:t xml:space="preserve">prywatnych rozmów </w:t>
      </w:r>
      <w:r>
        <w:t xml:space="preserve">między pracownikami, w tym rozmów z przedstawicielami związków zawodowych (art. 7 ust. 1 lit. b</w:t>
      </w:r>
      <w:r w:rsidR="000B201C">
        <w:t xml:space="preserve">)),</w:t>
      </w:r>
    </w:p>
    <w:p w:rsidR="00983F19" w:rsidP="00750824" w:rsidRDefault="00000000" w14:paraId="1DE80C61" w14:textId="5E554F61">
      <w:pPr>
        <w:numPr>
          <w:ilvl w:val="0"/>
          <w:numId w:val="4"/>
        </w:numPr>
        <w:jc w:val="both"/>
      </w:pPr>
      <w:r>
        <w:t xml:space="preserve">zakaz gromadzenia danych dotyczących lokalizacji lub działalności pracownika, gdy </w:t>
      </w:r>
      <w:r>
        <w:rPr>
          <w:b/>
          <w:bCs/>
        </w:rPr>
        <w:t xml:space="preserve">nie jest</w:t>
      </w:r>
      <w:r>
        <w:t xml:space="preserve"> on </w:t>
      </w:r>
      <w:r>
        <w:rPr>
          <w:b/>
          <w:bCs/>
        </w:rPr>
        <w:t xml:space="preserve">zalogowany do aplikacji</w:t>
      </w:r>
      <w:r w:rsidR="000B201C">
        <w:t xml:space="preserve">, </w:t>
      </w:r>
      <w:r>
        <w:t xml:space="preserve">a więc </w:t>
      </w:r>
      <w:r w:rsidR="000B201C">
        <w:t xml:space="preserve">poza </w:t>
      </w:r>
      <w:r>
        <w:t xml:space="preserve">godzinami pracy (art. 7 ust. 1 lit. c</w:t>
      </w:r>
      <w:r w:rsidR="000B201C">
        <w:t xml:space="preserve">)),</w:t>
      </w:r>
    </w:p>
    <w:p w:rsidR="00983F19" w:rsidP="00750824" w:rsidRDefault="00000000" w14:paraId="6A2FBA0E" w14:textId="09D32A50">
      <w:pPr>
        <w:numPr>
          <w:ilvl w:val="0"/>
          <w:numId w:val="4"/>
        </w:numPr>
        <w:jc w:val="both"/>
      </w:pPr>
      <w:r>
        <w:t xml:space="preserve">zakaz przetwarzania danych w celu </w:t>
      </w:r>
      <w:r>
        <w:rPr>
          <w:b/>
          <w:bCs/>
        </w:rPr>
        <w:t xml:space="preserve">przewidywania korzystania </w:t>
      </w:r>
      <w:r>
        <w:t xml:space="preserve">z</w:t>
      </w:r>
      <w:r>
        <w:rPr>
          <w:b/>
          <w:bCs/>
        </w:rPr>
        <w:t xml:space="preserve"> podstawowych praw</w:t>
      </w:r>
      <w:r>
        <w:t xml:space="preserve">, w tym prawa do strajku lub zrzeszania się w związkach zawodowych (art. 7 ust. 1 lit. d</w:t>
      </w:r>
      <w:r w:rsidR="000B201C">
        <w:t xml:space="preserve">)),</w:t>
      </w:r>
    </w:p>
    <w:p w:rsidR="00983F19" w:rsidP="00750824" w:rsidRDefault="00000000" w14:paraId="44019C9A" w14:textId="0D84E0BE">
      <w:pPr>
        <w:numPr>
          <w:ilvl w:val="0"/>
          <w:numId w:val="4"/>
        </w:numPr>
        <w:jc w:val="both"/>
      </w:pPr>
      <w:r>
        <w:t xml:space="preserve">zakaz </w:t>
      </w:r>
      <w:r>
        <w:rPr>
          <w:b/>
          <w:bCs/>
        </w:rPr>
        <w:t xml:space="preserve">wyciągania wniosków dotyczących szczególnych kategorii danych </w:t>
      </w:r>
      <w:r w:rsidR="00D7386B">
        <w:t xml:space="preserve">– </w:t>
      </w:r>
      <w:r>
        <w:t xml:space="preserve">pochodzenia rasowego, stanu zdrowia, przynależności do związków zawodowych, orientacji seksualnej </w:t>
      </w:r>
      <w:r w:rsidR="00D7386B">
        <w:t xml:space="preserve">– </w:t>
      </w:r>
      <w:r>
        <w:t xml:space="preserve">na podstawie innych danych (art. 7 ust. 1 lit. e</w:t>
      </w:r>
      <w:r w:rsidR="000B201C">
        <w:t xml:space="preserve">)),</w:t>
      </w:r>
    </w:p>
    <w:p w:rsidR="00983F19" w:rsidP="00750824" w:rsidRDefault="00000000" w14:paraId="0CE1A0E8" w14:textId="77777777">
      <w:pPr>
        <w:numPr>
          <w:ilvl w:val="0"/>
          <w:numId w:val="4"/>
        </w:numPr>
        <w:jc w:val="both"/>
      </w:pPr>
      <w:r>
        <w:rPr>
          <w:b/>
          <w:bCs/>
        </w:rPr>
        <w:t xml:space="preserve">zakaz identyfikacji biometrycznej</w:t>
      </w:r>
      <w:r>
        <w:t xml:space="preserve">; weryfikacja biometryczna (porównanie z własnymi zapisanymi danymi biometrycznymi) jest nadal dozwolona (art. 7 ust. 1 lit. f)).</w:t>
      </w:r>
    </w:p>
    <w:p w:rsidR="00D90A18" w:rsidP="00750824" w:rsidRDefault="00D90A18" w14:paraId="46E69968" w14:textId="77777777">
      <w:pPr>
        <w:ind w:start="720"/>
        <w:jc w:val="both"/>
      </w:pPr>
    </w:p>
    <w:p w:rsidR="00983F19" w:rsidP="00750824" w:rsidRDefault="00000000" w14:paraId="1797FC4E" w14:textId="6B70A642">
      <w:pPr>
        <w:jc w:val="both"/>
      </w:pPr>
      <w:r>
        <w:t xml:space="preserve">Artykuł 7 ust. 2 rozszerza zakazy już na proces rekrutacji</w:t>
      </w:r>
      <w:r w:rsidR="000B201C">
        <w:t xml:space="preserve">, </w:t>
      </w:r>
      <w:r>
        <w:t xml:space="preserve">a więc jeszcze zanim dana osoba stanie się pracownikiem. Artykuł 7 ust. 3 rozszerza natomiast zakres przedmiotowy: zakazy mają zastosowanie nie tylko do systemów AMDMS (zdefiniowanych w dyrektywie), ale do wszystkich zautomatyzowanych systemów, które w jakikolwiek sposób wpływają na pracowników.</w:t>
      </w:r>
    </w:p>
    <w:p w:rsidR="00D90A18" w:rsidP="00750824" w:rsidRDefault="00D90A18" w14:paraId="3CB707CA" w14:textId="77777777">
      <w:pPr>
        <w:jc w:val="both"/>
      </w:pPr>
    </w:p>
    <w:p w:rsidR="00983F19" w:rsidP="00750824" w:rsidRDefault="00000000" w14:paraId="54B2A6D9" w14:textId="16ADBD5B">
      <w:pPr>
        <w:jc w:val="both"/>
      </w:pPr>
      <w:r>
        <w:t xml:space="preserve">Artykuł 8 wprowadza obowiązkową ocenę skutków dla ochrony danych (</w:t>
      </w:r>
      <w:r w:rsidR="000B201C">
        <w:t xml:space="preserve">„</w:t>
      </w:r>
      <w:r>
        <w:t xml:space="preserve">Data </w:t>
      </w:r>
      <w:r>
        <w:t xml:space="preserve">Protection </w:t>
      </w:r>
      <w:r>
        <w:t xml:space="preserve">Impact </w:t>
      </w:r>
      <w:r>
        <w:t xml:space="preserve">Assessment </w:t>
      </w:r>
      <w:r w:rsidR="000B201C">
        <w:t xml:space="preserve">(</w:t>
      </w:r>
      <w:r>
        <w:t xml:space="preserve">DPIA</w:t>
      </w:r>
      <w:r w:rsidR="000B201C">
        <w:t xml:space="preserve">)”</w:t>
      </w:r>
      <w:r>
        <w:t xml:space="preserve">) dla każdego przetwarzania danych za pośrednictwem AMDMS. Jest to surowsze niż w przypadku RODO, które wymaga przeprowadzenia DPIA tylko wtedy, gdy przetwarzanie </w:t>
      </w:r>
      <w:r>
        <w:t xml:space="preserve">„prawdopodobnie wiąże się z wysokim ryzykiem</w:t>
      </w:r>
      <w:r w:rsidR="000B201C">
        <w:t xml:space="preserve">”. </w:t>
      </w:r>
      <w:r>
        <w:t xml:space="preserve">Dyrektywa </w:t>
      </w:r>
      <w:r w:rsidR="00016B3D">
        <w:t xml:space="preserve">zakłada </w:t>
      </w:r>
      <w:r>
        <w:t xml:space="preserve">bezwarunkowo </w:t>
      </w:r>
      <w:r w:rsidR="00016B3D">
        <w:t xml:space="preserve">istnienie</w:t>
      </w:r>
      <w:r>
        <w:t xml:space="preserve"> takiego ryzyka dla wszystkich systemów AMDMS w </w:t>
      </w:r>
      <w:r>
        <w:t xml:space="preserve">części </w:t>
      </w:r>
      <w:r>
        <w:t xml:space="preserve">platformowej</w:t>
      </w:r>
      <w:r>
        <w:t xml:space="preserve">.</w:t>
      </w:r>
      <w:r>
        <w:lastRenderedPageBreak/>
      </w:r>
      <w:r>
        <w:t xml:space="preserve"> Podczas przeprowadzania oceny platforma musi zasięgnąć opinii pracowników i ich przedstawicieli</w:t>
      </w:r>
      <w:r w:rsidR="000B201C">
        <w:t xml:space="preserve">, a </w:t>
      </w:r>
      <w:r>
        <w:t xml:space="preserve">ostateczna wersja DPIA jest przekazywana przedstawicielom pracowników.</w:t>
      </w:r>
      <w:r>
        <w:rPr>
          <w:rStyle w:val="Sprotnaopomba-sklic"/>
        </w:rPr>
        <w:footnoteReference w:id="5"/>
      </w:r>
    </w:p>
    <w:p w:rsidR="000B201C" w:rsidP="00750824" w:rsidRDefault="000B201C" w14:paraId="1D4292FF" w14:textId="77777777">
      <w:pPr>
        <w:jc w:val="both"/>
      </w:pPr>
    </w:p>
    <w:p w:rsidR="00983F19" w:rsidP="00750824" w:rsidRDefault="00000000" w14:paraId="64B7C432" w14:textId="19EE4701">
      <w:pPr>
        <w:jc w:val="both"/>
      </w:pPr>
      <w:r>
        <w:t xml:space="preserve">Artykuł 9 reguluje kwestię przejrzystości algorytmów. Platforma musi proaktywnie, bez konieczności składania wniosku, zapewnić pracownikom i ich przedstawicielom informacje na temat każdego systemu monitorowania i podejmowania decyzji: jakie dane gromadzi, jak działa, jakie są kluczowe parametry i jak wpływają one na decyzje, na jakiej podstawie możliwe jest ograniczenie lub zamknięcie konta. </w:t>
      </w:r>
      <w:r w:rsidR="00DF6109">
        <w:t xml:space="preserve">Dyrektywa wymaga jasności i dostępności, dlatego </w:t>
      </w:r>
      <w:r>
        <w:t xml:space="preserve">informacje </w:t>
      </w:r>
      <w:r w:rsidR="00DF6109">
        <w:t xml:space="preserve">te muszą być </w:t>
      </w:r>
      <w:r w:rsidR="00DF6109">
        <w:t xml:space="preserve">przekazywane </w:t>
      </w:r>
      <w:r>
        <w:t xml:space="preserve">w języku zrozumiałym dla pracowników</w:t>
      </w:r>
      <w:r w:rsidR="00016B3D">
        <w:t xml:space="preserve">.</w:t>
      </w:r>
      <w:r>
        <w:t xml:space="preserve"> Artykuł 9 ust. 6 wprowadza prawo do przenoszenia danych (</w:t>
      </w:r>
      <w:r>
        <w:t xml:space="preserve">„data </w:t>
      </w:r>
      <w:r w:rsidR="00DF6109">
        <w:t xml:space="preserve">portability”</w:t>
      </w:r>
      <w:r>
        <w:t xml:space="preserve">): pracownik ma prawo </w:t>
      </w:r>
      <w:r>
        <w:t xml:space="preserve">uzyskać wszystkie dane powstałe w trakcie wykonywania pracy </w:t>
      </w:r>
      <w:r w:rsidR="00D7386B">
        <w:t xml:space="preserve">– </w:t>
      </w:r>
      <w:r>
        <w:t xml:space="preserve">w tym oceny i opinie </w:t>
      </w:r>
      <w:r w:rsidR="00D7386B">
        <w:t xml:space="preserve">– </w:t>
      </w:r>
      <w:r>
        <w:t xml:space="preserve">w formie nadającej się do odczytu maszynowego oraz przenieść je w inne miejsce</w:t>
      </w:r>
      <w:r w:rsidR="00DF6109">
        <w:t xml:space="preserve">.</w:t>
      </w:r>
    </w:p>
    <w:p w:rsidR="00D90A18" w:rsidP="00750824" w:rsidRDefault="00D90A18" w14:paraId="78EEAB8B" w14:textId="77777777">
      <w:pPr>
        <w:jc w:val="both"/>
      </w:pPr>
    </w:p>
    <w:p w:rsidR="00983F19" w:rsidP="00750824" w:rsidRDefault="00000000" w14:paraId="7737FD96" w14:textId="7F3714C6">
      <w:pPr>
        <w:jc w:val="both"/>
      </w:pPr>
      <w:r>
        <w:t xml:space="preserve">Artykuł 10 ustanawia ramy dla stałego nadzoru ludzkiego nad zautomatyzowanymi decyzjami. Platforma musi nieprzerwanie </w:t>
      </w:r>
      <w:r w:rsidR="00D7386B">
        <w:t xml:space="preserve">– </w:t>
      </w:r>
      <w:r>
        <w:t xml:space="preserve">a nie tylko okresowo </w:t>
      </w:r>
      <w:r w:rsidR="00D7386B">
        <w:t xml:space="preserve">– </w:t>
      </w:r>
      <w:r>
        <w:t xml:space="preserve">monitorować wpływ poszczególnych decyzji podejmowanych przez systemy automatycznego podejmowania decyzji (AMDMS) na pracowników. Co dwa lata musi przeprowadzić formalną ocenę. Osoby sprawujące nadzór na platformie muszą posiadać odpowiednie kwalifikacje, uprawnienia oraz </w:t>
      </w:r>
      <w:r w:rsidR="00DF6109">
        <w:t xml:space="preserve">kompetencje </w:t>
      </w:r>
      <w:r>
        <w:t xml:space="preserve">do unieważnienia zautomatyzowanej decyzji. Kluczowym przepisem </w:t>
      </w:r>
      <w:r w:rsidR="00016B3D">
        <w:t xml:space="preserve">jest </w:t>
      </w:r>
      <w:r w:rsidR="00DF6109">
        <w:t xml:space="preserve">to, że platforma </w:t>
      </w:r>
      <w:r>
        <w:t xml:space="preserve">nie może zwolnić ani nałożyć sankcji na te osoby z powodu pełnienia funkcji nadzorczej (art. 10 ust. 2). Każda decyzja o ograniczeniu, zawieszeniu lub zamknięciu konta musi być podjęta przez człowieka</w:t>
      </w:r>
      <w:r w:rsidR="00DF6109">
        <w:t xml:space="preserve">, </w:t>
      </w:r>
      <w:r>
        <w:t xml:space="preserve">a nie </w:t>
      </w:r>
      <w:r w:rsidR="00DF6109">
        <w:t xml:space="preserve">przez algorytm </w:t>
      </w:r>
      <w:r>
        <w:t xml:space="preserve">(art. 10 ust. 5).</w:t>
      </w:r>
    </w:p>
    <w:p w:rsidR="00D90A18" w:rsidP="00750824" w:rsidRDefault="00D90A18" w14:paraId="3A085AB4" w14:textId="77777777">
      <w:pPr>
        <w:jc w:val="both"/>
      </w:pPr>
    </w:p>
    <w:p w:rsidR="00983F19" w:rsidP="00750824" w:rsidRDefault="00000000" w14:paraId="6D8C84ED" w14:textId="0FC24A03">
      <w:pPr>
        <w:jc w:val="both"/>
      </w:pPr>
      <w:r>
        <w:t xml:space="preserve">Artykuł 11 reguluje prawo do ludzkiej weryfikacji poszczególnych zautomatyzowanych decyzji. Pracownik ma prawo do wyjaśnienia każdej decyzji podjętej lub popartej przez system ADMS. W przypadku poważniejszych decyzji </w:t>
      </w:r>
      <w:r w:rsidR="00D7386B">
        <w:t xml:space="preserve">– </w:t>
      </w:r>
      <w:r>
        <w:t xml:space="preserve">ograniczenia konta, odmowy wypłaty, rozwiązania stosunku umownego </w:t>
      </w:r>
      <w:r w:rsidR="00D7386B">
        <w:t xml:space="preserve">– </w:t>
      </w:r>
      <w:r>
        <w:t xml:space="preserve">platforma ma obowiązek, bez konieczności składania wniosku i najpóźniej w dniu</w:t>
      </w:r>
      <w:r w:rsidR="00DF6109">
        <w:t xml:space="preserve">, w którym </w:t>
      </w:r>
      <w:r w:rsidR="00DF6109">
        <w:t xml:space="preserve">decyzja zaczyna obowiązywać, </w:t>
      </w:r>
      <w:r>
        <w:t xml:space="preserve">przedstawić pisemne uzasadnienie </w:t>
      </w:r>
      <w:r w:rsidR="00DF6109">
        <w:t xml:space="preserve">decyzji</w:t>
      </w:r>
      <w:r>
        <w:t xml:space="preserve">. Pracownik ma wówczas prawo zażądać weryfikacji</w:t>
      </w:r>
      <w:r w:rsidR="00DF6109">
        <w:t xml:space="preserve">, </w:t>
      </w:r>
      <w:r w:rsidR="00DF6109">
        <w:t xml:space="preserve">a</w:t>
      </w:r>
      <w:r>
        <w:t xml:space="preserve"> platforma </w:t>
      </w:r>
      <w:r>
        <w:t xml:space="preserve">musi w ciągu dwóch tygodni udzielić merytorycznie uzasadnionej odpowiedzi na piśmie. Jeżeli decyzja narusza prawa pracownika, platforma musi ją skorygować w ciągu dwóch tygodni lub</w:t>
      </w:r>
      <w:r w:rsidR="005B4341">
        <w:t xml:space="preserve">, </w:t>
      </w:r>
      <w:r>
        <w:t xml:space="preserve">jeśli nie jest to możliwe</w:t>
      </w:r>
      <w:r w:rsidR="005B4341">
        <w:t xml:space="preserve">, </w:t>
      </w:r>
      <w:r>
        <w:t xml:space="preserve">wypłacić odszkodowanie.</w:t>
      </w:r>
    </w:p>
    <w:p w:rsidR="00983F19" w:rsidP="00750824" w:rsidRDefault="00000000" w14:paraId="42D47A9F" w14:textId="77777777">
      <w:pPr>
        <w:pStyle w:val="Naslov2"/>
        <w:jc w:val="both"/>
      </w:pPr>
      <w:bookmarkStart w:name="_Toc233699494" w:id="42"/>
      <w:bookmarkStart w:name="ugotovitve-iz-prakse-2" w:id="43"/>
      <w:bookmarkEnd w:id="41"/>
      <w:r>
        <w:t xml:space="preserve">5.2 Wnioski wynikające z praktyki</w:t>
      </w:r>
      <w:bookmarkEnd w:id="42"/>
    </w:p>
    <w:p w:rsidR="00983F19" w:rsidP="00750824" w:rsidRDefault="00000000" w14:paraId="6C710FC8" w14:textId="2F7F05D7">
      <w:pPr>
        <w:jc w:val="both"/>
      </w:pPr>
      <w:r>
        <w:t xml:space="preserve">Doświadczenia austriackie wskazują na główny punkt sporny, który dyrektywa stara się rozwiązać: austriacki układ zbiorowy dla dostawców (</w:t>
      </w:r>
      <w:r w:rsidR="005B4341">
        <w:t xml:space="preserve">pierwotnie zawarty w 2020 r., </w:t>
      </w:r>
      <w:r>
        <w:t xml:space="preserve">przedłużony na lata 2023–2025) z powodzeniem uregulował </w:t>
      </w:r>
      <w:r w:rsidR="005B4341">
        <w:t xml:space="preserve">kwestie </w:t>
      </w:r>
      <w:r>
        <w:t xml:space="preserve">wynagrodzeń, </w:t>
      </w:r>
      <w:r w:rsidR="005B4341">
        <w:t xml:space="preserve">czasu</w:t>
      </w:r>
      <w:r w:rsidR="005B4341">
        <w:t xml:space="preserve"> pracy </w:t>
      </w:r>
      <w:r>
        <w:t xml:space="preserve">i </w:t>
      </w:r>
      <w:r w:rsidR="005B4341">
        <w:t xml:space="preserve">bezpieczeństwa</w:t>
      </w:r>
      <w:r>
        <w:t xml:space="preserve">, ale nie poruszył tematu zarządzania algorytmicznego. </w:t>
      </w:r>
      <w:r w:rsidR="005B4341">
        <w:t xml:space="preserve">Platformy zdają sobie sprawę</w:t>
      </w:r>
      <w:r>
        <w:t xml:space="preserve">, że kontrola algorytmiczna jest ich </w:t>
      </w:r>
      <w:r w:rsidR="005B4341">
        <w:t xml:space="preserve">najważniejszym </w:t>
      </w:r>
      <w:r>
        <w:t xml:space="preserve">narzędziem władzy </w:t>
      </w:r>
      <w:r w:rsidR="00D7386B">
        <w:t xml:space="preserve">– </w:t>
      </w:r>
      <w:r>
        <w:t xml:space="preserve">i właśnie </w:t>
      </w:r>
      <w:r w:rsidR="005B4341">
        <w:t xml:space="preserve">w </w:t>
      </w:r>
      <w:r>
        <w:t xml:space="preserve">tej kwestii </w:t>
      </w:r>
      <w:r>
        <w:t xml:space="preserve">nie są gotowe do negocjacji. Pojęcie </w:t>
      </w:r>
      <w:r>
        <w:t xml:space="preserve">„</w:t>
      </w:r>
      <w:r>
        <w:t xml:space="preserve">cyfrowego </w:t>
      </w:r>
      <w:r w:rsidR="005B4341">
        <w:t xml:space="preserve">taylorizmu” </w:t>
      </w:r>
      <w:r>
        <w:t xml:space="preserve">opisuje, w jaki sposób systemy, takie jak ocena doskonałości w </w:t>
      </w:r>
      <w:r>
        <w:t xml:space="preserve">Foodorze</w:t>
      </w:r>
      <w:r>
        <w:t xml:space="preserve">, </w:t>
      </w:r>
      <w:r>
        <w:t xml:space="preserve">dzielą</w:t>
      </w:r>
      <w:r w:rsidR="005B4341">
        <w:t xml:space="preserve"> pracę </w:t>
      </w:r>
      <w:r>
        <w:t xml:space="preserve">na mierzalne jednostki i na podstawie tych danych uruchamiają automatyczne zwolnienia (tzw. </w:t>
      </w:r>
      <w:r w:rsidR="005B4341">
        <w:t xml:space="preserve">„robo-firing”</w:t>
      </w:r>
      <w:r>
        <w:t xml:space="preserve">).</w:t>
      </w:r>
    </w:p>
    <w:p w:rsidR="00D90A18" w:rsidP="00750824" w:rsidRDefault="00D90A18" w14:paraId="48776CAF" w14:textId="77777777">
      <w:pPr>
        <w:jc w:val="both"/>
      </w:pPr>
    </w:p>
    <w:p w:rsidR="00983F19" w:rsidP="00750824" w:rsidRDefault="00000000" w14:paraId="28914753" w14:textId="080C5C8B">
      <w:pPr>
        <w:jc w:val="both"/>
      </w:pPr>
      <w:r>
        <w:t xml:space="preserve">Raport grupy ekspertów KE dokumentuje kluczowy problem podwójnej kompetencji</w:t>
      </w:r>
      <w:r w:rsidR="005B4341">
        <w:t xml:space="preserve">: </w:t>
      </w:r>
      <w:r>
        <w:t xml:space="preserve">ochrona danych w </w:t>
      </w:r>
      <w:r>
        <w:t xml:space="preserve">pracy </w:t>
      </w:r>
      <w:r>
        <w:t xml:space="preserve">platformowej </w:t>
      </w:r>
      <w:r>
        <w:t xml:space="preserve">leży zarówno w kompetencji organów ochrony danych (DPA), jak i inspektoratów pracy, a te dwie instytucje z reguły nie </w:t>
      </w:r>
      <w:r>
        <w:t xml:space="preserve">współpracują ze sobą</w:t>
      </w:r>
      <w:r>
        <w:lastRenderedPageBreak/>
      </w:r>
      <w:r>
        <w:t xml:space="preserve"> . W praktyce oznacza to, że pracownik, którego lokalizacja jest rejestrowana przez platformę poza godzinami pracy, nie wie, czy powinien złożyć skargę do inspektora ochrony danych, czy do inspektoratu pracy</w:t>
      </w:r>
      <w:r w:rsidR="005B4341">
        <w:t xml:space="preserve">, </w:t>
      </w:r>
      <w:r w:rsidR="005B4341">
        <w:t xml:space="preserve">a </w:t>
      </w:r>
      <w:r w:rsidR="005B4341">
        <w:t xml:space="preserve">oba </w:t>
      </w:r>
      <w:r>
        <w:t xml:space="preserve">organy </w:t>
      </w:r>
      <w:r>
        <w:t xml:space="preserve">prawdopodobnie będą skłonne uznać, że kompetencje w tej sprawie leżą po stronie drugiego z nich.</w:t>
      </w:r>
    </w:p>
    <w:p w:rsidR="00D90A18" w:rsidP="00750824" w:rsidRDefault="00D90A18" w14:paraId="6869F525" w14:textId="77777777">
      <w:pPr>
        <w:jc w:val="both"/>
      </w:pPr>
    </w:p>
    <w:p w:rsidR="00983F19" w:rsidP="00750824" w:rsidRDefault="00000000" w14:paraId="43EE7CE9" w14:textId="5D46ECC7">
      <w:pPr>
        <w:jc w:val="both"/>
      </w:pPr>
      <w:r>
        <w:t xml:space="preserve">ZSSS w swoich wytycznych dotyczących wdrożenia dyrektywy (kwiecień 2025 r.) zaproponowała, aby Inspektor Ochrony Danych Republiki Słowenii został włączony w proces wdrażania każdego zautomatyzowanego systemu w miejscu pracy </w:t>
      </w:r>
      <w:r w:rsidR="00D7386B">
        <w:t xml:space="preserve">– </w:t>
      </w:r>
      <w:r>
        <w:t xml:space="preserve">nie tylko jako organ podejmujący działania po naruszeniu, ale jako partner prewencyjny partnerów społecznych. Jest to dobra praktyka, którą należałoby rozszerzyć na wszystkie państwa członkowskie: organ ochrony danych jako strukturalny uczestnik dialogu społecznego na temat zarządzania algorytmicznego, a nie tylko reaktywny organ nadzorczy.</w:t>
      </w:r>
    </w:p>
    <w:p w:rsidR="00D90A18" w:rsidP="00750824" w:rsidRDefault="00D90A18" w14:paraId="2F3AC2C6" w14:textId="77777777">
      <w:pPr>
        <w:jc w:val="both"/>
      </w:pPr>
    </w:p>
    <w:p w:rsidR="00983F19" w:rsidP="00750824" w:rsidRDefault="00000000" w14:paraId="7C4EEE62" w14:textId="1CC77400">
      <w:pPr>
        <w:jc w:val="both"/>
      </w:pPr>
      <w:r>
        <w:t xml:space="preserve">Podczas konferencji projektu SDDP w Lublanie w maju 2025 r. przedstawiciele wszystkich krajów partnerskich potwierdzili wspólny wniosek: prawo do wyjaśnienia decyzji algorytmicznych na piśmie istnieje, ale w praktyce jest pozbawione treści. Pracownicy otrzymują ogólne wyjaśnienia, które nie ujawniają rzeczywistych parametrów, a osoba odpowiedzialna za weryfikację często nie jest wykwalifikowana do oceny merytorycznej</w:t>
      </w:r>
      <w:r w:rsidR="00FF3A12">
        <w:t xml:space="preserve">, a </w:t>
      </w:r>
      <w:r>
        <w:t xml:space="preserve">jej odpowiedź jedynie potwierdza decyzję algorytmu. Artykuł 11 dyrektywy wyraźnie odnosi się do tej kwestii, jednak wdrożenie musi być precyzyjne: należy wymagać przeglądu merytorycznego, a nie tylko formalnego.</w:t>
      </w:r>
    </w:p>
    <w:p w:rsidR="00D90A18" w:rsidP="00750824" w:rsidRDefault="00D90A18" w14:paraId="7B1C183D" w14:textId="77777777">
      <w:pPr>
        <w:jc w:val="both"/>
      </w:pPr>
    </w:p>
    <w:p w:rsidR="00983F19" w:rsidP="00750824" w:rsidRDefault="00000000" w14:paraId="7FDAD910" w14:textId="391B9782">
      <w:pPr>
        <w:jc w:val="both"/>
      </w:pPr>
      <w:r>
        <w:t xml:space="preserve">Szczególnie w kontekście działalności związkowej zwrócono uwagę na zakaz zawarty w art. 7 ust. 1 lit. d): platformy mogłyby bowiem, analizując wzorce zachowań pracowników </w:t>
      </w:r>
      <w:r w:rsidR="00D7386B">
        <w:t xml:space="preserve">– </w:t>
      </w:r>
      <w:r>
        <w:t xml:space="preserve">na przykład, którzy pracownicy odrzucają zlecenia o określonych porach, którzy pozostają ze sobą w kontakcie </w:t>
      </w:r>
      <w:r w:rsidR="00D7386B">
        <w:t xml:space="preserve">– </w:t>
      </w:r>
      <w:r>
        <w:t xml:space="preserve">przewidywać działalność związkową. Dyrektywa tego zabrania. Zgoda pracownika nie może zmienić tego zakazu.</w:t>
      </w:r>
    </w:p>
    <w:p w:rsidR="00983F19" w:rsidP="00750824" w:rsidRDefault="00000000" w14:paraId="09C6333A" w14:textId="77777777">
      <w:pPr>
        <w:pStyle w:val="Naslov2"/>
        <w:jc w:val="both"/>
      </w:pPr>
      <w:bookmarkStart w:name="_Toc233699495" w:id="44"/>
      <w:bookmarkStart w:name="priporočila-2" w:id="45"/>
      <w:bookmarkEnd w:id="43"/>
      <w:r>
        <w:t xml:space="preserve">5.3 Zalecenia</w:t>
      </w:r>
      <w:bookmarkEnd w:id="44"/>
    </w:p>
    <w:p w:rsidR="00983F19" w:rsidP="00750824" w:rsidRDefault="00000000" w14:paraId="13A7E7A7" w14:textId="7AB1A20A">
      <w:pPr>
        <w:jc w:val="both"/>
      </w:pPr>
      <w:r>
        <w:t xml:space="preserve">Poniższe zalecenia skierowane są do ministerstw pracy i organów ochrony </w:t>
      </w:r>
      <w:r>
        <w:t xml:space="preserve">danych</w:t>
      </w:r>
      <w:r w:rsidR="008A7718">
        <w:t xml:space="preserve"> osobowych </w:t>
      </w:r>
      <w:r>
        <w:t xml:space="preserve">państw członkowskich UE.</w:t>
      </w:r>
    </w:p>
    <w:p w:rsidR="00983F19" w:rsidP="00750824" w:rsidRDefault="00000000" w14:paraId="2B6EB242" w14:textId="77777777">
      <w:pPr>
        <w:pStyle w:val="Naslov3"/>
        <w:jc w:val="both"/>
      </w:pPr>
      <w:r>
        <w:t xml:space="preserve">Zalecenie 5.1 [DYREKTYWA]: Przeniesienie bezwzględnych zakazów z art. 7 bez wyjątków i bez zgody</w:t>
      </w:r>
    </w:p>
    <w:p w:rsidR="00983F19" w:rsidP="00750824" w:rsidRDefault="00000000" w14:paraId="50B9577B" w14:textId="1DAB2F37">
      <w:pPr>
        <w:jc w:val="both"/>
      </w:pPr>
      <w:r>
        <w:t xml:space="preserve">Ustawodawstwo krajowe musi przenieść zakazy określone w art. 7 jako bezwarunkowe </w:t>
      </w:r>
      <w:r w:rsidR="00D7386B">
        <w:t xml:space="preserve">– </w:t>
      </w:r>
      <w:r>
        <w:t xml:space="preserve">bez możliwości </w:t>
      </w:r>
      <w:r>
        <w:t xml:space="preserve">obejścia któregokolwiek z nich </w:t>
      </w:r>
      <w:r>
        <w:t xml:space="preserve">przez platformę </w:t>
      </w:r>
      <w:r>
        <w:t xml:space="preserve">za pomocą zgody pracownika. Ustawa musi wyraźnie stanowić, że zgoda nie stanowi ważnej podstawy prawnej dla zabronionego przetwarzania </w:t>
      </w:r>
      <w:r w:rsidR="008A7718">
        <w:t xml:space="preserve">danych </w:t>
      </w:r>
      <w:r>
        <w:t xml:space="preserve">w ramach </w:t>
      </w:r>
      <w:r>
        <w:t xml:space="preserve">pracy </w:t>
      </w:r>
      <w:r>
        <w:t xml:space="preserve">na platformie</w:t>
      </w:r>
      <w:r>
        <w:t xml:space="preserve">. Zalecamy, aby ustawa zawierała konkretne przykłady zabronionych działań: gromadzenie danych dotyczących lokalizacji podczas przerw, analiza komunikacji między pracownikami w celu wykrywania działalności związkowej, wyciąganie wniosków na temat stanu zdrowia na podstawie wzorców zachowań. Właściwe organy muszą być uprawnione do proaktywnego egzekwowania zakazów, a nie tylko po złożeniu skargi.</w:t>
      </w:r>
    </w:p>
    <w:p w:rsidR="00D90A18" w:rsidP="00750824" w:rsidRDefault="00D90A18" w14:paraId="715DEACA" w14:textId="77777777">
      <w:pPr>
        <w:jc w:val="both"/>
      </w:pPr>
    </w:p>
    <w:p w:rsidR="00983F19" w:rsidP="00750824" w:rsidRDefault="00000000" w14:paraId="3B0530CF" w14:textId="1FE95661">
      <w:pPr>
        <w:pStyle w:val="Blokbesedila"/>
      </w:pPr>
      <w:r>
        <w:t xml:space="preserve">Kontekst: Grupa ekspertów KE potwierdziła: zgoda na </w:t>
      </w:r>
      <w:r>
        <w:t xml:space="preserve">pracę </w:t>
      </w:r>
      <w:r>
        <w:t xml:space="preserve">na platformach </w:t>
      </w:r>
      <w:r>
        <w:t xml:space="preserve">nie jest dobrowolna, ponieważ </w:t>
      </w:r>
      <w:r>
        <w:t xml:space="preserve">pracownik nie może </w:t>
      </w:r>
      <w:r w:rsidR="008A7718">
        <w:t xml:space="preserve">jej </w:t>
      </w:r>
      <w:r w:rsidR="008A7718">
        <w:t xml:space="preserve">odmówić </w:t>
      </w:r>
      <w:r>
        <w:t xml:space="preserve">bez ryzyka </w:t>
      </w:r>
      <w:r w:rsidR="008A7718">
        <w:t xml:space="preserve">utraty pracy</w:t>
      </w:r>
      <w:r>
        <w:t xml:space="preserve">. Zakazy określone w art. 7 mają zatem charakter bezwzględny </w:t>
      </w:r>
      <w:r w:rsidR="008A7718">
        <w:t xml:space="preserve">i </w:t>
      </w:r>
      <w:r>
        <w:t xml:space="preserve">musi to być jasno zapisane w ustawie, a nie tylko przejęte z dyrektywy.</w:t>
      </w:r>
    </w:p>
    <w:p w:rsidR="00983F19" w:rsidP="00750824" w:rsidRDefault="00000000" w14:paraId="512E3E8E" w14:textId="55A382E1">
      <w:pPr>
        <w:pStyle w:val="Naslov3"/>
        <w:jc w:val="both"/>
      </w:pPr>
      <w:r>
        <w:t xml:space="preserve">Zalecenie 5.2 [DYREKTYWA]: DPIA jako warunek wprowadzenia każdego systemu AMDMS </w:t>
      </w:r>
      <w:r w:rsidR="00D7386B">
        <w:t xml:space="preserve">– </w:t>
      </w:r>
      <w:r>
        <w:t xml:space="preserve">w tym istniejących systemów</w:t>
      </w:r>
    </w:p>
    <w:p w:rsidR="00983F19" w:rsidP="00750824" w:rsidRDefault="00000000" w14:paraId="7622A0C1" w14:textId="5A90BF6D">
      <w:pPr>
        <w:jc w:val="both"/>
      </w:pPr>
      <w:r>
        <w:lastRenderedPageBreak/>
      </w:r>
      <w:r>
        <w:t xml:space="preserve">Ministerstwa muszą w </w:t>
      </w:r>
      <w:r w:rsidR="008A7718">
        <w:t xml:space="preserve">ustawie transponującej dyrektywę </w:t>
      </w:r>
      <w:r>
        <w:t xml:space="preserve">określić, że ocena skutków dla ochrony danych (DPIA) jest obowiązkowa przed każdym wdrożeniem nowego systemu AMDMS oraz w odniesieniu do wszystkich istniejących systemów, z których platforma już korzysta w momencie wejścia w życie ustawy. Termin na przeprowadzenie oceny w odniesieniu do istniejących systemów nie może przekraczać sześciu miesięcy od wejścia w życie ustawy. Przedstawiciele pracowników muszą być zaangażowani w przygotowanie oceny</w:t>
      </w:r>
      <w:r w:rsidR="008A7718">
        <w:t xml:space="preserve">, </w:t>
      </w:r>
      <w:r>
        <w:t xml:space="preserve">a nie tylko poinformowani o jej istnieniu. Ostateczna wersja DPIA jest im przekazywana bez konieczności składania wniosku.</w:t>
      </w:r>
    </w:p>
    <w:p w:rsidR="008A7718" w:rsidP="00750824" w:rsidRDefault="008A7718" w14:paraId="76FB34EE" w14:textId="77777777">
      <w:pPr>
        <w:jc w:val="both"/>
      </w:pPr>
    </w:p>
    <w:p w:rsidR="00983F19" w:rsidP="00750824" w:rsidRDefault="00000000" w14:paraId="297DFDC8" w14:textId="335EB246">
      <w:pPr>
        <w:pStyle w:val="Blokbesedila"/>
      </w:pPr>
      <w:r>
        <w:t xml:space="preserve">Kontekst: Artykuł 8 jest bardziej rygorystyczny niż art. 35 RODO: dyrektywa </w:t>
      </w:r>
      <w:r>
        <w:t xml:space="preserve">bezwarunkowo </w:t>
      </w:r>
      <w:r w:rsidR="00016B3D">
        <w:t xml:space="preserve">zakłada istnienie</w:t>
      </w:r>
      <w:r>
        <w:t xml:space="preserve"> ryzyka </w:t>
      </w:r>
      <w:r w:rsidR="008A7718">
        <w:t xml:space="preserve">związanego z </w:t>
      </w:r>
      <w:r w:rsidR="008A7718">
        <w:t xml:space="preserve">pracą </w:t>
      </w:r>
      <w:r w:rsidR="008A7718">
        <w:t xml:space="preserve">na platformach</w:t>
      </w:r>
      <w:r>
        <w:t xml:space="preserve">. Oznacza to, że oceny nie może zastąpić ogólna polityka ochrony danych przedsiębiorstwa. Konsultacje z pracownikami podczas przygotowywania DPIA są warunkiem, który muszą uregulować przepisy krajowe.</w:t>
      </w:r>
    </w:p>
    <w:p w:rsidR="00983F19" w:rsidP="00750824" w:rsidRDefault="00000000" w14:paraId="617DAA43" w14:textId="1A3BD556">
      <w:pPr>
        <w:pStyle w:val="Naslov3"/>
        <w:jc w:val="both"/>
      </w:pPr>
      <w:r>
        <w:t xml:space="preserve">Zalecenie 5.3 [DYREKTYWA]: Przenoszalność ocen i opinii jako </w:t>
      </w:r>
      <w:r w:rsidR="008A7718">
        <w:t xml:space="preserve">„własność”</w:t>
      </w:r>
      <w:r>
        <w:t xml:space="preserve"> pracownika</w:t>
      </w:r>
    </w:p>
    <w:p w:rsidR="00983F19" w:rsidP="00750824" w:rsidRDefault="00000000" w14:paraId="2CF9A68E" w14:textId="52E9E76B">
      <w:pPr>
        <w:jc w:val="both"/>
      </w:pPr>
      <w:r>
        <w:t xml:space="preserve">Ustawa musi wyraźnie określać, że </w:t>
      </w:r>
      <w:r>
        <w:t xml:space="preserve">oceny i opinie zebrane podczas wykonywania </w:t>
      </w:r>
      <w:r>
        <w:t xml:space="preserve">pracy </w:t>
      </w:r>
      <w:r>
        <w:t xml:space="preserve">na platformie </w:t>
      </w:r>
      <w:r w:rsidR="008A7718">
        <w:t xml:space="preserve">stanowią </w:t>
      </w:r>
      <w:r>
        <w:t xml:space="preserve">dane osobowe pracownika i podlegają prawu do przenoszenia zgodnie z art. 9 ust. 6 dyrektywy. Platforma musi zapewnić bezpłatne narzędzia do przenoszenia danych w formacie nadającym się do odczytu maszynowego. Pracownik musi mieć możliwość przeniesienia danych na inną platformę lub przedłożenia ich w ramach postępowania mającego na celu ustalenie statusu zatrudnienia. Prawo musi zabraniać platformie </w:t>
      </w:r>
      <w:r>
        <w:t xml:space="preserve">usuwania lub ukrywania </w:t>
      </w:r>
      <w:r>
        <w:t xml:space="preserve">ocen w momencie odejścia pracownika </w:t>
      </w:r>
      <w:r w:rsidR="008A7718">
        <w:t xml:space="preserve">z platformy</w:t>
      </w:r>
      <w:r>
        <w:t xml:space="preserve">.</w:t>
      </w:r>
    </w:p>
    <w:p w:rsidR="008A7718" w:rsidP="00750824" w:rsidRDefault="008A7718" w14:paraId="397723AE" w14:textId="77777777">
      <w:pPr>
        <w:jc w:val="both"/>
      </w:pPr>
    </w:p>
    <w:p w:rsidR="00983F19" w:rsidP="00750824" w:rsidRDefault="00000000" w14:paraId="007763BE" w14:textId="1BC413FF">
      <w:pPr>
        <w:jc w:val="both"/>
      </w:pPr>
      <w:r>
        <w:t xml:space="preserve">Grupa ekspertów KE </w:t>
      </w:r>
      <w:r>
        <w:t xml:space="preserve">potwierdziła</w:t>
      </w:r>
      <w:r w:rsidR="008A7718">
        <w:t xml:space="preserve"> również</w:t>
      </w:r>
      <w:r w:rsidR="008A7718">
        <w:t xml:space="preserve">, że </w:t>
      </w:r>
      <w:r>
        <w:t xml:space="preserve">pracownik </w:t>
      </w:r>
      <w:r w:rsidR="008A7718">
        <w:t xml:space="preserve">ma </w:t>
      </w:r>
      <w:r>
        <w:t xml:space="preserve">prawo określić, które kategorie danych </w:t>
      </w:r>
      <w:r w:rsidR="008A7718">
        <w:t xml:space="preserve">mają </w:t>
      </w:r>
      <w:r w:rsidR="008A7718">
        <w:t xml:space="preserve">zostać przeniesione</w:t>
      </w:r>
      <w:r>
        <w:t xml:space="preserve">, ale nie może żądać wyboru w obrębie danej kategorii.</w:t>
      </w:r>
    </w:p>
    <w:p w:rsidR="00D90A18" w:rsidP="00750824" w:rsidRDefault="00D90A18" w14:paraId="7F3A0E71" w14:textId="77777777">
      <w:pPr>
        <w:jc w:val="both"/>
      </w:pPr>
    </w:p>
    <w:p w:rsidR="00983F19" w:rsidP="00750824" w:rsidRDefault="00000000" w14:paraId="7148FB83" w14:textId="047411A6">
      <w:pPr>
        <w:pStyle w:val="Naslov3"/>
        <w:jc w:val="both"/>
      </w:pPr>
      <w:r>
        <w:t xml:space="preserve">Zalecenie 5.4 [DYREKTYWA]: Stały nadzór ludzki i rzeczywista kontrola </w:t>
      </w:r>
      <w:r w:rsidR="00D7386B">
        <w:t xml:space="preserve">– </w:t>
      </w:r>
      <w:r>
        <w:t xml:space="preserve">nie tylko formalna</w:t>
      </w:r>
    </w:p>
    <w:p w:rsidR="00983F19" w:rsidP="00750824" w:rsidRDefault="00000000" w14:paraId="17E5BCB7" w14:textId="1F384C38">
      <w:pPr>
        <w:jc w:val="both"/>
      </w:pPr>
      <w:r>
        <w:t xml:space="preserve">Ustawa musi określać, że nadzór zgodnie z art. 10 ma charakter ciągły</w:t>
      </w:r>
      <w:r w:rsidR="00E872A3">
        <w:t xml:space="preserve">, </w:t>
      </w:r>
      <w:r>
        <w:t xml:space="preserve">a nie tylko okresowy przegląd co dwa lata. Platforma musi wyznaczyć konkretne osoby odpowiedzialne za nadzór, posiadające określone uprawnienia, w tym prawo do unieważnienia zautomatyzowanej decyzji. Osoby te nie mogą być zwalniane ani karane z powodu pełnienia funkcji nadzorczej </w:t>
      </w:r>
      <w:r w:rsidR="00D7386B">
        <w:t xml:space="preserve">– </w:t>
      </w:r>
      <w:r>
        <w:t xml:space="preserve">ustawa musi </w:t>
      </w:r>
      <w:r w:rsidR="00E872A3">
        <w:t xml:space="preserve">to </w:t>
      </w:r>
      <w:r>
        <w:t xml:space="preserve">wyraźnie</w:t>
      </w:r>
      <w:r w:rsidR="00E872A3">
        <w:t xml:space="preserve"> określać</w:t>
      </w:r>
      <w:r>
        <w:t xml:space="preserve">, wraz z konsekwencjami prawnymi dla platformy, która by to naruszyła. Zalecamy, aby platforma informowała związki zawodowe o ustaleniach nadzorczych za każdym razem, gdy wykryje naruszenie praw</w:t>
      </w:r>
      <w:r w:rsidR="00E872A3">
        <w:t xml:space="preserve">, </w:t>
      </w:r>
      <w:r>
        <w:t xml:space="preserve">a nie tylko w ramach sprawozdania dwuletniego.</w:t>
      </w:r>
    </w:p>
    <w:p w:rsidR="00E872A3" w:rsidP="00750824" w:rsidRDefault="00E872A3" w14:paraId="4A896CD8" w14:textId="77777777">
      <w:pPr>
        <w:jc w:val="both"/>
      </w:pPr>
    </w:p>
    <w:p w:rsidR="00E872A3" w:rsidP="00750824" w:rsidRDefault="00000000" w14:paraId="3E845F4F" w14:textId="16263007">
      <w:pPr>
        <w:pStyle w:val="Blokbesedila"/>
      </w:pPr>
      <w:r>
        <w:t xml:space="preserve">Kontekst: Artykuł 10 ust. 2 dyrektywy już przewiduje ochronę osób pełniących funkcje nadzorcze przed zwolnieniem, ale w formie ogólnej. Bez konkretnego przepisu w prawie krajowym platforma będzie interpretować ten obowiązek w sposób zawężający. Doświadczenia austriackie (ocena doskonałości, automatyczne zwolnienia) pokazują, że właśnie decyzje o najpoważniejszych konsekwencjach dla pracowników są tymi, które zostały w pełni zautomatyzowane.</w:t>
      </w:r>
    </w:p>
    <w:p w:rsidR="00983F19" w:rsidP="00750824" w:rsidRDefault="00000000" w14:paraId="670D7594" w14:textId="15B509F0">
      <w:pPr>
        <w:pStyle w:val="Naslov3"/>
        <w:jc w:val="both"/>
      </w:pPr>
      <w:r>
        <w:t xml:space="preserve">Zalecenie 5.5 [WYKRACZA POZA MINIMUM]: Inspektor ochrony danych jako stały partner w dialogu społecznym</w:t>
      </w:r>
    </w:p>
    <w:p w:rsidR="00983F19" w:rsidP="00750824" w:rsidRDefault="00000000" w14:paraId="0A64ABF9" w14:textId="6A1A83B3">
      <w:pPr>
        <w:jc w:val="both"/>
      </w:pPr>
      <w:r>
        <w:t xml:space="preserve">Ministerstwa </w:t>
      </w:r>
      <w:r>
        <w:t xml:space="preserve">powinny wspólnie z organami ochrony danych ustanowić procedurę, w ramach której inspektor ochrony danych (lub inny właściwy organ ochrony danych) będzie uczestniczył we wdrażaniu każdego nowego systemu AMDMS na </w:t>
      </w:r>
      <w:r>
        <w:t xml:space="preserve">poziomie </w:t>
      </w:r>
      <w:r>
        <w:t xml:space="preserve">platformy </w:t>
      </w:r>
      <w:r w:rsidR="00D7386B">
        <w:t xml:space="preserve">– </w:t>
      </w:r>
      <w:r>
        <w:t xml:space="preserve">nie tylko jako organ nadzorczy po wystąpieniu naruszenia, ale jako partner prewencyjny w dialogu społecznym. Zalecamy, aby ustawa gwarantowała przedstawicielom związków zawodowych prawo do fachowej pomocy inspektora ochrony danych przy ocenie systemów algorytmicznych. W Słowenii ZSSS </w:t>
      </w:r>
      <w:r>
        <w:t xml:space="preserve">wyraźnie </w:t>
      </w:r>
      <w:r w:rsidR="00E872A3">
        <w:t xml:space="preserve">proponuje </w:t>
      </w:r>
      <w:r>
        <w:t xml:space="preserve">tę rolę</w:t>
      </w:r>
      <w:r w:rsidR="00E872A3">
        <w:lastRenderedPageBreak/>
      </w:r>
      <w:r w:rsidR="00E872A3">
        <w:t xml:space="preserve"> </w:t>
      </w:r>
      <w:r w:rsidR="00E872A3">
        <w:t xml:space="preserve">: </w:t>
      </w:r>
      <w:r>
        <w:t xml:space="preserve">zalecamy, aby wszystkie państwa członkowskie wprowadziły to w życie w równoważnej formie.</w:t>
      </w:r>
    </w:p>
    <w:p w:rsidR="00E872A3" w:rsidP="00750824" w:rsidRDefault="00E872A3" w14:paraId="0AF53F7E" w14:textId="77777777">
      <w:pPr>
        <w:jc w:val="both"/>
      </w:pPr>
    </w:p>
    <w:p w:rsidR="00983F19" w:rsidP="00750824" w:rsidRDefault="00000000" w14:paraId="532636F0" w14:textId="7EDD5CD2">
      <w:pPr>
        <w:pStyle w:val="Blokbesedila"/>
      </w:pPr>
      <w:r>
        <w:t xml:space="preserve">Kontekst: Wytyczne ZSSS (kwiecień 2025 r.) proponują zaangażowanie Inspektora Ochrony Danych Republiki Słowenii przy wdrażaniu systemów AM/AI. Grupa ekspertów KE potwierdziła, że organy DPA są właściwe w sprawach ochrony danych, stwierdzając jednocześnie, że koordynacja z inspektoratami jest niezbędna</w:t>
      </w:r>
      <w:r w:rsidR="00E872A3">
        <w:t xml:space="preserve">, </w:t>
      </w:r>
      <w:r>
        <w:t xml:space="preserve">co stanowi jeden ze strukturalnych problemów, które wdrożenie musi rozwiązać.</w:t>
      </w:r>
    </w:p>
    <w:p w:rsidR="00983F19" w:rsidP="00750824" w:rsidRDefault="00000000" w14:paraId="7C1679F6" w14:textId="4D24BEB5">
      <w:pPr>
        <w:pStyle w:val="Naslov3"/>
        <w:jc w:val="both"/>
      </w:pPr>
      <w:r>
        <w:t xml:space="preserve">Zalecenie 5.6 [WYKRACZA POZA MINIMUM]: Rozwiązanie kwestii podwójnej kompetencji: koordynacja między organami ochrony danych a inspektoratem pracy</w:t>
      </w:r>
    </w:p>
    <w:p w:rsidR="00983F19" w:rsidP="00750824" w:rsidRDefault="00000000" w14:paraId="0551DE56" w14:textId="0D3ED92E">
      <w:pPr>
        <w:jc w:val="both"/>
      </w:pPr>
      <w:r>
        <w:t xml:space="preserve">Ministerstwa muszą określić w ustawie o transpozycji, który organ jest właściwy do egzekwowania której części dyrektywy: art. 7–9 (ochrona danych w ramach AMDMS) leży przede wszystkim w kompetencji organu ochrony danych (DPA)</w:t>
      </w:r>
      <w:r w:rsidR="00B833F8">
        <w:t xml:space="preserve">, a </w:t>
      </w:r>
      <w:r>
        <w:t xml:space="preserve">art. 10–11 (nadzór ludzki, kontrola decyzji) leży w kompetencji inspektoratu pracy, przy czym może być konieczne skoordynowane działanie obu organów. Ustawa musi ustanowić obowiązkowy protokół współpracy między organem ochrony danych (DPA) a inspektoratem pracy w sprawach </w:t>
      </w:r>
      <w:r>
        <w:t xml:space="preserve">dotyczących pracy </w:t>
      </w:r>
      <w:r>
        <w:t xml:space="preserve">na platformach</w:t>
      </w:r>
      <w:r>
        <w:t xml:space="preserve">. Pracownik lub związek zawodowy, który złoży zgłoszenie, nie może być odsyłany między organami bez merytorycznego rozpatrzenia sprawy.</w:t>
      </w:r>
    </w:p>
    <w:p w:rsidR="00DC4393" w:rsidP="00750824" w:rsidRDefault="00DC4393" w14:paraId="403CEDB1" w14:textId="77777777">
      <w:pPr>
        <w:jc w:val="both"/>
      </w:pPr>
    </w:p>
    <w:p w:rsidR="00983F19" w:rsidP="00750824" w:rsidRDefault="00000000" w14:paraId="30CB4868" w14:textId="3F1E7AF9">
      <w:pPr>
        <w:pStyle w:val="Blokbesedila"/>
      </w:pPr>
      <w:r>
        <w:t xml:space="preserve">Kontekst: Grupa ekspertów KE stwierdziła, że w sprawach objętych rozdziałem III dyrektywy właściwe są zarówno organy DPA, jak i inspektoraty pracy, w zależności od tego, czy chodzi o kwestię ochrony danych, czy warunków pracy. Bez jasnego rozgraniczenia dojdzie do instytucjonalnego </w:t>
      </w:r>
      <w:r>
        <w:t xml:space="preserve">„ping-ponga</w:t>
      </w:r>
      <w:r>
        <w:t xml:space="preserve">”, który </w:t>
      </w:r>
      <w:r w:rsidR="00B833F8">
        <w:t xml:space="preserve">jest niezwykle czasochłonny i nieefektywny</w:t>
      </w:r>
      <w:r>
        <w:t xml:space="preserve">.</w:t>
      </w:r>
    </w:p>
    <w:p w:rsidR="00DC4393" w:rsidP="00750824" w:rsidRDefault="00DC4393" w14:paraId="21DB8DD9" w14:textId="77777777">
      <w:pPr>
        <w:jc w:val="both"/>
        <w:rPr>
          <w:b/>
          <w:bCs/>
        </w:rPr>
      </w:pPr>
    </w:p>
    <w:p w:rsidR="00983F19" w:rsidP="00750824" w:rsidRDefault="00000000" w14:paraId="01A59C58" w14:textId="3905780E">
      <w:pPr>
        <w:jc w:val="both"/>
      </w:pPr>
      <w:r>
        <w:rPr>
          <w:b/>
          <w:bCs/>
        </w:rPr>
        <w:t xml:space="preserve">Uwaga dotycząca wdrożenia</w:t>
      </w:r>
    </w:p>
    <w:p w:rsidR="00983F19" w:rsidP="00750824" w:rsidRDefault="00000000" w14:paraId="496B9849" w14:textId="14D6614E">
      <w:pPr>
        <w:jc w:val="both"/>
      </w:pPr>
      <w:r>
        <w:rPr>
          <w:i/>
          <w:iCs/>
        </w:rPr>
        <w:t xml:space="preserve">Ochrona danych w </w:t>
      </w:r>
      <w:r>
        <w:rPr>
          <w:i/>
          <w:iCs/>
        </w:rPr>
        <w:t xml:space="preserve">pracy </w:t>
      </w:r>
      <w:r>
        <w:rPr>
          <w:i/>
          <w:iCs/>
        </w:rPr>
        <w:t xml:space="preserve">na platformach </w:t>
      </w:r>
      <w:r>
        <w:rPr>
          <w:i/>
          <w:iCs/>
        </w:rPr>
        <w:t xml:space="preserve">nie jest odrębnym zagadnieniem technicznym</w:t>
      </w:r>
      <w:r w:rsidR="00B833F8">
        <w:rPr>
          <w:i/>
          <w:iCs/>
        </w:rPr>
        <w:t xml:space="preserve">, </w:t>
      </w:r>
      <w:r>
        <w:rPr>
          <w:i/>
          <w:iCs/>
        </w:rPr>
        <w:t xml:space="preserve">lecz warunkiem wstępnym wiarygodnego dialogu społecznego. Dopóki platforma kontroluje, którzy pracownicy komunikują się między sobą i jakie prawa egzekwują, związki zawodowe nie mają równej pozycji w negocjacjach. Artykuły 7–11 dyrektywy </w:t>
      </w:r>
      <w:r w:rsidR="00B833F8">
        <w:rPr>
          <w:i/>
          <w:iCs/>
        </w:rPr>
        <w:t xml:space="preserve">zajmują się </w:t>
      </w:r>
      <w:r w:rsidR="00B833F8">
        <w:rPr>
          <w:i/>
          <w:iCs/>
        </w:rPr>
        <w:t xml:space="preserve">tą strukturalną </w:t>
      </w:r>
      <w:r>
        <w:rPr>
          <w:i/>
          <w:iCs/>
        </w:rPr>
        <w:t xml:space="preserve">nierównowagą </w:t>
      </w:r>
      <w:r>
        <w:rPr>
          <w:i/>
          <w:iCs/>
        </w:rPr>
        <w:t xml:space="preserve">poprzez wymogi dotyczące przejrzystości, przenoszalności i nadzoru ludzkiego. Wdrożenie musi być precyzyjne: same formalne przepisy bez standardów merytorycznych nie wystarczą.</w:t>
      </w:r>
    </w:p>
    <w:p w:rsidR="00750824" w:rsidRDefault="00750824" w14:paraId="1E018822" w14:textId="77777777">
      <w:pPr>
        <w:rPr>
          <w:b/>
          <w:bCs/>
          <w:color w:val="1F3864"/>
          <w:sz w:val="36"/>
          <w:szCs w:val="36"/>
        </w:rPr>
      </w:pPr>
      <w:bookmarkStart w:name="Xeb9ad283c504020b2ba173fa22e0871cc81f3b2" w:id="46"/>
      <w:bookmarkEnd w:id="38"/>
      <w:bookmarkEnd w:id="45"/>
      <w:r>
        <w:br w:type="page"/>
      </w:r>
    </w:p>
    <w:p w:rsidR="00983F19" w:rsidP="00750824" w:rsidRDefault="00000000" w14:paraId="3FBE0AD4" w14:textId="5D4AEA0B">
      <w:pPr>
        <w:pStyle w:val="Naslov1"/>
        <w:jc w:val="both"/>
      </w:pPr>
      <w:bookmarkStart w:name="_Toc233699496" w:id="47"/>
      <w:r>
        <w:lastRenderedPageBreak/>
      </w:r>
      <w:r>
        <w:t xml:space="preserve">Rozdział 6: Prawa zbiorowe i dialog społeczny</w:t>
      </w:r>
      <w:bookmarkEnd w:id="47"/>
    </w:p>
    <w:p w:rsidR="00983F19" w:rsidP="00750824" w:rsidRDefault="00000000" w14:paraId="78B231F1" w14:textId="77777777">
      <w:pPr>
        <w:pStyle w:val="Naslov2"/>
        <w:jc w:val="both"/>
      </w:pPr>
      <w:bookmarkStart w:name="_Toc233699497" w:id="48"/>
      <w:bookmarkStart w:name="zahteve-direktive-3" w:id="49"/>
      <w:r>
        <w:t xml:space="preserve">6.1 Wymogi dyrektywy</w:t>
      </w:r>
      <w:bookmarkEnd w:id="48"/>
    </w:p>
    <w:p w:rsidR="00983F19" w:rsidP="00750824" w:rsidRDefault="00000000" w14:paraId="6732DCF7" w14:textId="227CD3D5">
      <w:pPr>
        <w:jc w:val="both"/>
      </w:pPr>
      <w:r>
        <w:t xml:space="preserve">Dyrektywa UE 2024/2831 w sprawie </w:t>
      </w:r>
      <w:r>
        <w:t xml:space="preserve">pracy </w:t>
      </w:r>
      <w:r>
        <w:t xml:space="preserve">na platformach </w:t>
      </w:r>
      <w:r w:rsidR="000617C4">
        <w:t xml:space="preserve">poświęca </w:t>
      </w:r>
      <w:r>
        <w:t xml:space="preserve">prawom zbiorowym i dialogowi społecznemu </w:t>
      </w:r>
      <w:r w:rsidR="000617C4">
        <w:t xml:space="preserve">bezpośrednio </w:t>
      </w:r>
      <w:r>
        <w:t xml:space="preserve">dwa przepisy (art. 25 i 29), jeden pośrednio (art. 28) oraz szereg mechanizmów, które są warunkiem funkcjonowania dialogu społecznego w praktyce: </w:t>
      </w:r>
      <w:r w:rsidR="000617C4">
        <w:t xml:space="preserve">kanały komunikacji </w:t>
      </w:r>
      <w:r>
        <w:t xml:space="preserve">(art. 20), reprezentacja proceduralna (art. 19), ochrona przed działaniami odwetowymi (art. 22–23) oraz dostęp do dowodów (art. 21). Wszystkie te przepisy tworzą ramy, które po raz pierwszy zapewniają dialogowi społecznemu podstawę strukturalną w sektorze, w którym dotychczas zorganizowany głos pracowników był w większości przypadków uniemożliwiony.</w:t>
      </w:r>
    </w:p>
    <w:p w:rsidR="00D90A18" w:rsidP="00750824" w:rsidRDefault="00D90A18" w14:paraId="2553D7A8" w14:textId="77777777">
      <w:pPr>
        <w:jc w:val="both"/>
      </w:pPr>
    </w:p>
    <w:p w:rsidR="00983F19" w:rsidP="00750824" w:rsidRDefault="005C5C0F" w14:paraId="1C851F66" w14:textId="3105EF93">
      <w:pPr>
        <w:jc w:val="both"/>
      </w:pPr>
      <w:r>
        <w:rPr>
          <w:b/>
          <w:bCs/>
        </w:rPr>
        <w:t xml:space="preserve">Artykuł 25 </w:t>
      </w:r>
      <w:r>
        <w:rPr>
          <w:b/>
          <w:bCs/>
        </w:rPr>
        <w:t xml:space="preserve">(Wspieranie negocjacji zbiorowych) </w:t>
      </w:r>
      <w:r>
        <w:t xml:space="preserve">zobowiązuje państwa członkowskie, bez naruszania autonomii partnerów społecznych i z uwzględnieniem różnorodności praktyk krajowych, do podjęcia odpowiednich środków w celu wspierania roli partnerów społecznych oraz egzekwowania prawa do negocjacji zbiorowych w </w:t>
      </w:r>
      <w:r>
        <w:t xml:space="preserve">pracy </w:t>
      </w:r>
      <w:r>
        <w:t xml:space="preserve">na platformach</w:t>
      </w:r>
      <w:r>
        <w:t xml:space="preserve">. Obejmuje to zarówno środki mające na celu ustalenie właściwego statusu zatrudnienia, jak i środki ułatwiające egzekwowanie praw w kontekście zarządzania algorytmicznego. Grupa ekspertów KE wyjaśniła, że art. 25 nie wymaga ustawowego ustanowienia prawa do negocjacji zbiorowych dla osób samozatrudnionych pracujących na platformach, ale </w:t>
      </w:r>
      <w:r>
        <w:t xml:space="preserve">pozostawia państwom członkowskim pełną swobodę w tym zakresie. Środki przewidziane w art. 25 mogą obejmować bezpośrednie przepisy prawne, strategie krajowe, plany działania, wsparcie finansowe na rzecz wzmocnienia potencjału związków zawodowych lub sankcje wobec platform utrudniających negocjacje zbiorowe.</w:t>
      </w:r>
    </w:p>
    <w:p w:rsidR="00D90A18" w:rsidP="00750824" w:rsidRDefault="00D90A18" w14:paraId="3A125DF4" w14:textId="77777777">
      <w:pPr>
        <w:jc w:val="both"/>
      </w:pPr>
    </w:p>
    <w:p w:rsidR="00983F19" w:rsidP="00750824" w:rsidRDefault="009F3F9C" w14:paraId="6DAB2192" w14:textId="0D45D20D">
      <w:pPr>
        <w:jc w:val="both"/>
      </w:pPr>
      <w:r>
        <w:rPr>
          <w:b/>
          <w:bCs/>
        </w:rPr>
        <w:t xml:space="preserve">Artykuł 28 (Ugody zbiorowe jako mechanizm wdrażania) </w:t>
      </w:r>
      <w:r>
        <w:t xml:space="preserve">otwiera dwie kluczowe możliwości. Po pierwsze, państwa członkowskie i partnerzy społeczni mogą ustanowić w drodze ustawy lub układu zbiorowego szczególne zasady ochrony praw pracowników w zakresie przetwarzania danych osobowych (art. 9, 10 i 11), które są bardziej rygorystyczne niż minimum określone w dyrektywie. Po drugie, tam, gdzie pozwalają na to państwa członkowskie, partnerzy społeczni mogą w układach zbiorowych ustanowić rozwiązania odbiegające od art. 12 i 13 dyrektywy </w:t>
      </w:r>
      <w:r w:rsidR="00D7386B">
        <w:t xml:space="preserve">– </w:t>
      </w:r>
      <w:r>
        <w:t xml:space="preserve">pod ścisłym warunkiem, że ogólna ochrona </w:t>
      </w:r>
      <w:r>
        <w:t xml:space="preserve">pracowników </w:t>
      </w:r>
      <w:r>
        <w:t xml:space="preserve">platformowych </w:t>
      </w:r>
      <w:r>
        <w:t xml:space="preserve">pozostanie nienaruszona, a różnice te zostaną zrównoważone korzystniejszymi warunkami w innym obszarze.</w:t>
      </w:r>
    </w:p>
    <w:p w:rsidR="00D90A18" w:rsidP="00750824" w:rsidRDefault="00D90A18" w14:paraId="5933C643" w14:textId="77777777">
      <w:pPr>
        <w:jc w:val="both"/>
      </w:pPr>
    </w:p>
    <w:p w:rsidR="00983F19" w:rsidP="00750824" w:rsidRDefault="009F3F9C" w14:paraId="3249EBA8" w14:textId="1DB2DA48">
      <w:pPr>
        <w:jc w:val="both"/>
      </w:pPr>
      <w:r>
        <w:rPr>
          <w:b/>
          <w:bCs/>
        </w:rPr>
        <w:t xml:space="preserve">Artykuł 29 ust. 3–4 (Przekazanie kompetencji partnerom społecznym) </w:t>
      </w:r>
      <w:r>
        <w:t xml:space="preserve">wymaga od państw członkowskich zapewnienia skutecznego zaangażowania partnerów społecznych w wdrażanie dyrektywy. Ponadto umożliwia im, by na wspólny wniosek partnerów społecznych powierzyć im wdrożenie dyrektywy </w:t>
      </w:r>
      <w:r w:rsidR="00D7386B">
        <w:t xml:space="preserve">– </w:t>
      </w:r>
      <w:r>
        <w:t xml:space="preserve">pod warunkiem, że państwo zagwarantuje osiągnięcie celów dyrektywy. Jest to jeden </w:t>
      </w:r>
      <w:r w:rsidR="00247A59">
        <w:t xml:space="preserve">z najważniejszych</w:t>
      </w:r>
      <w:r>
        <w:t xml:space="preserve">, a jednocześnie najmniej znanych przepisów dyrektywy: otwiera on </w:t>
      </w:r>
      <w:r w:rsidR="00247A59">
        <w:t xml:space="preserve">bowiem </w:t>
      </w:r>
      <w:r>
        <w:t xml:space="preserve">drogę do wdrożenia dyrektywy </w:t>
      </w:r>
      <w:r w:rsidR="00247A59">
        <w:t xml:space="preserve">poprzez układy zbiorowe </w:t>
      </w:r>
      <w:r>
        <w:t xml:space="preserve">zamiast oczekiwania na proces legislacyjny.</w:t>
      </w:r>
    </w:p>
    <w:p w:rsidR="00D90A18" w:rsidP="00750824" w:rsidRDefault="00D90A18" w14:paraId="58E25469" w14:textId="77777777">
      <w:pPr>
        <w:jc w:val="both"/>
      </w:pPr>
    </w:p>
    <w:p w:rsidR="00983F19" w:rsidP="00750824" w:rsidRDefault="00247A59" w14:paraId="7DCD2BD0" w14:textId="4EE30FE3">
      <w:pPr>
        <w:jc w:val="both"/>
      </w:pPr>
      <w:r>
        <w:rPr>
          <w:b/>
          <w:bCs/>
        </w:rPr>
        <w:t xml:space="preserve">Artykuł 20 (Kanały komunikacyjne) </w:t>
      </w:r>
      <w:r>
        <w:t xml:space="preserve">zobowiązuje platformy do zapewnienia pracownikom infrastruktury umożliwiającej bezpieczną i prywatną komunikację między sobą oraz z przedstawicielami pracowników, przy czym same platformy nie mają dostępu do treści tej komunikacji. Grupa ekspertów KE wyjaśniła, że wiadomości grupowe w aplikacjach platform (np. grupa </w:t>
      </w:r>
      <w:r>
        <w:t xml:space="preserve">na</w:t>
      </w:r>
      <w:r>
        <w:t xml:space="preserve"> WhatsAppie </w:t>
      </w:r>
      <w:r>
        <w:t xml:space="preserve">zarządzana przez platformę) nie są wystarczające: pracownicy potrzebują kanału niezależnego od samej platformy.</w:t>
      </w:r>
    </w:p>
    <w:p w:rsidR="00D90A18" w:rsidP="00750824" w:rsidRDefault="00D90A18" w14:paraId="4316CB70" w14:textId="77777777">
      <w:pPr>
        <w:jc w:val="both"/>
      </w:pPr>
    </w:p>
    <w:p w:rsidR="00D90A18" w:rsidP="00750824" w:rsidRDefault="00247A59" w14:paraId="572DF69D" w14:textId="3BD0358D">
      <w:pPr>
        <w:jc w:val="both"/>
      </w:pPr>
      <w:r w:rsidRPr="00247A59">
        <w:rPr>
          <w:b/>
          <w:bCs/>
        </w:rPr>
        <w:lastRenderedPageBreak/>
      </w:r>
      <w:r w:rsidRPr="00247A59">
        <w:rPr>
          <w:b/>
          <w:bCs/>
        </w:rPr>
        <w:t xml:space="preserve"> </w:t>
      </w:r>
      <w:r>
        <w:rPr>
          <w:b/>
          <w:bCs/>
        </w:rPr>
        <w:t xml:space="preserve">Artykuł 19 (Reprezentacja procesowa) </w:t>
      </w:r>
      <w:r>
        <w:t xml:space="preserve">gwarantuje, że przedstawiciele pracowników oraz osoby prawne mające uzasadniony interes mogą występować w każdym postępowaniu sądowym lub administracyjnym w imieniu jednego lub większej liczby pracowników lub w celu udzielenia im wsparcia. Grupa ekspertów KE potwierdziła, że artykuł ten obejmuje również prawo do wszczynania postępowań, a nie tylko do udziału w już wszczętych.</w:t>
      </w:r>
    </w:p>
    <w:p w:rsidR="00983F19" w:rsidP="00750824" w:rsidRDefault="00000000" w14:paraId="195AD6C7" w14:textId="77777777">
      <w:pPr>
        <w:pStyle w:val="Naslov2"/>
        <w:jc w:val="both"/>
      </w:pPr>
      <w:bookmarkStart w:name="_Toc233699498" w:id="50"/>
      <w:bookmarkStart w:name="ugotovitve-iz-prakse-3" w:id="51"/>
      <w:bookmarkEnd w:id="49"/>
      <w:r>
        <w:t xml:space="preserve">6.2 Wnioski wynikające z praktyki</w:t>
      </w:r>
      <w:bookmarkEnd w:id="50"/>
    </w:p>
    <w:p w:rsidR="00983F19" w:rsidP="00750824" w:rsidRDefault="00000000" w14:paraId="4CEE5FCB" w14:textId="77777777">
      <w:pPr>
        <w:pStyle w:val="Naslov3"/>
        <w:jc w:val="both"/>
      </w:pPr>
      <w:bookmarkStart w:name="socialni-dialog-nujnost-in-ovire" w:id="52"/>
      <w:r>
        <w:t xml:space="preserve">Dialog społeczny: konieczność i przeszkody</w:t>
      </w:r>
    </w:p>
    <w:p w:rsidR="00983F19" w:rsidP="00750824" w:rsidRDefault="00000000" w14:paraId="6FDDBDDE" w14:textId="0FAE4069">
      <w:pPr>
        <w:jc w:val="both"/>
      </w:pPr>
      <w:r>
        <w:t xml:space="preserve">Konferencja śródokresowa projektu SDDP (Lublana, maj 2025 r.) ujawniła kluczową sprzeczność: dialog społeczny jest niezbędny do rozwiązania wyzwań </w:t>
      </w:r>
      <w:r>
        <w:t xml:space="preserve">związanych </w:t>
      </w:r>
      <w:r>
        <w:t xml:space="preserve">z pracą </w:t>
      </w:r>
      <w:r>
        <w:t xml:space="preserve">na platformach</w:t>
      </w:r>
      <w:r>
        <w:t xml:space="preserve">, ale właśnie w tym sektorze najtrudniej jest stworzyć warunki do jego prowadzenia. Platformy traktują pracowników jako rozproszonych samozatrudnionych, którzy nie utrzymują ze sobą kontaktu, nie mają wspólnego miejsca pracy i nie mają dostępu do informacji, które byłyby warunkiem prowadzenia negocjacji na równych prawach. Bez </w:t>
      </w:r>
      <w:r w:rsidR="00615F18">
        <w:t xml:space="preserve">zatrudnienia </w:t>
      </w:r>
      <w:r>
        <w:t xml:space="preserve">nie ma prawa do negocjacji zbiorowych, bez kanałów komunikacyjnych nie ma możliwości organizowania się, a bez dostępu do danych brakuje treści do negocjacji.</w:t>
      </w:r>
    </w:p>
    <w:p w:rsidR="00D90A18" w:rsidP="00750824" w:rsidRDefault="00D90A18" w14:paraId="28C9E6A9" w14:textId="77777777">
      <w:pPr>
        <w:jc w:val="both"/>
      </w:pPr>
    </w:p>
    <w:p w:rsidR="00983F19" w:rsidP="00750824" w:rsidRDefault="00000000" w14:paraId="64A2A25B" w14:textId="3FE479FC">
      <w:pPr>
        <w:jc w:val="both"/>
      </w:pPr>
      <w:r>
        <w:t xml:space="preserve">Wspólny wniosek wszystkich związków partnerskich był jednoznaczny: </w:t>
      </w:r>
      <w:r w:rsidR="00247A59">
        <w:rPr>
          <w:b/>
          <w:bCs/>
        </w:rPr>
        <w:t xml:space="preserve">„Nie wszystkich problemów da się </w:t>
      </w:r>
      <w:r>
        <w:rPr>
          <w:b/>
          <w:bCs/>
        </w:rPr>
        <w:t xml:space="preserve">rozwiązać poprzez zatrudnienie, ale żadnego nie da się rozwiązać bez niego”. </w:t>
      </w:r>
      <w:r>
        <w:t xml:space="preserve">Zatrudnienie nie jest panaceum na wszystko, ale stanowi strukturalny </w:t>
      </w:r>
      <w:r>
        <w:t xml:space="preserve">warunek wstępny do egzekwowania praw zbiorowych. Jednocześnie dialog społeczny jest jedynym mechanizmem zapewniającym pracownikom ochronę przed i w trakcie powolnego ustalania </w:t>
      </w:r>
      <w:r w:rsidR="00247A59">
        <w:t xml:space="preserve">statusu prawnego w zakresie prawa pracy </w:t>
      </w:r>
      <w:r>
        <w:t xml:space="preserve">przez sądy i inspektoraty</w:t>
      </w:r>
      <w:r>
        <w:t xml:space="preserve">.</w:t>
      </w:r>
    </w:p>
    <w:p w:rsidR="00983F19" w:rsidP="00750824" w:rsidRDefault="00000000" w14:paraId="4E3B6968" w14:textId="77777777">
      <w:pPr>
        <w:pStyle w:val="Naslov3"/>
        <w:jc w:val="both"/>
      </w:pPr>
      <w:bookmarkStart w:name="izkušnje-iz-partnerskih-držav" w:id="53"/>
      <w:bookmarkEnd w:id="52"/>
      <w:r>
        <w:t xml:space="preserve">Doświadczenia z krajów partnerskich</w:t>
      </w:r>
    </w:p>
    <w:p w:rsidR="00983F19" w:rsidP="00750824" w:rsidRDefault="00000000" w14:paraId="58478748" w14:textId="0691E266">
      <w:pPr>
        <w:jc w:val="both"/>
      </w:pPr>
      <w:r>
        <w:rPr>
          <w:b/>
          <w:bCs/>
        </w:rPr>
        <w:t xml:space="preserve">Hiszpania </w:t>
      </w:r>
      <w:r w:rsidR="00247A59">
        <w:t xml:space="preserve">przebyła najdłuższą </w:t>
      </w:r>
      <w:r>
        <w:t xml:space="preserve">drogę od protestów do </w:t>
      </w:r>
      <w:r>
        <w:t xml:space="preserve">zinstytucjonalizowanego </w:t>
      </w:r>
      <w:r>
        <w:t xml:space="preserve">dialogu społecznego. Po uchwaleniu ustawy o dostawcach związki zawodowe CCOO i UGT zawarły układ zbiorowy z </w:t>
      </w:r>
      <w:r>
        <w:t xml:space="preserve">JustEat </w:t>
      </w:r>
      <w:r>
        <w:t xml:space="preserve">España </w:t>
      </w:r>
      <w:r w:rsidR="00D7386B">
        <w:t xml:space="preserve">– </w:t>
      </w:r>
      <w:r>
        <w:t xml:space="preserve">jeden z nielicznych w Europie, który nie tylko reguluje wynagrodzenia, ale także powołuje wspólną komisję ds. nadzoru nad algorytmami. </w:t>
      </w:r>
      <w:r w:rsidR="00247A59">
        <w:t xml:space="preserve">Wspólna presja </w:t>
      </w:r>
      <w:r>
        <w:t xml:space="preserve">ze strony inspektoratu, mediów, strajków i postępowań sądowych stworzyła warunki, których żadna z tych dróg nie osiągnęłaby samodzielnie. Jednocześnie doświadczenie hiszpańskie ujawnia ograniczenia podejścia sektorowego: ustawa dotyczy wyłącznie dostaw żywności, </w:t>
      </w:r>
      <w:r>
        <w:t xml:space="preserve">podczas gdy </w:t>
      </w:r>
      <w:r>
        <w:t xml:space="preserve">Uber </w:t>
      </w:r>
      <w:r>
        <w:t xml:space="preserve">Eats </w:t>
      </w:r>
      <w:r>
        <w:t xml:space="preserve">i </w:t>
      </w:r>
      <w:r>
        <w:t xml:space="preserve">Lieferando </w:t>
      </w:r>
      <w:r>
        <w:t xml:space="preserve">po prostu przeszły na </w:t>
      </w:r>
      <w:r>
        <w:t xml:space="preserve">model </w:t>
      </w:r>
      <w:r>
        <w:t xml:space="preserve">podwykonawczy</w:t>
      </w:r>
      <w:r>
        <w:t xml:space="preserve">.</w:t>
      </w:r>
    </w:p>
    <w:p w:rsidR="00247A59" w:rsidP="00750824" w:rsidRDefault="00247A59" w14:paraId="0359DC76" w14:textId="77777777">
      <w:pPr>
        <w:jc w:val="both"/>
      </w:pPr>
    </w:p>
    <w:p w:rsidR="00983F19" w:rsidP="00750824" w:rsidRDefault="00000000" w14:paraId="4B1DC074" w14:textId="620943DA">
      <w:pPr>
        <w:jc w:val="both"/>
      </w:pPr>
      <w:r>
        <w:t xml:space="preserve">W 2020 roku </w:t>
      </w:r>
      <w:r>
        <w:rPr>
          <w:b/>
          <w:bCs/>
        </w:rPr>
        <w:t xml:space="preserve">Austria </w:t>
      </w:r>
      <w:r>
        <w:t xml:space="preserve">zawarła pierwszy </w:t>
      </w:r>
      <w:r>
        <w:t xml:space="preserve">na świecie </w:t>
      </w:r>
      <w:r>
        <w:t xml:space="preserve">branżowy układ zbiorowy dla </w:t>
      </w:r>
      <w:r>
        <w:t xml:space="preserve">dostawców </w:t>
      </w:r>
      <w:r>
        <w:t xml:space="preserve">platformowych</w:t>
      </w:r>
      <w:r w:rsidR="00247A59">
        <w:t xml:space="preserve">, co stanowi </w:t>
      </w:r>
      <w:r>
        <w:t xml:space="preserve">sukces w zakresie wynagrodzeń, ale nie w kwestii algorytmów. </w:t>
      </w:r>
      <w:r>
        <w:t xml:space="preserve">Riders </w:t>
      </w:r>
      <w:r>
        <w:t xml:space="preserve">Collective </w:t>
      </w:r>
      <w:r>
        <w:t xml:space="preserve">wspierało utworzenie rady pracowniczej w </w:t>
      </w:r>
      <w:r>
        <w:t xml:space="preserve">Foodora </w:t>
      </w:r>
      <w:r>
        <w:t xml:space="preserve">(pierwszej w 2017 r.), jednak firma zablokowała później przedłużenie umowy korporacyjnej dotyczącej danych w 2021 r., powołując się na brak gotowości kierownictwa. W </w:t>
      </w:r>
      <w:r w:rsidR="00247A59">
        <w:t xml:space="preserve">firmie Lieferand </w:t>
      </w:r>
      <w:r>
        <w:t xml:space="preserve">rada pracownicza działała od 2019 r., jednak w 2025 r. firma zablokowała prawnie dalsze próby jej działania poprzez masowe zwolnienia i przejście na model samozatrudnienia, powołując się na zdecentralizowaną strukturę i dostosowanie do standardów branżowych.</w:t>
      </w:r>
    </w:p>
    <w:p w:rsidR="00247A59" w:rsidP="00750824" w:rsidRDefault="00247A59" w14:paraId="0D37FB91" w14:textId="77777777">
      <w:pPr>
        <w:jc w:val="both"/>
      </w:pPr>
    </w:p>
    <w:p w:rsidR="00983F19" w:rsidP="00750824" w:rsidRDefault="00000000" w14:paraId="4F6D002D" w14:textId="187CDC1D">
      <w:pPr>
        <w:jc w:val="both"/>
      </w:pPr>
      <w:r>
        <w:rPr>
          <w:b/>
          <w:bCs/>
        </w:rPr>
        <w:t xml:space="preserve">Włochy </w:t>
      </w:r>
      <w:r>
        <w:t xml:space="preserve">borykają się z dwoistością sytuacji: </w:t>
      </w:r>
      <w:r>
        <w:t xml:space="preserve">JustEat </w:t>
      </w:r>
      <w:r>
        <w:t xml:space="preserve">jest jedyną większą platformą, która zatrudniła dostawców i zawarła układ zbiorowy. Pozostałe platformy korzystają z usług osób samozatrudnionych, </w:t>
      </w:r>
      <w:r>
        <w:t xml:space="preserve">a </w:t>
      </w:r>
      <w:r>
        <w:t xml:space="preserve">skrajnie </w:t>
      </w:r>
      <w:r>
        <w:t xml:space="preserve">prawicowy rząd milczy na temat tej dyrektywy. Związki zawodowe skoncentrowały się zatem na porozumieniach regionalnych oraz na budowaniu tożsamości zbiorowej poprzez innowacyjne modele organizacyjne, takie jak </w:t>
      </w:r>
      <w:r>
        <w:t xml:space="preserve">Casa </w:t>
      </w:r>
      <w:r>
        <w:t xml:space="preserve">Rider</w:t>
      </w:r>
      <w:r>
        <w:t xml:space="preserve">.</w:t>
      </w:r>
    </w:p>
    <w:p w:rsidR="00247A59" w:rsidP="00750824" w:rsidRDefault="00247A59" w14:paraId="5E864D0C" w14:textId="77777777">
      <w:pPr>
        <w:jc w:val="both"/>
      </w:pPr>
    </w:p>
    <w:p w:rsidR="00983F19" w:rsidP="00750824" w:rsidRDefault="00000000" w14:paraId="23AC969E" w14:textId="044D5ED6">
      <w:pPr>
        <w:jc w:val="both"/>
      </w:pPr>
      <w:r>
        <w:rPr>
          <w:b/>
          <w:bCs/>
        </w:rPr>
        <w:lastRenderedPageBreak/>
      </w:r>
      <w:r>
        <w:rPr>
          <w:b/>
          <w:bCs/>
        </w:rPr>
        <w:t xml:space="preserve">W Belgii </w:t>
      </w:r>
      <w:r>
        <w:t xml:space="preserve">działa platforma </w:t>
      </w:r>
      <w:r>
        <w:t xml:space="preserve">Takeaway</w:t>
      </w:r>
      <w:r>
        <w:t xml:space="preserve">, zarejestrowana jako firma reklamowa</w:t>
      </w:r>
      <w:r w:rsidR="00247A59">
        <w:t xml:space="preserve">, </w:t>
      </w:r>
      <w:r>
        <w:t xml:space="preserve">co pozwala jej stosować niższe minimalne standardy branżowe i unikać zaliczenia do sektora transportowego. Dialog społeczny istnieje, ale jest pełen sprzeczności: związki zawodowe uważają, że platforma powinna należeć do sektora transportowego, który charakteryzuje się znacznie wyższymi standardami. Dyrektywa powinna zlikwidować tę nadużywaną klasyfikację sektorową.</w:t>
      </w:r>
    </w:p>
    <w:p w:rsidR="00247A59" w:rsidP="00750824" w:rsidRDefault="00247A59" w14:paraId="18A8573A" w14:textId="77777777">
      <w:pPr>
        <w:jc w:val="both"/>
      </w:pPr>
    </w:p>
    <w:p w:rsidR="00983F19" w:rsidP="00750824" w:rsidRDefault="00000000" w14:paraId="2F1ADDD4" w14:textId="5A0E883E">
      <w:pPr>
        <w:jc w:val="both"/>
      </w:pPr>
      <w:r>
        <w:rPr>
          <w:b/>
          <w:bCs/>
        </w:rPr>
        <w:t xml:space="preserve">Niemcy </w:t>
      </w:r>
      <w:r>
        <w:t xml:space="preserve">borykają się z innym problemem: związki zawodowe nie wiedzą, kto jest pracodawcą pracowników, ponieważ łańcuchy podwykonawców zaciemniają odpowiedzialność </w:t>
      </w:r>
      <w:r w:rsidR="00987363">
        <w:t xml:space="preserve">platformy</w:t>
      </w:r>
      <w:r>
        <w:t xml:space="preserve">. Bez jasnej identyfikacji pracodawcy nie ma partnera do negocjacji. </w:t>
      </w:r>
      <w:r>
        <w:t xml:space="preserve">Lieferando </w:t>
      </w:r>
      <w:r>
        <w:t xml:space="preserve">posiada co prawda radę pracowniczą</w:t>
      </w:r>
      <w:r w:rsidR="00987363">
        <w:t xml:space="preserve">, </w:t>
      </w:r>
      <w:r>
        <w:t xml:space="preserve">ale związki zawodowe (np. NGG) oceniają </w:t>
      </w:r>
      <w:r w:rsidR="00987363">
        <w:t xml:space="preserve">te relacje </w:t>
      </w:r>
      <w:r>
        <w:t xml:space="preserve">jako zbyt ograniczające: platforma publicznie je wspiera, jednak w praktyce utrudnia im działanie i nie chce poważnej współpracy bez prawdziwej organizacji oddolnej.</w:t>
      </w:r>
    </w:p>
    <w:p w:rsidR="00247A59" w:rsidP="00750824" w:rsidRDefault="00247A59" w14:paraId="1F15970F" w14:textId="77777777">
      <w:pPr>
        <w:jc w:val="both"/>
      </w:pPr>
    </w:p>
    <w:p w:rsidR="00983F19" w:rsidP="00750824" w:rsidRDefault="00000000" w14:paraId="34BCCADC" w14:textId="77777777">
      <w:pPr>
        <w:jc w:val="both"/>
      </w:pPr>
      <w:r>
        <w:rPr>
          <w:b/>
          <w:bCs/>
        </w:rPr>
        <w:t xml:space="preserve">Słowenia </w:t>
      </w:r>
      <w:r>
        <w:t xml:space="preserve">boryka się z charakterystyczną ambiwalencją: pracownicy dostrzegają swoją zależność od platformy, ale oczekują, że problem rozwiąże ministerstwo i konkurencja, a nie negocjacje zbiorowe. Brakuje świadomości na temat roli związków zawodowych i dialogu społecznego. ZSSS w swoich wytycznych proponuje, aby dyrektywa ustanowiła nie tylko prawo do negocjacji zbiorowych dla </w:t>
      </w:r>
      <w:r>
        <w:t xml:space="preserve">pracowników </w:t>
      </w:r>
      <w:r>
        <w:t xml:space="preserve">platformowych</w:t>
      </w:r>
      <w:r>
        <w:t xml:space="preserve">, ale także strukturalne warunki do ich realizacji: coroczne spotkanie wszystkich pracowników ze związkami zawodowymi, organizowane przez samą platformę; prawo związków zawodowych do przekazywania materiałów informacyjnych wszystkim pracownikom za pośrednictwem </w:t>
      </w:r>
      <w:r>
        <w:t xml:space="preserve">infrastruktury </w:t>
      </w:r>
      <w:r>
        <w:t xml:space="preserve">platformy</w:t>
      </w:r>
      <w:r>
        <w:t xml:space="preserve">; oraz cyfrową przestrzeń do organizowania się, której zarządzanie zostanie przekazane przedstawicielom pracowników na ich wniosek.</w:t>
      </w:r>
    </w:p>
    <w:p w:rsidR="00983F19" w:rsidP="00750824" w:rsidRDefault="00000000" w14:paraId="49BF2047" w14:textId="77777777">
      <w:pPr>
        <w:pStyle w:val="Naslov3"/>
        <w:jc w:val="both"/>
      </w:pPr>
      <w:bookmarkStart w:name="Xee032679bfb18a805a02c69cf6ec84a6b09f355" w:id="54"/>
      <w:bookmarkEnd w:id="53"/>
      <w:r>
        <w:t xml:space="preserve">Stowarzyszenia pracodawców jako potencjalni sojusznicy</w:t>
      </w:r>
    </w:p>
    <w:p w:rsidR="00983F19" w:rsidP="00750824" w:rsidRDefault="00000000" w14:paraId="44463323" w14:textId="7A8D9547">
      <w:pPr>
        <w:jc w:val="both"/>
      </w:pPr>
      <w:r>
        <w:t xml:space="preserve">Jednym z zaskakujących wniosków z konferencji w Lublanie było stwierdzenie, że </w:t>
      </w:r>
      <w:r>
        <w:rPr>
          <w:b/>
          <w:bCs/>
        </w:rPr>
        <w:t xml:space="preserve">tradycyjne stowarzyszenia pracodawców są potencjalnymi sojusznikami związków zawodowych </w:t>
      </w:r>
      <w:r>
        <w:t xml:space="preserve">w zakresie regulacji </w:t>
      </w:r>
      <w:r>
        <w:t xml:space="preserve">pracy </w:t>
      </w:r>
      <w:r>
        <w:t xml:space="preserve">na platformach</w:t>
      </w:r>
      <w:r>
        <w:t xml:space="preserve">. Platformy nie są członkami większości branżowych stowarzyszeń pracodawców. Ponieważ działają one bez </w:t>
      </w:r>
      <w:r>
        <w:t xml:space="preserve">zobowiązań</w:t>
      </w:r>
      <w:r w:rsidR="00DB7748">
        <w:t xml:space="preserve"> wynikających z prawa pracy</w:t>
      </w:r>
      <w:r>
        <w:t xml:space="preserve">, stanowią nieuczciwą konkurencję dla tradycyjnych przedsiębiorstw, które zatrudniają </w:t>
      </w:r>
      <w:r w:rsidR="00DB7748">
        <w:t xml:space="preserve">pracowników</w:t>
      </w:r>
      <w:r>
        <w:t xml:space="preserve">, opłacają </w:t>
      </w:r>
      <w:r w:rsidR="00DB7748">
        <w:t xml:space="preserve">za nich </w:t>
      </w:r>
      <w:r>
        <w:t xml:space="preserve">składki </w:t>
      </w:r>
      <w:r w:rsidR="00DB7748">
        <w:t xml:space="preserve">oraz zapewniają im pozostałe prawa wynikające z pracy</w:t>
      </w:r>
      <w:r>
        <w:t xml:space="preserve">. Stwarza to wspólny interes w zakresie równych warunków konkurencji (</w:t>
      </w:r>
      <w:r w:rsidRPr="00016B3D">
        <w:t xml:space="preserve">„level </w:t>
      </w:r>
      <w:r w:rsidRPr="00016B3D">
        <w:t xml:space="preserve">playing </w:t>
      </w:r>
      <w:r w:rsidRPr="00016B3D" w:rsidR="00DB7748">
        <w:t xml:space="preserve">field”</w:t>
      </w:r>
      <w:r w:rsidRPr="00DB7748">
        <w:t xml:space="preserve">), </w:t>
      </w:r>
      <w:r>
        <w:t xml:space="preserve">który dyrektywa wyraźnie wymienia jako jeden ze swoich celów.</w:t>
      </w:r>
    </w:p>
    <w:p w:rsidR="00983F19" w:rsidP="00750824" w:rsidRDefault="00000000" w14:paraId="54249C68" w14:textId="77777777">
      <w:pPr>
        <w:pStyle w:val="Naslov3"/>
        <w:jc w:val="both"/>
      </w:pPr>
      <w:bookmarkStart w:name="Xa2dd5d940cabac1ded9a12db2f3ecf2d9718612" w:id="55"/>
      <w:bookmarkEnd w:id="54"/>
      <w:r>
        <w:t xml:space="preserve">Układy zbiorowe wykraczające poza </w:t>
      </w:r>
      <w:r>
        <w:t xml:space="preserve">pracę </w:t>
      </w:r>
      <w:r>
        <w:t xml:space="preserve">platformową</w:t>
      </w:r>
    </w:p>
    <w:p w:rsidR="00983F19" w:rsidP="00750824" w:rsidRDefault="00000000" w14:paraId="1B9121B1" w14:textId="65BCC96A">
      <w:pPr>
        <w:jc w:val="both"/>
      </w:pPr>
      <w:r>
        <w:t xml:space="preserve">Wiele państw partnerskich potwierdziło praktykę, której dyrektywa nie zabrania, a którą art. 28 pośrednio wspiera: rozszerzenie istniejących sektorowych układów zbiorowych na pracowników platform wykonujących porównywalną pracę. We Włoszech związki zawodowe starają się </w:t>
      </w:r>
      <w:r>
        <w:t xml:space="preserve">rozszerzyć układ </w:t>
      </w:r>
      <w:r w:rsidR="00DB7748">
        <w:t xml:space="preserve">zbiorowy </w:t>
      </w:r>
      <w:r>
        <w:t xml:space="preserve">w sektorze transportowym na dostawców. W Austrii </w:t>
      </w:r>
      <w:r w:rsidR="00DB7748">
        <w:t xml:space="preserve">układ zbiorowy</w:t>
      </w:r>
      <w:r>
        <w:t xml:space="preserve"> dla kurierów </w:t>
      </w:r>
      <w:r>
        <w:t xml:space="preserve">powstał w wyniku rozszerzenia istniejącego układu pocztowego. Takie podejście nie wymaga tworzenia struktury negocjacyjnej od podstaw</w:t>
      </w:r>
      <w:r w:rsidR="00DB7748">
        <w:t xml:space="preserve">, lecz </w:t>
      </w:r>
      <w:r>
        <w:t xml:space="preserve">opiera się na istniejących i sprawdzonych ramach.</w:t>
      </w:r>
    </w:p>
    <w:p w:rsidR="00983F19" w:rsidP="00750824" w:rsidRDefault="00000000" w14:paraId="29C649F6" w14:textId="77777777">
      <w:pPr>
        <w:pStyle w:val="Naslov3"/>
        <w:jc w:val="both"/>
      </w:pPr>
      <w:bookmarkStart w:name="platforme-ki-blokirajo-socialni-dialog" w:id="56"/>
      <w:bookmarkEnd w:id="55"/>
      <w:r>
        <w:t xml:space="preserve">Platformy blokujące dialog społeczny</w:t>
      </w:r>
    </w:p>
    <w:p w:rsidR="00983F19" w:rsidP="00750824" w:rsidRDefault="00000000" w14:paraId="371020DC" w14:textId="74869D2B">
      <w:pPr>
        <w:jc w:val="both"/>
      </w:pPr>
      <w:r>
        <w:t xml:space="preserve">Podczas konferencji zidentyfikowano typowe taktyki stosowane przez platformy w celu uniemożliwienia organizowania się pracowników: „spotkania PR”, na które zapraszani są poszczególni pracownicy (Polska </w:t>
      </w:r>
      <w:r w:rsidR="00DB7748">
        <w:t xml:space="preserve">i Słowenia</w:t>
      </w:r>
      <w:r>
        <w:t xml:space="preserve">) w celu destabilizacji zbiorowego organizowania się; „żółte związki zawodowe”, które proponują trzeci status pomiędzy pracownikiem a osobą samozatrudnioną (Włochy, Polska); odcięcie dostępu </w:t>
      </w:r>
      <w:r w:rsidR="00DB7748">
        <w:t xml:space="preserve">do </w:t>
      </w:r>
      <w:r>
        <w:t xml:space="preserve">platformy pracownikom, którzy się organizują lub strajkują (przykład </w:t>
      </w:r>
      <w:r>
        <w:t xml:space="preserve">firmy Wolt </w:t>
      </w:r>
      <w:r>
        <w:t xml:space="preserve">w Polsce, która zablokowała konta</w:t>
      </w:r>
      <w:r>
        <w:lastRenderedPageBreak/>
      </w:r>
      <w:r>
        <w:t xml:space="preserve"> protestujących</w:t>
      </w:r>
      <w:r w:rsidR="00DB7748">
        <w:t xml:space="preserve">, </w:t>
      </w:r>
      <w:r>
        <w:t xml:space="preserve">ale pod presją mediów wycofała się z tej decyzji); oraz prawne blokady rad pracowniczych poprzez powoływanie się na zdecentralizowaną strukturę (Austria).</w:t>
      </w:r>
    </w:p>
    <w:p w:rsidR="00983F19" w:rsidP="00750824" w:rsidRDefault="00000000" w14:paraId="00C95E22" w14:textId="77777777">
      <w:pPr>
        <w:pStyle w:val="Naslov2"/>
        <w:jc w:val="both"/>
      </w:pPr>
      <w:bookmarkStart w:name="_Toc233699499" w:id="57"/>
      <w:bookmarkStart w:name="priporočila-3" w:id="58"/>
      <w:bookmarkEnd w:id="51"/>
      <w:bookmarkEnd w:id="56"/>
      <w:r>
        <w:t xml:space="preserve">6.3 Zalecenia</w:t>
      </w:r>
      <w:bookmarkEnd w:id="57"/>
    </w:p>
    <w:p w:rsidR="00D90A18" w:rsidP="00750824" w:rsidRDefault="00000000" w14:paraId="482CF965" w14:textId="3DA33AB7">
      <w:pPr>
        <w:pStyle w:val="Naslov3"/>
        <w:jc w:val="both"/>
      </w:pPr>
      <w:r>
        <w:t xml:space="preserve">Zalecenie 6.1 [WYKRACZA POZA MINIMUM]: Aktywne zachęty państwowe do prowadzenia negocjacji zbiorowych dla wszystkich pracowników, niezależnie od ich statusu</w:t>
      </w:r>
    </w:p>
    <w:p w:rsidR="00D90A18" w:rsidP="00750824" w:rsidRDefault="00000000" w14:paraId="006876A2" w14:textId="4D19F4F4">
      <w:pPr>
        <w:jc w:val="both"/>
      </w:pPr>
      <w:r>
        <w:t xml:space="preserve">Artykuł 25 dyrektywy wymaga „odpowiednich środków” w celu wspierania negocjacji zbiorowych </w:t>
      </w:r>
      <w:r w:rsidR="00D7386B">
        <w:t xml:space="preserve">– </w:t>
      </w:r>
      <w:r>
        <w:t xml:space="preserve">nie określa jednak ich treści. Państwa członkowskie powinny podczas wdrażania wyjść poza czysto deklaratywne wsparcie i ustanowić konkretne mechanizmy: wsparcie finansowe na wzmocnienie potencjału związków zawodowych w sektorach cyfrowych, sankcje wobec platform, które utrudniają lub opóźniają negocjacje zbiorowe, oraz zachęty (np. w formie certyfikatu społecznego wzorowanego na I filarze propozycji partnerów społecznych SDDP) dla platform, które dobrowolnie i konstruktywnie angażują się w negocjacje. </w:t>
      </w:r>
    </w:p>
    <w:p w:rsidR="00D90A18" w:rsidP="00750824" w:rsidRDefault="00D90A18" w14:paraId="429BC2C0" w14:textId="77777777">
      <w:pPr>
        <w:jc w:val="both"/>
      </w:pPr>
    </w:p>
    <w:p w:rsidR="00D90A18" w:rsidP="00750824" w:rsidRDefault="00000000" w14:paraId="6C8B056F" w14:textId="11F4239B">
      <w:pPr>
        <w:jc w:val="both"/>
      </w:pPr>
      <w:r>
        <w:t xml:space="preserve">Szczególnie zalecamy utworzenie krajowego funduszu na potrzeby wspólnego przeglądu algorytmów, do którego platformy wpłacają część swoich przychodów (0,</w:t>
      </w:r>
      <w:r>
        <w:t xml:space="preserve">5–1%), wzorowanego na austriackiej </w:t>
      </w:r>
      <w:r w:rsidR="001627FA">
        <w:t xml:space="preserve">„Arbeiterkammer” </w:t>
      </w:r>
      <w:r>
        <w:t xml:space="preserve">(0,5% wynagrodzeń) oraz francuskim systemie szkolenia zawodowego. Fundusz finansuje wspólne trójstronne audyty systemów AM: zarówno związki zawodowe, jak i platforma proponują niezależnych ekspertów, a neutralny arbiter rozstrzyga spory. Celem funduszu jest eliminacja asymetrii informacyjnej</w:t>
      </w:r>
      <w:r w:rsidR="001627FA">
        <w:t xml:space="preserve">, a </w:t>
      </w:r>
      <w:r>
        <w:t xml:space="preserve">nie finansowanie jednej ze stron sporu pracowniczego kosztem drugiej. Funduszem zarządza komitet trójstronny (rząd, związki zawodowe, platforma) pod nadzorem ELA.</w:t>
      </w:r>
    </w:p>
    <w:p w:rsidR="00D90A18" w:rsidP="00750824" w:rsidRDefault="00000000" w14:paraId="4C103689" w14:textId="3273A31F">
      <w:pPr>
        <w:pStyle w:val="Naslov3"/>
        <w:jc w:val="both"/>
      </w:pPr>
      <w:r>
        <w:t xml:space="preserve">Zalecenie 6.2 [DYREKTYWA]: Infrastruktura komunikacyjna jako warunek strukturalny organizacji</w:t>
      </w:r>
    </w:p>
    <w:p w:rsidR="00D90A18" w:rsidP="00750824" w:rsidRDefault="00000000" w14:paraId="25091304" w14:textId="7EB11E9A">
      <w:pPr>
        <w:jc w:val="both"/>
      </w:pPr>
      <w:r>
        <w:t xml:space="preserve">Artykuł 20 dyrektywy wymaga bezpiecznych i prywatnych kanałów komunikacyjnych, niezależnych od samej platformy. Grupa ekspertów KE wyjaśniła, że wiadomości grupowe w aplikacjach platform nie są wystarczające. </w:t>
      </w:r>
      <w:r w:rsidR="001627FA">
        <w:t xml:space="preserve">Proponujemy </w:t>
      </w:r>
      <w:r>
        <w:t xml:space="preserve">dwa uzupełniające się rozwiązania: obowiązek platformy polegający na utworzeniu oddzielnej przestrzeni cyfrowej do wzajemnej komunikacji pracowników, której zarządzanie na żądanie zostanie przekazane przedstawicielom pracowników, oraz obowiązek platformy polegający na przekazywaniu, na żądanie związku zawodowego, </w:t>
      </w:r>
      <w:r>
        <w:t xml:space="preserve">materiałów informacyjnych</w:t>
      </w:r>
      <w:r w:rsidR="001627FA">
        <w:t xml:space="preserve"> związku </w:t>
      </w:r>
      <w:r>
        <w:t xml:space="preserve">wszystkim pracownikom za pośrednictwem </w:t>
      </w:r>
      <w:r>
        <w:t xml:space="preserve">infrastruktury </w:t>
      </w:r>
      <w:r w:rsidR="001627FA">
        <w:t xml:space="preserve">platformy</w:t>
      </w:r>
      <w:r>
        <w:t xml:space="preserve">. Ponadto platformy powinny organizować coroczne spotkanie wszystkich pracowników, w którym </w:t>
      </w:r>
      <w:r w:rsidR="001627FA">
        <w:t xml:space="preserve">uczestniczą </w:t>
      </w:r>
      <w:r>
        <w:t xml:space="preserve">również przedstawiciele związków zawodowych. Wszystkie te obowiązki powinny być wyraźnie </w:t>
      </w:r>
      <w:r w:rsidR="001627FA">
        <w:t xml:space="preserve">uwzględnione </w:t>
      </w:r>
      <w:r>
        <w:t xml:space="preserve">w </w:t>
      </w:r>
      <w:r w:rsidR="001627FA">
        <w:t xml:space="preserve">środkach wykonawczych</w:t>
      </w:r>
      <w:r>
        <w:t xml:space="preserve">, a nie tylko domyślnie.</w:t>
      </w:r>
    </w:p>
    <w:p w:rsidR="00D90A18" w:rsidP="00750824" w:rsidRDefault="00000000" w14:paraId="682B53D9" w14:textId="171C4444">
      <w:pPr>
        <w:pStyle w:val="Naslov3"/>
        <w:jc w:val="both"/>
      </w:pPr>
      <w:r>
        <w:t xml:space="preserve">Zalecenie 6.3 [DYREKTYWA]: Droga do wdrożenia dyrektywy poprzez układy zbiorowe</w:t>
      </w:r>
    </w:p>
    <w:p w:rsidR="00D90A18" w:rsidP="00750824" w:rsidRDefault="00000000" w14:paraId="613C8C0A" w14:textId="2C1EEB0F">
      <w:pPr>
        <w:jc w:val="both"/>
      </w:pPr>
      <w:r>
        <w:t xml:space="preserve">Artykuł 29 ust. 4 dyrektywy umożliwia partnerom społecznym, na wspólny wniosek, przejęcie odpowiedzialności za wdrożenie dyrektywy (lub jej części), pod warunkiem że państwo zagwarantuje osiągnięcie jej celów. Tam, gdzie związki zawodowe i pracodawcy są gotowi i zdolni to zrobić, rządy powinny aktywnie promować tę ścieżkę jako szybszą, lepiej dostosowaną i legitymizowaną alternatywę dla klasycznego procesu legislacyjnego. </w:t>
      </w:r>
      <w:r>
        <w:t xml:space="preserve">Mechanizm ten jest </w:t>
      </w:r>
      <w:r>
        <w:t xml:space="preserve">szczególnie </w:t>
      </w:r>
      <w:r>
        <w:t xml:space="preserve">cenny </w:t>
      </w:r>
      <w:r>
        <w:t xml:space="preserve">w krajach</w:t>
      </w:r>
      <w:r w:rsidR="001627FA">
        <w:t xml:space="preserve">, w których </w:t>
      </w:r>
      <w:r>
        <w:t xml:space="preserve">proces legislacyjny przebiega powoli lub charakteryzuje się niepewnością polityczną (np. Słowenia, Włochy). Warunkiem jest, aby rząd przyjął aktywną rolę mediatora, zapewnił nadzór oraz zagwarantował pełną realizację celów dyrektywy.</w:t>
      </w:r>
    </w:p>
    <w:p w:rsidR="00D90A18" w:rsidP="00750824" w:rsidRDefault="00000000" w14:paraId="6AD53E29" w14:textId="19459B81">
      <w:pPr>
        <w:pStyle w:val="Naslov3"/>
        <w:jc w:val="both"/>
      </w:pPr>
      <w:r>
        <w:lastRenderedPageBreak/>
      </w:r>
      <w:r>
        <w:t xml:space="preserve">Zalecenie 6.4 [WYKRACZA POZA MINIMUM]: Rozszerzenie istniejących sektorowych układów zbiorowych na porównywalnych </w:t>
      </w:r>
      <w:r>
        <w:t xml:space="preserve">pracowników </w:t>
      </w:r>
      <w:r>
        <w:t xml:space="preserve">platformowych</w:t>
      </w:r>
    </w:p>
    <w:p w:rsidR="00D90A18" w:rsidP="00750824" w:rsidRDefault="00000000" w14:paraId="11BEA5A1" w14:textId="1002763B">
      <w:pPr>
        <w:jc w:val="both"/>
      </w:pPr>
      <w:r>
        <w:t xml:space="preserve">Układy zbiorowe w pokrewnych sektorach </w:t>
      </w:r>
      <w:r w:rsidR="00D7386B">
        <w:t xml:space="preserve">– </w:t>
      </w:r>
      <w:r>
        <w:t xml:space="preserve">transporcie, logistyce, usługach pocztowych </w:t>
      </w:r>
      <w:r w:rsidR="00D7386B">
        <w:t xml:space="preserve">– </w:t>
      </w:r>
      <w:r>
        <w:t xml:space="preserve">często obejmują pracę, która pod względem treści jest porównywalna z </w:t>
      </w:r>
      <w:r>
        <w:t xml:space="preserve">pracą na platformach</w:t>
      </w:r>
      <w:r>
        <w:t xml:space="preserve">. Dyrektywa oraz art. 28 dopuszczają rozszerzenie tych układów na pracowników platform. Rządy powinny wprowadzić mechanizmy mediacji i zachęty finansowe na rzecz tego rodzaju rozszerzeń. Podejście to jest szybsze i mniej wymagające pod względem politycznym niż tworzenie zupełnie nowych struktur układów zbiorowych </w:t>
      </w:r>
      <w:r w:rsidR="00D7386B">
        <w:t xml:space="preserve">– </w:t>
      </w:r>
      <w:r>
        <w:t xml:space="preserve">a ponadto bezpośrednio rozwiązuje problem nieuczciwej konkurencji, który dostrzegają tradycyjne branżowe stowarzyszenia pracodawców. Modelem odniesienia dla </w:t>
      </w:r>
      <w:r>
        <w:t xml:space="preserve">układu zbiorowego dostosowanego do specyfiki platform jest doświadczenie </w:t>
      </w:r>
      <w:r>
        <w:t xml:space="preserve">JustEat </w:t>
      </w:r>
      <w:r>
        <w:t xml:space="preserve">España </w:t>
      </w:r>
      <w:r w:rsidR="00D7386B">
        <w:t xml:space="preserve">– </w:t>
      </w:r>
      <w:r>
        <w:t xml:space="preserve">jedyny układ zbiorowy w tym sektorze, który oprócz wynagrodzeń przewiduje utworzenie wspólnej komisji ds. nadzoru nad algorytmami. Partnerzy społeczni </w:t>
      </w:r>
      <w:r w:rsidR="00191599">
        <w:t xml:space="preserve">powinni</w:t>
      </w:r>
      <w:r>
        <w:t xml:space="preserve"> </w:t>
      </w:r>
      <w:r>
        <w:t xml:space="preserve">dążyć do zawarcia </w:t>
      </w:r>
      <w:r>
        <w:t xml:space="preserve">układów zbiorowych dotyczących platform w ciągu dwóch lat od wejścia w życie ustawy transpozycyjnej.</w:t>
      </w:r>
    </w:p>
    <w:p w:rsidR="00D90A18" w:rsidP="00750824" w:rsidRDefault="00000000" w14:paraId="59E4D958" w14:textId="791CE12D">
      <w:pPr>
        <w:pStyle w:val="Naslov3"/>
        <w:jc w:val="both"/>
      </w:pPr>
      <w:r>
        <w:t xml:space="preserve">Zalecenie 6.5 [WYKRACZA POZA MINIMUM]: Dialog społeczny jako pomost między przyjęciem dyrektywy a jej faktycznym wdrożeniem </w:t>
      </w:r>
      <w:r w:rsidR="00D7386B">
        <w:t xml:space="preserve">– </w:t>
      </w:r>
      <w:r>
        <w:t xml:space="preserve">tymczasowa ochrona zbiorowa w trakcie kwestionowania prawnego domniemania </w:t>
      </w:r>
      <w:r w:rsidR="00615F18">
        <w:t xml:space="preserve">zatrudnienia</w:t>
      </w:r>
    </w:p>
    <w:p w:rsidR="005D1CAF" w:rsidP="00750824" w:rsidRDefault="00000000" w14:paraId="4BA1000A" w14:textId="7642267F">
      <w:pPr>
        <w:jc w:val="both"/>
      </w:pPr>
      <w:r>
        <w:t xml:space="preserve">Z doświadczeń wszystkich krajów partnerskich wynika, że wdrożenie dyrektywy wywoła długotrwałe spory sądowe i administracyjne ze strony platform. W tym okresie</w:t>
      </w:r>
      <w:r w:rsidR="005D1CAF">
        <w:t xml:space="preserve">, </w:t>
      </w:r>
      <w:r>
        <w:t xml:space="preserve">który w niektórych krajach potrwa lata</w:t>
      </w:r>
      <w:r w:rsidR="005D1CAF">
        <w:t xml:space="preserve">, </w:t>
      </w:r>
      <w:r>
        <w:t xml:space="preserve">pracownicy </w:t>
      </w:r>
      <w:r w:rsidR="005D1CAF">
        <w:t xml:space="preserve">pozostaną </w:t>
      </w:r>
      <w:r>
        <w:t xml:space="preserve">bez ochrony. Proponujemy, aby państwa członkowskie przy transpozycji dyrektywy ustanowiły mechanizm tymczasowej ochrony zbiorowej: natychmiast po wydaniu przez właściwy inspektorat decyzji stwierdzającej, że platforma jest pracodawcą, należy obowiązkowo zainicjować trójstronny dialog między związkami zawodowymi, platformą i </w:t>
      </w:r>
      <w:r w:rsidR="005D1CAF">
        <w:t xml:space="preserve">właściwym ministerstwem</w:t>
      </w:r>
      <w:r>
        <w:t xml:space="preserve">. W tym kontekście partnerzy społeczni zawierają tymczasowe porozumienie zbiorowe dla wszystkich pracowników danej platformy, regulujące kluczowe prawa (minimalne wynagrodzenie, czas pracy, urlop, bezpieczeństwo i higiena pracy, składki na ubezpieczenie społeczne) i obowiązujące do czasu wydania prawomocnej decyzji w sprawie statusu. Platforma musi przystąpić do negocjacji najpóźniej w ciągu 15 dni </w:t>
      </w:r>
      <w:r>
        <w:t xml:space="preserve">lub w krótszym terminie, na jaki zezwala krajowy porządek prawny. Odmowa lub opóźnianie stanowią okoliczności obciążające w ewentualnym postępowaniu sądowym dotyczącym statusu zatrudnienia </w:t>
      </w:r>
      <w:r>
        <w:t xml:space="preserve">i powodują nałożenie stopniowo rosnących dziennych kar pieniężnych. Zakaz prowadzenia działalności nakłada się wyłącznie jako </w:t>
      </w:r>
      <w:r w:rsidRPr="00016B3D">
        <w:rPr>
          <w:i/>
          <w:iCs/>
        </w:rPr>
        <w:t xml:space="preserve">ostateczny </w:t>
      </w:r>
      <w:r w:rsidRPr="00016B3D">
        <w:rPr>
          <w:i/>
          <w:iCs/>
        </w:rPr>
        <w:t xml:space="preserve">środek </w:t>
      </w:r>
      <w:r>
        <w:t xml:space="preserve">po sądowym potwierdzeniu uporczywego odmownego postępowania. Wynagrodzenia za wykonaną pracę oraz wpłacone składki pozostają w posiadaniu pracowników; jeżeli sąd prawomocnie stwierdzi, że stosunek ten nie </w:t>
      </w:r>
      <w:r w:rsidR="00615F18">
        <w:t xml:space="preserve">miał charakteru zatrudnienia</w:t>
      </w:r>
      <w:r>
        <w:t xml:space="preserve">, platforma uzyskuje prawo do ograniczonego </w:t>
      </w:r>
      <w:r w:rsidR="005D1CAF">
        <w:t xml:space="preserve">zwrotu jedynie </w:t>
      </w:r>
      <w:r>
        <w:t xml:space="preserve">tej części wypłat, która przekracza wynagrodzenie, należne osobom samozatrudnionym w tym samym okresie </w:t>
      </w:r>
      <w:r w:rsidR="00D7386B">
        <w:t xml:space="preserve">– </w:t>
      </w:r>
      <w:r>
        <w:t xml:space="preserve">bez odsetek i w rozsądnym terminie określonym przez ustawodawcę (propozycja: do 24 miesięcy), przy czym wynagrodzenia za wykonaną pracę, składki i zwroty kosztów nie podlegają zwrotowi. </w:t>
      </w:r>
    </w:p>
    <w:p w:rsidR="005D1CAF" w:rsidP="00750824" w:rsidRDefault="005D1CAF" w14:paraId="0EAF7B61" w14:textId="77777777">
      <w:pPr>
        <w:jc w:val="both"/>
      </w:pPr>
    </w:p>
    <w:p w:rsidR="00D90A18" w:rsidP="00750824" w:rsidRDefault="00000000" w14:paraId="3B72E63A" w14:textId="019D19BF">
      <w:pPr>
        <w:jc w:val="both"/>
      </w:pPr>
      <w:r>
        <w:t xml:space="preserve">Państwo przejmuje ryzyko błędnego ustalenia statusu zatrudnienia: jeśli </w:t>
      </w:r>
      <w:r>
        <w:t xml:space="preserve">decyzja</w:t>
      </w:r>
      <w:r w:rsidR="005D1CAF">
        <w:t xml:space="preserve"> inspektoratu </w:t>
      </w:r>
      <w:r>
        <w:t xml:space="preserve">okaże </w:t>
      </w:r>
      <w:r>
        <w:t xml:space="preserve">się </w:t>
      </w:r>
      <w:r>
        <w:t xml:space="preserve">błędna, ciężar zwrotu wypłat ponosi państwo, a nie pracownik ani platforma. W ten sposób państwo gwarantuje wiarygodność </w:t>
      </w:r>
      <w:r>
        <w:t xml:space="preserve">decyzji</w:t>
      </w:r>
      <w:r w:rsidR="005D1CAF">
        <w:t xml:space="preserve"> inspekcyjnej</w:t>
      </w:r>
      <w:r>
        <w:t xml:space="preserve">, a jednocześnie tworzy ekonomiczną zachętę do wysokiej jakości pracy inspektoratu </w:t>
      </w:r>
      <w:r w:rsidR="00D7386B">
        <w:t xml:space="preserve">– </w:t>
      </w:r>
      <w:r>
        <w:t xml:space="preserve">jeśli państwo musi ponieść koszty w przypadku popełnienia błędu przez inspektorat, będzie inwestować w kadrę, szkolenia i kompetencje algorytmiczne, </w:t>
      </w:r>
      <w:r w:rsidR="005D1CAF">
        <w:t xml:space="preserve">które zapobiegają błędom</w:t>
      </w:r>
      <w:r>
        <w:t xml:space="preserve">.</w:t>
      </w:r>
    </w:p>
    <w:p w:rsidR="00D90A18" w:rsidP="00750824" w:rsidRDefault="00000000" w14:paraId="41F71011" w14:textId="5DB7C7EE">
      <w:pPr>
        <w:pStyle w:val="Naslov3"/>
        <w:jc w:val="both"/>
      </w:pPr>
      <w:r>
        <w:t xml:space="preserve">Zalecenie 6.6 [DYREKTYWA]: Zbiorowe dochodzenie praw i postępowania grupowe</w:t>
      </w:r>
    </w:p>
    <w:p w:rsidR="00983F19" w:rsidP="00750824" w:rsidRDefault="00000000" w14:paraId="3E304394" w14:textId="5EE2445E">
      <w:pPr>
        <w:jc w:val="both"/>
      </w:pPr>
      <w:r>
        <w:lastRenderedPageBreak/>
      </w:r>
      <w:r>
        <w:t xml:space="preserve">W całości patrz zalecenie 3.5. Rozdział V </w:t>
      </w:r>
      <w:r w:rsidR="005D1CAF">
        <w:t xml:space="preserve">dyrektywy </w:t>
      </w:r>
      <w:r>
        <w:t xml:space="preserve">wzmacnia </w:t>
      </w:r>
      <w:r w:rsidR="005D1CAF">
        <w:t xml:space="preserve">ten </w:t>
      </w:r>
      <w:r>
        <w:t xml:space="preserve">wymóg: państwa członkowskie powinny przy transpozycji wyraźnie uregulować zasady proceduralne dotyczące zbiorowego dochodzenia praw przez związki zawodowe, ponieważ w wielu krajach </w:t>
      </w:r>
      <w:r w:rsidR="00D7386B">
        <w:t xml:space="preserve">– </w:t>
      </w:r>
      <w:r>
        <w:t xml:space="preserve">w tym w Niemczech i Słowenii </w:t>
      </w:r>
      <w:r w:rsidR="00D7386B">
        <w:t xml:space="preserve">– </w:t>
      </w:r>
      <w:r>
        <w:t xml:space="preserve">ustawodawstwo w ogóle nie przewiduje pozwów zbiorowych w sprawach z zakresu prawa pracy. Jest to jedyna realistyczna droga do zmian systemowych w sektorze, w którym pracownicy, obawiając się utraty dostępu do platformy, nie będą indywidualnie wszczynać postępowań.</w:t>
      </w:r>
    </w:p>
    <w:p w:rsidR="00D90A18" w:rsidP="00750824" w:rsidRDefault="00D90A18" w14:paraId="5C9D51B7" w14:textId="77777777">
      <w:pPr>
        <w:jc w:val="both"/>
      </w:pPr>
    </w:p>
    <w:p w:rsidR="00983F19" w:rsidP="00750824" w:rsidRDefault="00000000" w14:paraId="1A54C83A" w14:textId="08861689">
      <w:pPr>
        <w:jc w:val="both"/>
      </w:pPr>
      <w:r>
        <w:rPr>
          <w:i/>
          <w:iCs/>
        </w:rPr>
        <w:t xml:space="preserve">Źródła: Raport grupy ekspertów ds. transpozycji dyrektywy (UE) 2024/2831 (styczeń 2026 r.); Notatki z konferencji pośredniej SDDP, Lublana, maj 2025 r.; Wytyczne ZSSS dotyczące wdrożenia dyrektywy UE 2024/2831 (kwiecień 2025 r.); Wspólne ramy partnerów społecznych dotyczące wdrożenia dyrektywy </w:t>
      </w:r>
      <w:r w:rsidR="00D7386B">
        <w:rPr>
          <w:i/>
          <w:iCs/>
        </w:rPr>
        <w:t xml:space="preserve">– </w:t>
      </w:r>
      <w:r>
        <w:rPr>
          <w:i/>
          <w:iCs/>
        </w:rPr>
        <w:t xml:space="preserve">propozycja SDDP (2026 r.).</w:t>
      </w:r>
    </w:p>
    <w:p w:rsidR="00D90A18" w:rsidP="00750824" w:rsidRDefault="00000000" w14:paraId="41921E61" w14:textId="6E7DDB49">
      <w:pPr>
        <w:pStyle w:val="Naslov3"/>
        <w:jc w:val="both"/>
      </w:pPr>
      <w:r>
        <w:t xml:space="preserve">Zalecenie 6.7 [AMBICJOZNE]: Presja ESG/finansowa jako równoległy mechanizm promujący zgodność platform</w:t>
      </w:r>
    </w:p>
    <w:p w:rsidR="00D90A18" w:rsidP="00750824" w:rsidRDefault="00000000" w14:paraId="1DA449C1" w14:textId="2BFCEEB4">
      <w:pPr>
        <w:jc w:val="both"/>
      </w:pPr>
      <w:r>
        <w:t xml:space="preserve">Ministerstwa powinny </w:t>
      </w:r>
      <w:r>
        <w:t xml:space="preserve">koordynować</w:t>
      </w:r>
      <w:r w:rsidR="005D1CAF">
        <w:t xml:space="preserve"> działania </w:t>
      </w:r>
      <w:r>
        <w:t xml:space="preserve">z organami nadzoru rynków kapitałowych (ESMA) oraz organami ds. sprawozdawczości w </w:t>
      </w:r>
      <w:r>
        <w:t xml:space="preserve">zakresie zrównoważonego rozwoju</w:t>
      </w:r>
      <w:r>
        <w:t xml:space="preserve">,</w:t>
      </w:r>
      <w:r>
        <w:t xml:space="preserve"> aby </w:t>
      </w:r>
      <w:r w:rsidR="005D1CAF">
        <w:t xml:space="preserve">zapewnić</w:t>
      </w:r>
      <w:r>
        <w:t xml:space="preserve">, że brak certyfikatu społecznego będzie oznaczał wymierną negatywną informację społeczną dla platform notowanych na giełdach. Platformy zobowiązane do sprawozdawczości zgodnie ze standardami CSRD (ESRS S1 dla pracowników, ESRS S2 dla pracowników w łańcuchu wartości) muszą ujawniać status prawny i warunki pracy </w:t>
      </w:r>
      <w:r>
        <w:t xml:space="preserve">pracowników </w:t>
      </w:r>
      <w:r>
        <w:t xml:space="preserve">platform </w:t>
      </w:r>
      <w:r w:rsidR="00D7386B">
        <w:t xml:space="preserve">– </w:t>
      </w:r>
      <w:r>
        <w:t xml:space="preserve">brak certyfikatu społecznego stanowi udokumentowany negatywny wskaźnik społeczny. Zgodnie z rozporządzeniem SFDR (2019/2088/UE) fundusze z mandatem ESG (państwowe fundusze emerytalne, towarzystwa ubezpieczeniowe) muszą </w:t>
      </w:r>
      <w:r>
        <w:t xml:space="preserve">ujawniać </w:t>
      </w:r>
      <w:r>
        <w:t xml:space="preserve">nieprzestrzeganie dyrektywy w sprawie </w:t>
      </w:r>
      <w:r>
        <w:t xml:space="preserve">pracy </w:t>
      </w:r>
      <w:r>
        <w:t xml:space="preserve">na platformach </w:t>
      </w:r>
      <w:r>
        <w:t xml:space="preserve">jako </w:t>
      </w:r>
      <w:r>
        <w:t xml:space="preserve">„Principal </w:t>
      </w:r>
      <w:r>
        <w:t xml:space="preserve">Adverse </w:t>
      </w:r>
      <w:r w:rsidR="00016B3D">
        <w:t xml:space="preserve">Impact”</w:t>
      </w:r>
      <w:r w:rsidR="005D1CAF">
        <w:t xml:space="preserve">, </w:t>
      </w:r>
      <w:r>
        <w:t xml:space="preserve">co podnosi koszty kapitału platformy i ogranicza dostęp do inwestorów instytucjonalnych. Ministerstwa powinny zapewnić, aby właściwe organy systematycznie informowały agencje ESG (MSCI ESG, </w:t>
      </w:r>
      <w:r>
        <w:t xml:space="preserve">Sustainalytics</w:t>
      </w:r>
      <w:r>
        <w:t xml:space="preserve">, ISS) o stwierdzonych naruszeniach dyrektywy, ponieważ obniżona ocena ESG dla globalnych platform (np. </w:t>
      </w:r>
      <w:r>
        <w:t xml:space="preserve">Delivery </w:t>
      </w:r>
      <w:r>
        <w:t xml:space="preserve">Hero/DAX, </w:t>
      </w:r>
      <w:r>
        <w:t xml:space="preserve">Uber/NYSE) oznacza bezpośrednie konsekwencje finansowe, które dla takich podmiotów są </w:t>
      </w:r>
      <w:r w:rsidR="005D1CAF">
        <w:t xml:space="preserve">bardziej dotkliwe </w:t>
      </w:r>
      <w:r>
        <w:t xml:space="preserve">niż krajowe grzywny.</w:t>
      </w:r>
    </w:p>
    <w:p w:rsidR="005D1CAF" w:rsidP="00750824" w:rsidRDefault="005D1CAF" w14:paraId="3ACF0DE9" w14:textId="77777777">
      <w:pPr>
        <w:jc w:val="both"/>
      </w:pPr>
    </w:p>
    <w:p w:rsidR="00D90A18" w:rsidP="00750824" w:rsidRDefault="00000000" w14:paraId="42AE34C6" w14:textId="13C5A036">
      <w:pPr>
        <w:pStyle w:val="Blokbesedila"/>
      </w:pPr>
      <w:r>
        <w:t xml:space="preserve">Kontekst: I. filar protokołu SDDP ustanawia certyfikat społeczny jako publiczne potwierdzenie zgodności, wywierające wpływ na rynki finansowe poprzez wieloetapowy łańcuch przyczynowo-skutkowy: (1) niezgodność zostaje udokumentowana (przez inspektorat pracy lub w wyroku sądowym) </w:t>
      </w:r>
      <w:r w:rsidR="00D7386B">
        <w:t xml:space="preserve">– </w:t>
      </w:r>
      <w:r>
        <w:t xml:space="preserve">(2) platforma ujawnia ją zgodnie z CSRD (dyrektywa 2022/2464/UE) w standardach ESRS S1/S2 </w:t>
      </w:r>
      <w:r w:rsidR="00D7386B">
        <w:t xml:space="preserve">– </w:t>
      </w:r>
      <w:r>
        <w:t xml:space="preserve">(3) agencje ESG (MSCI ESG, </w:t>
      </w:r>
      <w:r>
        <w:t xml:space="preserve">Sustainalytics</w:t>
      </w:r>
      <w:r>
        <w:t xml:space="preserve">, ISS) obniżają ocenę </w:t>
      </w:r>
      <w:r w:rsidR="00D7386B">
        <w:t xml:space="preserve">– </w:t>
      </w:r>
      <w:r>
        <w:t xml:space="preserve">(4) inwestorzy instytucjonalni, zgłaszając „principal </w:t>
      </w:r>
      <w:r>
        <w:t xml:space="preserve">adverse</w:t>
      </w:r>
      <w:r>
        <w:t xml:space="preserve"> </w:t>
      </w:r>
      <w:r>
        <w:t xml:space="preserve">impact” zgodnie z rozporządzeniem SFDR (2019/2088/UE)</w:t>
      </w:r>
      <w:r w:rsidR="00D7386B">
        <w:t xml:space="preserve">,</w:t>
      </w:r>
      <w:r>
        <w:t xml:space="preserve"> </w:t>
      </w:r>
      <w:r>
        <w:t xml:space="preserve">ujawniają</w:t>
      </w:r>
      <w:r>
        <w:t xml:space="preserve"> to publicznie </w:t>
      </w:r>
      <w:r w:rsidR="00D7386B">
        <w:t xml:space="preserve">– </w:t>
      </w:r>
      <w:r>
        <w:t xml:space="preserve">(5) koszty finansowania wzrastają. Opóźnienie wynosi 1–2 lata, ale efekt jest trwały. </w:t>
      </w:r>
      <w:r>
        <w:t xml:space="preserve">Delivery </w:t>
      </w:r>
      <w:r>
        <w:t xml:space="preserve">Hero </w:t>
      </w:r>
      <w:r>
        <w:t xml:space="preserve">jest notowane na DAX, a </w:t>
      </w:r>
      <w:r>
        <w:t xml:space="preserve">Uber </w:t>
      </w:r>
      <w:r>
        <w:t xml:space="preserve">na NYSE </w:t>
      </w:r>
      <w:r w:rsidR="00D7386B">
        <w:t xml:space="preserve">– </w:t>
      </w:r>
      <w:r>
        <w:t xml:space="preserve">obniżona ocena ESG przekłada się na wyższą premię za ryzyko i niższą wartość rynkową. Ta presja finansowa jest dla globalnej platformy znacznie bardziej dotkliwa niż utrata pojedynczego zamówienia publicznego.</w:t>
      </w:r>
    </w:p>
    <w:p w:rsidR="00750824" w:rsidRDefault="00750824" w14:paraId="101D57FD" w14:textId="77777777">
      <w:pPr>
        <w:rPr>
          <w:b/>
          <w:bCs/>
          <w:color w:val="1F3864"/>
          <w:sz w:val="36"/>
          <w:szCs w:val="36"/>
        </w:rPr>
      </w:pPr>
      <w:bookmarkStart w:name="X2e90f431d41461f94a17746c4d41698b0106f03" w:id="59"/>
      <w:bookmarkEnd w:id="46"/>
      <w:bookmarkEnd w:id="58"/>
      <w:r>
        <w:br w:type="page"/>
      </w:r>
    </w:p>
    <w:p w:rsidR="00983F19" w:rsidP="00750824" w:rsidRDefault="00000000" w14:paraId="302B6A98" w14:textId="6D5279F3">
      <w:pPr>
        <w:pStyle w:val="Naslov1"/>
        <w:jc w:val="both"/>
      </w:pPr>
      <w:bookmarkStart w:name="_Toc233699500" w:id="60"/>
      <w:r>
        <w:lastRenderedPageBreak/>
      </w:r>
      <w:r>
        <w:t xml:space="preserve">Rozdział 7: Egzekwowanie i środki prawne</w:t>
      </w:r>
      <w:bookmarkEnd w:id="60"/>
    </w:p>
    <w:p w:rsidR="00983F19" w:rsidP="00750824" w:rsidRDefault="00000000" w14:paraId="0CA51AD2" w14:textId="31318C20">
      <w:pPr>
        <w:jc w:val="both"/>
      </w:pPr>
      <w:r>
        <w:t xml:space="preserve">Prawa gwarantowane przez dyrektywę są warte </w:t>
      </w:r>
      <w:r>
        <w:t xml:space="preserve">tyle, na ile prawdopodobne jest ich faktyczne dochodzenie </w:t>
      </w:r>
      <w:r w:rsidR="009C0D64">
        <w:t xml:space="preserve">w praktyce</w:t>
      </w:r>
      <w:r>
        <w:t xml:space="preserve">. Jest to podstawowy problem rozdziału V dyrektywy: artykuły 18–24 </w:t>
      </w:r>
      <w:r w:rsidR="009C0D64">
        <w:t xml:space="preserve">wprawdzie </w:t>
      </w:r>
      <w:r>
        <w:t xml:space="preserve">ustanawiają ramy egzekwowania, ale bez odpowiedniego finansowania organów kontrolnych, bez </w:t>
      </w:r>
      <w:r w:rsidR="009C0D64">
        <w:t xml:space="preserve">możliwości </w:t>
      </w:r>
      <w:r>
        <w:t xml:space="preserve">wnoszenia pozwów zbiorowych i bez </w:t>
      </w:r>
      <w:r>
        <w:t xml:space="preserve">odstraszających kar </w:t>
      </w:r>
      <w:r w:rsidR="009C0D64">
        <w:t xml:space="preserve">dla platform </w:t>
      </w:r>
      <w:r>
        <w:t xml:space="preserve">ramy te pozostają w dużej mierze formalne. Platformy są dobrze finansowanymi podmiotami prawnymi, które mogą sobie pozwolić na długotrwałe spory sądowe</w:t>
      </w:r>
      <w:r w:rsidR="009C0D64">
        <w:t xml:space="preserve">, </w:t>
      </w:r>
      <w:r w:rsidR="009C0D64">
        <w:t xml:space="preserve">podczas gdy</w:t>
      </w:r>
      <w:r>
        <w:t xml:space="preserve"> pracownicy i związki zawodowe </w:t>
      </w:r>
      <w:r>
        <w:t xml:space="preserve">z reguły nie mają takiej możliwości. Motywem przewodnim tego rozdziału jest zatem stwierdzenie: egzekwowanie przepisów bez postępowań zbiorowych i bez wystarczająco surowych sankcji jest </w:t>
      </w:r>
      <w:r w:rsidR="009C0D64">
        <w:t xml:space="preserve">jedynie </w:t>
      </w:r>
      <w:r>
        <w:t xml:space="preserve">pozorne.</w:t>
      </w:r>
    </w:p>
    <w:p w:rsidR="00983F19" w:rsidP="00750824" w:rsidRDefault="00000000" w14:paraId="35029659" w14:textId="77777777">
      <w:pPr>
        <w:pStyle w:val="Naslov2"/>
        <w:jc w:val="both"/>
      </w:pPr>
      <w:bookmarkStart w:name="_Toc233699501" w:id="61"/>
      <w:bookmarkStart w:name="zahteve-direktive-4" w:id="62"/>
      <w:r>
        <w:t xml:space="preserve">7.1 Wymogi dyrektywy</w:t>
      </w:r>
      <w:bookmarkEnd w:id="61"/>
    </w:p>
    <w:p w:rsidR="00983F19" w:rsidP="00750824" w:rsidRDefault="00000000" w14:paraId="3F4EA6AE" w14:textId="306C1FBE">
      <w:pPr>
        <w:jc w:val="both"/>
      </w:pPr>
      <w:r>
        <w:t xml:space="preserve">Artykuł 18 </w:t>
      </w:r>
      <w:r w:rsidR="009C0D64">
        <w:t xml:space="preserve">gwarantuje </w:t>
      </w:r>
      <w:r>
        <w:t xml:space="preserve">każdej osobie wykonującej </w:t>
      </w:r>
      <w:r>
        <w:t xml:space="preserve">pracę </w:t>
      </w:r>
      <w:r>
        <w:t xml:space="preserve">na platformie </w:t>
      </w:r>
      <w:r>
        <w:t xml:space="preserve">prawo do dostępu do terminowych, skutecznych i bezstronnych procedur rozstrzygania sporów oraz do odpowiedniego odszkodowania za szkody powstałe w wyniku naruszenia któregokolwiek z praw wynikających z dyrektywy. Prawo do ochrony sądowej zachowuje się również po wygaśnięciu stosunku umownego z platformą </w:t>
      </w:r>
      <w:r w:rsidR="00D7386B">
        <w:t xml:space="preserve">– </w:t>
      </w:r>
      <w:r>
        <w:t xml:space="preserve">platforma nie może zatem poprzez </w:t>
      </w:r>
      <w:r>
        <w:t xml:space="preserve">rozwiązanie stosunku umownego zamknąć dostępu do ochrony prawnej. Grupa ekspertów Komisji Europejskiej wyjaśniła: postępowania mogą mieć charakter administracyjny lub sądowy, w tym mogą obejmować </w:t>
      </w:r>
      <w:r w:rsidR="0030041A">
        <w:t xml:space="preserve">ugodę </w:t>
      </w:r>
      <w:r w:rsidR="0030041A">
        <w:t xml:space="preserve">pozasądową</w:t>
      </w:r>
      <w:r w:rsidR="0030041A">
        <w:t xml:space="preserve">, </w:t>
      </w:r>
      <w:r>
        <w:t xml:space="preserve">jednak niezależnie od rodzaju postępowania pracownikowi zawsze musi pozostać otwarta droga do sądu</w:t>
      </w:r>
      <w:r w:rsidR="0030041A">
        <w:t xml:space="preserve">.</w:t>
      </w:r>
    </w:p>
    <w:p w:rsidR="00D90A18" w:rsidP="00750824" w:rsidRDefault="00D90A18" w14:paraId="475D2C97" w14:textId="77777777">
      <w:pPr>
        <w:jc w:val="both"/>
      </w:pPr>
    </w:p>
    <w:p w:rsidR="00983F19" w:rsidP="00750824" w:rsidRDefault="00000000" w14:paraId="5C846C5A" w14:textId="60DF7432">
      <w:pPr>
        <w:jc w:val="both"/>
      </w:pPr>
      <w:r>
        <w:t xml:space="preserve">Artykuł 19 stanowi jedno z najważniejszych osiągnięć proceduralnych dyrektywy dla związków zawodowych: związki zawodowe i inne osoby prawne mające uzasadniony interes mogą wszcząć postępowanie sądowe lub administracyjne w imieniu lub na rzecz jednej lub kilku osób wykonujących </w:t>
      </w:r>
      <w:r>
        <w:t xml:space="preserve">pracę </w:t>
      </w:r>
      <w:r>
        <w:t xml:space="preserve">na platformach internetowych </w:t>
      </w:r>
      <w:r>
        <w:t xml:space="preserve">w przypadku naruszenia jakiegokolwiek prawa wynikającego z dyrektywy. Grupa ekspertów </w:t>
      </w:r>
      <w:r w:rsidR="0030041A">
        <w:t xml:space="preserve">KE </w:t>
      </w:r>
      <w:r>
        <w:t xml:space="preserve">potwierdziła, że przepis ten obejmuje prawo do wszczęcia postępowań, a nie tylko do przystąpienia do już toczących się postępowań. Potwierdziła również</w:t>
      </w:r>
      <w:r w:rsidR="0030041A">
        <w:t xml:space="preserve">, że </w:t>
      </w:r>
      <w:r w:rsidR="0030041A">
        <w:t xml:space="preserve">postępowania </w:t>
      </w:r>
      <w:r>
        <w:t xml:space="preserve">mogą </w:t>
      </w:r>
      <w:r>
        <w:t xml:space="preserve">mieć </w:t>
      </w:r>
      <w:r>
        <w:t xml:space="preserve">charakter zbiorowy. Prawo krajowe określa szczegóły dotyczące reprezentacji i zgody, jednak dyrektywa wymaga od państw członkowskich zapewnienia co najmniej jednej z następujących form: występowania w imieniu pracownika lub występowania na jego rzecz. Obie formy są dopuszczalne.</w:t>
      </w:r>
    </w:p>
    <w:p w:rsidR="00D90A18" w:rsidP="00750824" w:rsidRDefault="00D90A18" w14:paraId="5F3DAE2E" w14:textId="77777777">
      <w:pPr>
        <w:jc w:val="both"/>
      </w:pPr>
    </w:p>
    <w:p w:rsidR="00983F19" w:rsidP="00750824" w:rsidRDefault="00000000" w14:paraId="5C5013B8" w14:textId="23235FF1">
      <w:pPr>
        <w:jc w:val="both"/>
      </w:pPr>
      <w:r>
        <w:t xml:space="preserve">Artykuł 20 reguluje kanały komunikacyjne dla osób wykonujących </w:t>
      </w:r>
      <w:r>
        <w:t xml:space="preserve">pracę </w:t>
      </w:r>
      <w:r>
        <w:t xml:space="preserve">na platformach</w:t>
      </w:r>
      <w:r>
        <w:t xml:space="preserve">. Platforma musi zapewnić infrastrukturę cyfrową, która umożliwia pracownikom prywatną i bezpieczną komunikację między sobą oraz kontakt z przedstawicielami związków zawodowych. Platforma nie może mieć dostępu do treści tej komunikacji </w:t>
      </w:r>
      <w:r w:rsidR="00A14D12">
        <w:t xml:space="preserve">ani </w:t>
      </w:r>
      <w:r>
        <w:t xml:space="preserve">jej monitorować. Grupa ekspertów wyraziła się jasno: </w:t>
      </w:r>
      <w:r>
        <w:t xml:space="preserve">grupa</w:t>
      </w:r>
      <w:r>
        <w:t xml:space="preserve"> </w:t>
      </w:r>
      <w:r>
        <w:t xml:space="preserve">czatowa </w:t>
      </w:r>
      <w:r>
        <w:t xml:space="preserve">na zewnętrznej platformie, takiej jak </w:t>
      </w:r>
      <w:r>
        <w:t xml:space="preserve">WhatsApp</w:t>
      </w:r>
      <w:r>
        <w:t xml:space="preserve">, nie spełnia tego warunku </w:t>
      </w:r>
      <w:r w:rsidR="00D7386B">
        <w:t xml:space="preserve">– </w:t>
      </w:r>
      <w:r>
        <w:t xml:space="preserve">kanały muszą być indywidualnie dostępne dla przedstawicieli związków zawodowych, a bezpieczeństwo prywatności musi być zapewnione technicznie. Ewentualna </w:t>
      </w:r>
      <w:r>
        <w:t xml:space="preserve">moderacja </w:t>
      </w:r>
      <w:r>
        <w:t xml:space="preserve">treści (na przykład w przypadku wiadomości zawierających treści przemocy) musi być powierzona niezależnej stronie trzeciej, a nie pracownikom platformy.</w:t>
      </w:r>
    </w:p>
    <w:p w:rsidR="00D90A18" w:rsidP="00750824" w:rsidRDefault="00D90A18" w14:paraId="07116119" w14:textId="77777777">
      <w:pPr>
        <w:jc w:val="both"/>
      </w:pPr>
    </w:p>
    <w:p w:rsidR="00983F19" w:rsidP="00750824" w:rsidRDefault="00000000" w14:paraId="40C6BB19" w14:textId="7290A77D">
      <w:pPr>
        <w:jc w:val="both"/>
      </w:pPr>
      <w:r>
        <w:t xml:space="preserve">Artykuł 21 reguluje dostęp do dowodów. Sądy i właściwe organy muszą mieć uprawnienia do żądania od platformy ujawnienia wszelkich istotnych dowodów, które znajdują się w jej posiadaniu </w:t>
      </w:r>
      <w:r w:rsidR="00D7386B">
        <w:t xml:space="preserve">– </w:t>
      </w:r>
      <w:r>
        <w:t xml:space="preserve">w tym informacji poufnych, przy czym muszą istnieć odpowiednie mechanizmy ochrony poufności. Grupa ekspertów zwróciła uwagę, że kluczowe dowody dotyczące wytycznych i nadzoru za pośrednictwem algorytmów znajdują się z reguły w posiadaniu platformy i </w:t>
      </w:r>
      <w:r>
        <w:t xml:space="preserve">nie są dostępne dla</w:t>
      </w:r>
      <w:r>
        <w:t xml:space="preserve"> pracowników </w:t>
      </w:r>
      <w:r w:rsidR="00A14D12">
        <w:t xml:space="preserve">oraz ich przedstawicieli</w:t>
      </w:r>
      <w:r>
        <w:t xml:space="preserve">. Powołanie się na tajemnicę handlową nie stanowi absolutnej przeszkody dla ujawnienia </w:t>
      </w:r>
      <w:r w:rsidR="00D7386B">
        <w:t xml:space="preserve">– </w:t>
      </w:r>
      <w:r>
        <w:t xml:space="preserve">sąd jest uprawniony do nakazania ujawnienia przy zastosowaniu odpowiednich środków ochronnych.</w:t>
      </w:r>
    </w:p>
    <w:p w:rsidR="00D90A18" w:rsidP="00750824" w:rsidRDefault="00D90A18" w14:paraId="23047EB5" w14:textId="77777777">
      <w:pPr>
        <w:jc w:val="both"/>
      </w:pPr>
    </w:p>
    <w:p w:rsidR="00983F19" w:rsidP="00750824" w:rsidRDefault="00000000" w14:paraId="7E7DAA4F" w14:textId="3A2E838B">
      <w:pPr>
        <w:jc w:val="both"/>
      </w:pPr>
      <w:r>
        <w:t xml:space="preserve">Artykuł 22 </w:t>
      </w:r>
      <w:r w:rsidR="00016B3D">
        <w:t xml:space="preserve">chroni </w:t>
      </w:r>
      <w:r>
        <w:t xml:space="preserve">wszystkie osoby wykonujące </w:t>
      </w:r>
      <w:r>
        <w:t xml:space="preserve">pracę </w:t>
      </w:r>
      <w:r>
        <w:t xml:space="preserve">na platformach </w:t>
      </w:r>
      <w:r>
        <w:t xml:space="preserve">przed </w:t>
      </w:r>
      <w:r w:rsidR="00A14D12">
        <w:t xml:space="preserve">działaniami odwetowymi </w:t>
      </w:r>
      <w:r>
        <w:t xml:space="preserve">w odpowiedzi na dochodzenie praw wynikających z dyrektywy. Dyrektywa wyraźnie stanowi: niższe oceny, mniejsza liczba przydzielanych zleceń oraz wszelkie inne formy ukrytych kar są zabronione. Grupa ekspertów dodała: przydzielanie mniejszej liczby zadań lub wzmożony nadzór po dochodzeniu praw to typowe przykłady zabronionych działań odwetowych </w:t>
      </w:r>
      <w:r w:rsidR="00D7386B">
        <w:t xml:space="preserve">– </w:t>
      </w:r>
      <w:r>
        <w:t xml:space="preserve">należy jedynie wykazać związek przyczynowy między dochodzeniem praw a szkodliwym działaniem, przy czym ciężar dowodu spoczywa na platformie. Artykuł 23 rozszerza tę ochronę w szczególności na wypowiedzenie lub równoważne środki: platforma nie może rozwiązać stosunku umownego z pracownikiem ani zablokować mu konta tylko dlatego, że dochodził on praw wynikających z dyrektywy. Ponadto na żądanie pracownika musi ona podać na piśmie przyczyny rozwiązania umowy. Ciężar dowodu spoczywa na platformie </w:t>
      </w:r>
      <w:r w:rsidR="00D7386B">
        <w:t xml:space="preserve">– </w:t>
      </w:r>
      <w:r>
        <w:t xml:space="preserve">musi ona udowodnić, że wypowiedzenie nie było wynikiem dochodzenia praw.</w:t>
      </w:r>
    </w:p>
    <w:p w:rsidR="00D90A18" w:rsidP="00750824" w:rsidRDefault="00D90A18" w14:paraId="35FBA09F" w14:textId="77777777">
      <w:pPr>
        <w:jc w:val="both"/>
      </w:pPr>
    </w:p>
    <w:p w:rsidR="00983F19" w:rsidP="00750824" w:rsidRDefault="00000000" w14:paraId="114DBA6C" w14:textId="17261AE2">
      <w:pPr>
        <w:jc w:val="both"/>
      </w:pPr>
      <w:r>
        <w:t xml:space="preserve">Artykuł 24 reguluje kwestie nadzoru i sankcji. Organy ochrony danych są właściwe do sprawowania nadzoru </w:t>
      </w:r>
      <w:r w:rsidR="00A14D12">
        <w:t xml:space="preserve">nad artykułami </w:t>
      </w:r>
      <w:r>
        <w:t xml:space="preserve">od 7 do 11 </w:t>
      </w:r>
      <w:r>
        <w:t xml:space="preserve">w zakresie spraw dotyczących ochrony danych; w odniesieniu do pozostałych przepisów dyrektywy właściwe są inspektoraty pracy i inne uprawnione organy. Artykuł 24 ust. 2 ustanawia między nimi obowiązek współpracy, w tym wymianę informacji pochodzących z </w:t>
      </w:r>
      <w:r w:rsidR="00A14D12">
        <w:t xml:space="preserve">kontroli inspekcyjnych </w:t>
      </w:r>
      <w:r>
        <w:t xml:space="preserve">i dochodzeń. Artykuł 24 ust. 5 wymaga, aby sankcje za naruszenie przepisów dyrektywy były skuteczne, proporcjonalne i odstraszające </w:t>
      </w:r>
      <w:r w:rsidR="00D7386B">
        <w:t xml:space="preserve">– </w:t>
      </w:r>
      <w:r>
        <w:t xml:space="preserve">proporcjonalność mierzy się w odniesieniu do wielkości platformy i liczby pracowników, których to dotyczy. Kluczowe znaczenie ma przepis art. 24 ust. 6: jeżeli platforma nie zastosuje się do pierwszej prawomocnej decyzji sądowej lub administracyjnej dotyczącej statusu pracowniczego pracowników, państwa członkowskie muszą zapewnić dodatkowe sankcje, które mogą mieć charakter finansowy.</w:t>
      </w:r>
    </w:p>
    <w:p w:rsidR="00983F19" w:rsidP="00750824" w:rsidRDefault="00000000" w14:paraId="6DF57FB9" w14:textId="77777777">
      <w:pPr>
        <w:pStyle w:val="Naslov2"/>
        <w:jc w:val="both"/>
      </w:pPr>
      <w:bookmarkStart w:name="_Toc233699502" w:id="63"/>
      <w:bookmarkStart w:name="ugotovitve-iz-prakse-4" w:id="64"/>
      <w:bookmarkEnd w:id="62"/>
      <w:r>
        <w:t xml:space="preserve">7.2 Wnioski wynikające z praktyki</w:t>
      </w:r>
      <w:bookmarkEnd w:id="63"/>
    </w:p>
    <w:p w:rsidR="00983F19" w:rsidP="00750824" w:rsidRDefault="00000000" w14:paraId="7E31C8C6" w14:textId="2AF82EC0">
      <w:pPr>
        <w:jc w:val="both"/>
      </w:pPr>
      <w:r>
        <w:t xml:space="preserve">Wspólna konkluzja wszystkich partnerów projektu SDDP jest jednoznaczna: dochodzenie praw </w:t>
      </w:r>
      <w:r>
        <w:t xml:space="preserve">pracowników </w:t>
      </w:r>
      <w:r>
        <w:t xml:space="preserve">platformowych </w:t>
      </w:r>
      <w:r>
        <w:t xml:space="preserve">we wszystkich pięciu krajach partnerskich napotyka </w:t>
      </w:r>
      <w:r w:rsidR="00A14D12">
        <w:t xml:space="preserve">te same </w:t>
      </w:r>
      <w:r>
        <w:t xml:space="preserve">przeszkody strukturalne. Nie są one specyficzne dla poszczególnych systemów prawnych</w:t>
      </w:r>
      <w:r w:rsidR="00A14D12">
        <w:t xml:space="preserve">, lecz </w:t>
      </w:r>
      <w:r>
        <w:t xml:space="preserve">wynikają z asymetrii </w:t>
      </w:r>
      <w:r w:rsidR="00A14D12">
        <w:t xml:space="preserve">sił </w:t>
      </w:r>
      <w:r>
        <w:t xml:space="preserve">między dobrze finansowanymi platformami a pracownikami pozbawionymi środków na długotrwałe </w:t>
      </w:r>
      <w:r>
        <w:t xml:space="preserve">spory</w:t>
      </w:r>
      <w:r w:rsidR="00A14D12">
        <w:t xml:space="preserve"> sądowe</w:t>
      </w:r>
      <w:r>
        <w:t xml:space="preserve">.</w:t>
      </w:r>
    </w:p>
    <w:p w:rsidR="00D90A18" w:rsidP="00750824" w:rsidRDefault="00D90A18" w14:paraId="56F05BC6" w14:textId="77777777">
      <w:pPr>
        <w:jc w:val="both"/>
      </w:pPr>
    </w:p>
    <w:p w:rsidR="00983F19" w:rsidP="00750824" w:rsidRDefault="00B11C0F" w14:paraId="5DFDA0E8" w14:textId="763582A7">
      <w:pPr>
        <w:jc w:val="both"/>
      </w:pPr>
      <w:r>
        <w:rPr>
          <w:b/>
          <w:bCs/>
        </w:rPr>
        <w:t xml:space="preserve">Wyczerpanie finansowe jako strategia platform. </w:t>
      </w:r>
      <w:r>
        <w:t xml:space="preserve">Platformy systematycznie wykorzystują asymetrię kosztową: zatrudniają zespoły doradców prawnych, którzy prowadzą postępowania aż do wyższych instancji i </w:t>
      </w:r>
      <w:r>
        <w:t xml:space="preserve">decydują</w:t>
      </w:r>
      <w:r>
        <w:t xml:space="preserve"> się </w:t>
      </w:r>
      <w:r>
        <w:t xml:space="preserve">na </w:t>
      </w:r>
      <w:r>
        <w:t xml:space="preserve">długotrwałe </w:t>
      </w:r>
      <w:r>
        <w:t xml:space="preserve">odwołania </w:t>
      </w:r>
      <w:r w:rsidR="00D7386B">
        <w:t xml:space="preserve">– </w:t>
      </w:r>
      <w:r>
        <w:t xml:space="preserve">strategia ta wyczerpuje poszczególnych pracowników, zanim uzyskają oni prawomocne orzeczenie. Przykład z Hiszpanii jest dobrze udokumentowany: po wyroku Sądu Najwyższego z 2020 r., w którym kurierzy </w:t>
      </w:r>
      <w:r>
        <w:t xml:space="preserve">Glovo</w:t>
      </w:r>
      <w:r>
        <w:t xml:space="preserve"> zostali </w:t>
      </w:r>
      <w:r>
        <w:t xml:space="preserve">uznani za pracowników, platforma kontynuowała indywidualne postępowania, w ramach których kwestionowała każdy pojedynczy przypadek, zamiast wprowadzić regulacje systemowe. Pojedynczy pracownicy, pozbawieni bezpłatnej pomocy prawnej i możliwości postępowania zbiorowego, nie mają realnych szans na dochodzenie swoich praw.</w:t>
      </w:r>
    </w:p>
    <w:p w:rsidR="00D90A18" w:rsidP="00750824" w:rsidRDefault="00D90A18" w14:paraId="6612C649" w14:textId="77777777">
      <w:pPr>
        <w:jc w:val="both"/>
      </w:pPr>
    </w:p>
    <w:p w:rsidR="00983F19" w:rsidP="00750824" w:rsidRDefault="00000000" w14:paraId="794DCED5" w14:textId="18537679">
      <w:pPr>
        <w:jc w:val="both"/>
      </w:pPr>
      <w:r>
        <w:rPr>
          <w:b/>
          <w:bCs/>
        </w:rPr>
        <w:t xml:space="preserve">Pozwy zbiorowe: luka strukturalna w Niemczech i Słowenii. </w:t>
      </w:r>
      <w:r>
        <w:t xml:space="preserve">W obu krajach obowiązujące prawo procesowe nie przewiduje pozwów zbiorowych w sprawach z zakresu prawa pracy w sposób, jaki zakłada dyrektywa. Związki zawodowe nie mogą wszcząć postępowania w imieniu grupy pracowników bez indywidualnych pełnomocnictw od każdego z nich</w:t>
      </w:r>
      <w:r w:rsidR="00B11C0F">
        <w:t xml:space="preserve">, </w:t>
      </w:r>
      <w:r>
        <w:t xml:space="preserve">co w praktyce jest często niemożliwe do zrealizowania, ponieważ pracownicy są rozproszeni, anonimowi i obawiają się działań odwetowych. Artykuł 19 dyrektywy </w:t>
      </w:r>
      <w:r w:rsidR="00B11C0F">
        <w:t xml:space="preserve">wymaga </w:t>
      </w:r>
      <w:r w:rsidR="00B11C0F">
        <w:t xml:space="preserve">wypełnienia</w:t>
      </w:r>
      <w:r>
        <w:t xml:space="preserve"> tej luki</w:t>
      </w:r>
      <w:r>
        <w:t xml:space="preserve">: ministerstwa muszą zapewnić mechanizm proceduralny, który umożliwi związkowi zawodowemu występowanie w imieniu lub na rzecz grupy pracowników bez konieczności uzyskania indywidualnej zgody każdego z nich.</w:t>
      </w:r>
    </w:p>
    <w:p w:rsidR="00D90A18" w:rsidP="00750824" w:rsidRDefault="00D90A18" w14:paraId="3904CC4C" w14:textId="77777777">
      <w:pPr>
        <w:jc w:val="both"/>
      </w:pPr>
    </w:p>
    <w:p w:rsidR="00983F19" w:rsidP="00750824" w:rsidRDefault="00000000" w14:paraId="081E5076" w14:textId="740C1670">
      <w:pPr>
        <w:jc w:val="both"/>
      </w:pPr>
      <w:r>
        <w:rPr>
          <w:b/>
          <w:bCs/>
        </w:rPr>
        <w:lastRenderedPageBreak/>
      </w:r>
      <w:r>
        <w:rPr>
          <w:b/>
          <w:bCs/>
        </w:rPr>
        <w:t xml:space="preserve">Podmioty działające w ramach systemu flotowego: odpowiedzialność karna dyrektorów w praktyce hiszpańskiej. </w:t>
      </w:r>
      <w:r>
        <w:t xml:space="preserve">Doświadczenia Hiszpanii po wejściu w życie ustawy o dostawcach w 2021 roku pokazują, jak po wprowadzeniu regulacji platformy masowo przechodzą na system flotowy oraz w jaki sposób firmy-przykrywki stają się narzędziem unikania odpowiedzialności. Kiedy podwykonawca zamyka firmę, pracownicy pozostają bez wynagrodzenia i nie mają nikogo, od kogo mogliby dochodzić swoich praw. Hiszpańskie organy wszczęły w niektórych przypadkach postępowanie karne przeciwko dyrektorom firm-przykrywek, które działały jako pośrednicy </w:t>
      </w:r>
      <w:r w:rsidR="00B11C0F">
        <w:t xml:space="preserve">platform </w:t>
      </w:r>
      <w:r>
        <w:t xml:space="preserve">w celu unikania zobowiązań wynikających z prawa pracy. Jest to model, który </w:t>
      </w:r>
      <w:r w:rsidR="00B11C0F">
        <w:t xml:space="preserve">warto </w:t>
      </w:r>
      <w:r>
        <w:t xml:space="preserve">uwzględnić przy transpozycji dyrektywy.</w:t>
      </w:r>
      <w:r>
        <w:br/>
      </w:r>
      <w:r>
        <w:br/>
      </w:r>
      <w:r>
        <w:rPr>
          <w:b/>
          <w:bCs/>
        </w:rPr>
        <w:t xml:space="preserve">Finansowanie inspektoratów: wspólne żądanie wszystkich partnerów. </w:t>
      </w:r>
      <w:r>
        <w:t xml:space="preserve">Każdy z pięciu krajowych raportów w ramach projektu SDDP zwraca uwagę na niedofinansowanie inspektoratów pracy: zbyt mała liczba inspektorów, niewystarczające kwalifikacje do nadzoru </w:t>
      </w:r>
      <w:r w:rsidR="00E11794">
        <w:t xml:space="preserve">nad systemami algorytmicznymi</w:t>
      </w:r>
      <w:r>
        <w:t xml:space="preserve">, brak narzędzi do analizy danych dotyczących pracy na platformach. Inspektoraty, które nie potrafią odczytać algorytmicznego systemu nadzoru, nie są w stanie wykryć naruszeń. Finansowanie i szkolenie inspektoratów to warunek wstępny każdego wdrożenia dyrektywy</w:t>
      </w:r>
      <w:r w:rsidR="00E11794">
        <w:t xml:space="preserve">, </w:t>
      </w:r>
      <w:r>
        <w:t xml:space="preserve">a nie tylko zalecenie.</w:t>
      </w:r>
    </w:p>
    <w:p w:rsidR="00D90A18" w:rsidP="00750824" w:rsidRDefault="00D90A18" w14:paraId="0E0171F9" w14:textId="77777777">
      <w:pPr>
        <w:jc w:val="both"/>
      </w:pPr>
    </w:p>
    <w:p w:rsidR="00983F19" w:rsidP="00750824" w:rsidRDefault="00000000" w14:paraId="687E0C49" w14:textId="68113A75">
      <w:pPr>
        <w:jc w:val="both"/>
      </w:pPr>
      <w:r>
        <w:rPr>
          <w:b/>
          <w:bCs/>
        </w:rPr>
        <w:t xml:space="preserve">Środki odszkodowawcze za pośrednictwem algorytmów: udowodnienie naruszenia jest trudne.</w:t>
      </w:r>
      <w:r>
        <w:t xml:space="preserve"> Podczas konferencji projektu SDDP w Lublanie w maju 2025 r. przedstawiciele związków zawodowych ze wszystkich krajów partnerskich opisali ten sam schemat: po złożeniu skargi lub podjęciu działań związkowych pracownik w kolejnych tygodniach otrzymuje znacznie mniej zleceń</w:t>
      </w:r>
      <w:r w:rsidR="00E11794">
        <w:t xml:space="preserve">, </w:t>
      </w:r>
      <w:r>
        <w:t xml:space="preserve">a platforma tłumaczy to jako skutek obiektywnych parametrów algorytmicznych, a nie jako sankcję. Udowodnienie związku przyczynowego bez dostępu do danych algorytmicznych jest praktycznie niemożliwe. Artykuł 21 dyrektywy (dostęp do dowodów) oraz artykuł 22 (odwrócenie ciężaru dowodu) wspólnie rozwiązują tę asymetrię </w:t>
      </w:r>
      <w:r w:rsidR="00D7386B">
        <w:t xml:space="preserve">– </w:t>
      </w:r>
      <w:r>
        <w:t xml:space="preserve">ale tylko wtedy, gdy sądy i inspektoraty są </w:t>
      </w:r>
      <w:r w:rsidR="00E11794">
        <w:t xml:space="preserve">przeszkolone do faktycznej analizy danych. </w:t>
      </w:r>
    </w:p>
    <w:p w:rsidR="00D90A18" w:rsidP="00750824" w:rsidRDefault="00D90A18" w14:paraId="46AA3A84" w14:textId="77777777">
      <w:pPr>
        <w:jc w:val="both"/>
      </w:pPr>
    </w:p>
    <w:p w:rsidR="00983F19" w:rsidP="00750824" w:rsidRDefault="00000000" w14:paraId="0B93A64F" w14:textId="15418CB2">
      <w:pPr>
        <w:jc w:val="both"/>
      </w:pPr>
      <w:r>
        <w:rPr>
          <w:b/>
          <w:bCs/>
        </w:rPr>
        <w:t xml:space="preserve">Ocena doskonałości w </w:t>
      </w:r>
      <w:r>
        <w:rPr>
          <w:b/>
          <w:bCs/>
        </w:rPr>
        <w:t xml:space="preserve">Foodorze </w:t>
      </w:r>
      <w:r>
        <w:rPr>
          <w:b/>
          <w:bCs/>
        </w:rPr>
        <w:t xml:space="preserve">jako przykład automatycznego wypowiedzenia umowy. </w:t>
      </w:r>
      <w:r>
        <w:t xml:space="preserve">Foodora </w:t>
      </w:r>
      <w:r>
        <w:t xml:space="preserve">i Bolt </w:t>
      </w:r>
      <w:r>
        <w:t xml:space="preserve">Food </w:t>
      </w:r>
      <w:r>
        <w:t xml:space="preserve">stosują w niektórych krajach system punktacji zwany </w:t>
      </w:r>
      <w:r w:rsidR="00E11794">
        <w:t xml:space="preserve">„oceną </w:t>
      </w:r>
      <w:r w:rsidR="00E11794">
        <w:t xml:space="preserve">doskonałości” (</w:t>
      </w:r>
      <w:r w:rsidR="00E11794">
        <w:t xml:space="preserve">„Excellence </w:t>
      </w:r>
      <w:r w:rsidR="00E11794">
        <w:t xml:space="preserve">Score”)</w:t>
      </w:r>
      <w:r>
        <w:t xml:space="preserve">, który klasyfikuje pracowników na podstawie wskaźnika przyjmowania zamówień, terminowości, ocen klientów i innych parametrów algorytmicznych. Gdy ocena spadnie poniżej określonego progu, system automatycznie wysyła powiadomienie o rozwiązaniu umowy bez jakiejkolwiek </w:t>
      </w:r>
      <w:r>
        <w:t xml:space="preserve">interwencji</w:t>
      </w:r>
      <w:r w:rsidR="00E11794">
        <w:t xml:space="preserve"> człowieka </w:t>
      </w:r>
      <w:r>
        <w:t xml:space="preserve">i bez uprzedniego uzasadnienia. Praktyka ta stoi w bezpośredniej sprzeczności z art. 10 ust. 5 dyrektywy, który wymaga, aby każda decyzja o rozwiązaniu stosunku umownego była podejmowana przez człowieka, oraz z art. 11, który gwarantuje prawo do pisemnego uzasadnienia i odwołania. Ponieważ jednak związki zawodowe zidentyfikowały tę praktykę dopiero podczas przeglądu umów, właśnie ten system stanowi dla platform jeden z najważniejszych mechanizmów kontroli </w:t>
      </w:r>
      <w:r w:rsidR="00D7386B">
        <w:t xml:space="preserve">– </w:t>
      </w:r>
      <w:r>
        <w:t xml:space="preserve">i właśnie w tej kwestii nie są one gotowe do negocjacji. Dyrektywa wyraźnie tego zabrania</w:t>
      </w:r>
      <w:r w:rsidR="00E11794">
        <w:t xml:space="preserve">. </w:t>
      </w:r>
      <w:r w:rsidR="00E11794">
        <w:t xml:space="preserve">Wdrożenie </w:t>
      </w:r>
      <w:r>
        <w:t xml:space="preserve">musi tę zakaz operacjonalizować poprzez wyraźny zapis w ustawie.</w:t>
      </w:r>
    </w:p>
    <w:p w:rsidR="00983F19" w:rsidP="00750824" w:rsidRDefault="00000000" w14:paraId="3A5FDBB2" w14:textId="77777777">
      <w:pPr>
        <w:pStyle w:val="Naslov2"/>
        <w:jc w:val="both"/>
      </w:pPr>
      <w:bookmarkStart w:name="_Toc233699503" w:id="65"/>
      <w:bookmarkStart w:name="priporočila-4" w:id="66"/>
      <w:bookmarkEnd w:id="64"/>
      <w:r>
        <w:t xml:space="preserve">7.3 Zalecenia</w:t>
      </w:r>
      <w:bookmarkEnd w:id="65"/>
    </w:p>
    <w:p w:rsidR="00D90A18" w:rsidP="00750824" w:rsidRDefault="00000000" w14:paraId="0A7C21F2" w14:textId="4E601750">
      <w:pPr>
        <w:jc w:val="both"/>
      </w:pPr>
      <w:r>
        <w:t xml:space="preserve">Poniższe zalecenia są skierowane do </w:t>
      </w:r>
      <w:r w:rsidR="00E11794">
        <w:t xml:space="preserve">właściwych </w:t>
      </w:r>
      <w:r>
        <w:t xml:space="preserve">ministerstw i organów państw członkowskich UE.</w:t>
      </w:r>
    </w:p>
    <w:p w:rsidR="00983F19" w:rsidP="00750824" w:rsidRDefault="00000000" w14:paraId="71346B44" w14:textId="50C5505D">
      <w:pPr>
        <w:pStyle w:val="Naslov3"/>
        <w:jc w:val="both"/>
      </w:pPr>
      <w:r>
        <w:t xml:space="preserve">Zalecenie 7.1 [WYKRACZA POZA MINIMUM]: Kary, które są rzeczywiście odstraszające </w:t>
      </w:r>
      <w:r w:rsidR="00D7386B">
        <w:t xml:space="preserve">– </w:t>
      </w:r>
      <w:r>
        <w:t xml:space="preserve">powiązane z przychodami platformy</w:t>
      </w:r>
    </w:p>
    <w:p w:rsidR="00983F19" w:rsidP="00750824" w:rsidRDefault="00000000" w14:paraId="0303FBE7" w14:textId="511A8E4D">
      <w:pPr>
        <w:jc w:val="both"/>
      </w:pPr>
      <w:r>
        <w:t xml:space="preserve">Ministerstwa powinny określić w ustawie, że górna granica kary za naruszenia </w:t>
      </w:r>
      <w:r w:rsidR="00E11794">
        <w:t xml:space="preserve">praw gwarantowanych przez dyrektywę </w:t>
      </w:r>
      <w:r>
        <w:t xml:space="preserve">jest </w:t>
      </w:r>
      <w:r>
        <w:t xml:space="preserve">powiązana z rocznym obrotem platformy w danym państwie</w:t>
      </w:r>
      <w:r w:rsidR="00E11794">
        <w:t xml:space="preserve">,</w:t>
      </w:r>
      <w:r>
        <w:t xml:space="preserve"> </w:t>
      </w:r>
      <w:r w:rsidR="00E11794">
        <w:t xml:space="preserve">a </w:t>
      </w:r>
      <w:r>
        <w:t xml:space="preserve">nie z </w:t>
      </w:r>
      <w:r w:rsidR="00E11794">
        <w:t xml:space="preserve">jakąś</w:t>
      </w:r>
      <w:r>
        <w:lastRenderedPageBreak/>
      </w:r>
      <w:r>
        <w:t xml:space="preserve"> abstrakcyjnie </w:t>
      </w:r>
      <w:r w:rsidR="00E11794">
        <w:t xml:space="preserve">określoną kwotą</w:t>
      </w:r>
      <w:r>
        <w:t xml:space="preserve">. Zalecamy </w:t>
      </w:r>
      <w:r w:rsidR="00E11794">
        <w:t xml:space="preserve">następujący </w:t>
      </w:r>
      <w:r>
        <w:t xml:space="preserve">model: za naruszenia związane z zarządzaniem algorytmicznym do 2% rocznych przychodów platformy w danym państwie; za naruszenia dotyczące statusu zatrudnienia i wypowiedzeń do 4% rocznych przychodów; za naruszenia systemowe (powtarzające się naruszenia na tej samej platformie) dodatkowy współczynnik mnożnikowy do 1,5x. Kara za nieprzestrzeganie pierwszego prawomocnego orzeczenia sądowego (art. 24 ust. 6) musi być znacząca pod względem finansowym i obowiązkowa. Odwołanie od zakazu prowadzenia działalności ma skutek zawieszający; odwołanie od grzywny nie ma skutku zawieszającego, chyba że wykazano zagrożenie niewypłacalnością.</w:t>
      </w:r>
    </w:p>
    <w:p w:rsidR="00E11794" w:rsidP="00750824" w:rsidRDefault="00E11794" w14:paraId="1699B101" w14:textId="77777777">
      <w:pPr>
        <w:jc w:val="both"/>
      </w:pPr>
    </w:p>
    <w:p w:rsidR="00983F19" w:rsidP="00750824" w:rsidRDefault="00000000" w14:paraId="4AE38B7C" w14:textId="3A924E9D">
      <w:pPr>
        <w:pStyle w:val="Blokbesedila"/>
      </w:pPr>
      <w:r>
        <w:rPr>
          <w:b/>
          <w:bCs/>
        </w:rPr>
        <w:t xml:space="preserve">Kontekst: </w:t>
      </w:r>
      <w:r>
        <w:t xml:space="preserve">Artykuł 24 ust. 5 dyrektywy wymaga sankcji, które są skuteczne, proporcjonalne i odstraszające; proporcjonalność mierzy się w odniesieniu do wielkości platformy i liczby pracowników, których dotyczy sprawa. Grupa ekspertów KE potwierdziła, że art. 24 ust. 6 musi zostać obowiązkowo wdrożony: nieprzestrzeganie pierwszego orzeczenia sądowego musi pociągać za sobą konsekwencje finansowe. Kary powiązane z przychodami są stosowane w ramach RODO (art. 83: do 4 % rocznego globalnego obrotu) </w:t>
      </w:r>
      <w:r w:rsidR="00D7386B">
        <w:t xml:space="preserve">– </w:t>
      </w:r>
      <w:r>
        <w:t xml:space="preserve">dyrektywa w </w:t>
      </w:r>
      <w:r>
        <w:t xml:space="preserve">sprawie pracy </w:t>
      </w:r>
      <w:r>
        <w:t xml:space="preserve">na platformach </w:t>
      </w:r>
      <w:r>
        <w:t xml:space="preserve">nie określa jednolitego progu, ale właśnie dlatego tym bardziej konieczne jest, aby przepisy krajowe odpowiednio go określiły.</w:t>
      </w:r>
    </w:p>
    <w:p w:rsidR="00983F19" w:rsidP="00750824" w:rsidRDefault="00000000" w14:paraId="166AE13A" w14:textId="0B64A2D1">
      <w:pPr>
        <w:pStyle w:val="Naslov3"/>
        <w:jc w:val="both"/>
      </w:pPr>
      <w:r>
        <w:t xml:space="preserve">Zalecenie 7.2 [DYREKTYWA]: Ochrona przed działaniami odwetowymi: niższe oceny i mniejsza liczba zleceń </w:t>
      </w:r>
      <w:r w:rsidR="00EB5A7D">
        <w:t xml:space="preserve">jako środek odwetowy </w:t>
      </w:r>
      <w:r>
        <w:t xml:space="preserve">stanowią naruszenie </w:t>
      </w:r>
    </w:p>
    <w:p w:rsidR="00983F19" w:rsidP="00750824" w:rsidRDefault="00000000" w14:paraId="1D4F3C00" w14:textId="3DDD9244">
      <w:pPr>
        <w:jc w:val="both"/>
      </w:pPr>
      <w:r>
        <w:t xml:space="preserve">Ministerstwa muszą </w:t>
      </w:r>
      <w:r>
        <w:t xml:space="preserve">określić </w:t>
      </w:r>
      <w:r>
        <w:t xml:space="preserve">w </w:t>
      </w:r>
      <w:r w:rsidR="00EB5A7D">
        <w:t xml:space="preserve">ustawie</w:t>
      </w:r>
      <w:r>
        <w:t xml:space="preserve">, że wszelkie </w:t>
      </w:r>
      <w:r>
        <w:t xml:space="preserve">działania</w:t>
      </w:r>
      <w:r w:rsidR="00EB5A7D">
        <w:t xml:space="preserve"> odwetowe </w:t>
      </w:r>
      <w:r>
        <w:t xml:space="preserve">po dochodzeniu praw </w:t>
      </w:r>
      <w:r w:rsidR="00D7386B">
        <w:t xml:space="preserve">– </w:t>
      </w:r>
      <w:r>
        <w:t xml:space="preserve">niższe oceny, mniejsza liczba przyznanych zleceń, zmieniony harmonogram, wzmożony nadzór </w:t>
      </w:r>
      <w:r w:rsidR="00D7386B">
        <w:t xml:space="preserve">– </w:t>
      </w:r>
      <w:r>
        <w:t xml:space="preserve">są zabronione i uznaje się je za działania odwetowe, dopóki platforma nie udowodni, że jest inaczej. Ustawa musi wyraźnie regulować odwrócenie ciężaru dowodu: pracownik wykazuje prawdopodobieństwo związku przyczynowego między dochodzeniem praw a szkodliwym działaniem</w:t>
      </w:r>
      <w:r w:rsidR="00EB5A7D">
        <w:t xml:space="preserve">, </w:t>
      </w:r>
      <w:r w:rsidR="00EB5A7D">
        <w:t xml:space="preserve">natomiast </w:t>
      </w:r>
      <w:r>
        <w:t xml:space="preserve">platforma </w:t>
      </w:r>
      <w:r>
        <w:t xml:space="preserve">musi udowodnić, że działanie to wynika z obiektywnych czynników</w:t>
      </w:r>
      <w:r w:rsidR="00EB5A7D">
        <w:t xml:space="preserve">, a nie </w:t>
      </w:r>
      <w:r>
        <w:t xml:space="preserve">jest </w:t>
      </w:r>
      <w:r w:rsidR="00EB5A7D">
        <w:t xml:space="preserve">działaniem odwetowym</w:t>
      </w:r>
      <w:r>
        <w:t xml:space="preserve">. Ponieważ czynniki te są zapisane w systemach algorytmicznych, sądy i inspektoraty muszą mieć uprawnienia do żądania ujawnienia danych algorytmicznych za dany okres.</w:t>
      </w:r>
    </w:p>
    <w:p w:rsidR="00EB5A7D" w:rsidP="00750824" w:rsidRDefault="00EB5A7D" w14:paraId="35B841F0" w14:textId="77777777">
      <w:pPr>
        <w:jc w:val="both"/>
      </w:pPr>
    </w:p>
    <w:p w:rsidR="00983F19" w:rsidP="00750824" w:rsidRDefault="00000000" w14:paraId="03BD7BE2" w14:textId="64F60027">
      <w:pPr>
        <w:pStyle w:val="Blokbesedila"/>
      </w:pPr>
      <w:r>
        <w:rPr>
          <w:b/>
          <w:bCs/>
        </w:rPr>
        <w:t xml:space="preserve">Kontekst: </w:t>
      </w:r>
      <w:r>
        <w:t xml:space="preserve">Artykuły 22 i 23 dyrektywy wprowadzają ochronę i odwrócenie ciężaru dowodu. Grupa ekspertów KE potwierdziła, że przydzielanie mniejszej liczby zadań lub wzmożony nadzór po skorzystaniu z przysługujących praw stanowią typowe przykłady niedozwolonych środków odwetowych. Bez dostępu do danych algorytmicznych (art. 21) udowodnienie związku przyczynowego jest praktycznie niemożliwe</w:t>
      </w:r>
      <w:r w:rsidR="00EB5A7D">
        <w:t xml:space="preserve">, </w:t>
      </w:r>
      <w:r>
        <w:t xml:space="preserve">dlatego art. 21 i 22 muszą być wdrażane łącznie, a nie osobno.</w:t>
      </w:r>
    </w:p>
    <w:p w:rsidR="00983F19" w:rsidP="00750824" w:rsidRDefault="00000000" w14:paraId="17464334" w14:textId="49D0FA40">
      <w:pPr>
        <w:pStyle w:val="Naslov3"/>
        <w:jc w:val="both"/>
      </w:pPr>
      <w:r>
        <w:t xml:space="preserve">Zalecenie 7.3 [DYREKTYWA]: Kanały komunikacyjne podlegające niezależnemu nadzorowi </w:t>
      </w:r>
      <w:r w:rsidR="00EB5A7D">
        <w:t xml:space="preserve">i </w:t>
      </w:r>
      <w:r>
        <w:t xml:space="preserve">niebędące częścią infrastruktury platformy</w:t>
      </w:r>
    </w:p>
    <w:p w:rsidR="00D90A18" w:rsidP="00750824" w:rsidRDefault="00000000" w14:paraId="7D8CDAE8" w14:textId="77777777">
      <w:pPr>
        <w:jc w:val="both"/>
      </w:pPr>
      <w:r>
        <w:t xml:space="preserve">Ministerstwa powinny określić w ustawie, że obowiązek określony w art. 20 jest spełniony wyłącznie w przypadku infrastruktury cyfrowej, która:</w:t>
      </w:r>
    </w:p>
    <w:p w:rsidR="00D90A18" w:rsidP="00750824" w:rsidRDefault="00000000" w14:paraId="1FB6FF41" w14:textId="77777777">
      <w:pPr>
        <w:pStyle w:val="Odstavekseznama"/>
        <w:numPr>
          <w:ilvl w:val="0"/>
          <w:numId w:val="6"/>
        </w:numPr>
        <w:jc w:val="both"/>
      </w:pPr>
      <w:r>
        <w:t xml:space="preserve">(a) zapewnia techniczną prywatność komunikacji, </w:t>
      </w:r>
    </w:p>
    <w:p w:rsidR="00D90A18" w:rsidP="00750824" w:rsidRDefault="00000000" w14:paraId="4A6B1596" w14:textId="77777777">
      <w:pPr>
        <w:pStyle w:val="Odstavekseznama"/>
        <w:numPr>
          <w:ilvl w:val="0"/>
          <w:numId w:val="6"/>
        </w:numPr>
        <w:jc w:val="both"/>
      </w:pPr>
      <w:r>
        <w:t xml:space="preserve">(b) nie przechowuje metadanych na serwerach platformy oraz </w:t>
      </w:r>
    </w:p>
    <w:p w:rsidR="00D90A18" w:rsidP="00750824" w:rsidRDefault="00000000" w14:paraId="09280572" w14:textId="77777777">
      <w:pPr>
        <w:pStyle w:val="Odstavekseznama"/>
        <w:numPr>
          <w:ilvl w:val="0"/>
          <w:numId w:val="6"/>
        </w:numPr>
        <w:jc w:val="both"/>
      </w:pPr>
      <w:r>
        <w:t xml:space="preserve">(c) jest dostępna dla przedstawicieli związków zawodowych w celu indywidualnego kontaktu z pracownikami. </w:t>
      </w:r>
    </w:p>
    <w:p w:rsidR="00983F19" w:rsidP="00750824" w:rsidRDefault="00000000" w14:paraId="5F6593BE" w14:textId="22F823DC">
      <w:pPr>
        <w:jc w:val="both"/>
      </w:pPr>
      <w:r w:rsidR="00583744">
        <w:t xml:space="preserve">Komunikacja</w:t>
      </w:r>
      <w:r>
        <w:t xml:space="preserve"> grupowa </w:t>
      </w:r>
      <w:r>
        <w:t xml:space="preserve">za pośrednictwem zewnętrznych usług nie spełnia tych warunków. Zalecamy, aby ustawa przewidywała możliwość złożenia przez związek zawodowy formalnej skargi do inspektoratu, jeśli uzna on, że zapewniony kanał komunikacji nie spełnia tych warunków</w:t>
      </w:r>
      <w:r w:rsidR="00583744">
        <w:t xml:space="preserve">, </w:t>
      </w:r>
      <w:r>
        <w:t xml:space="preserve">przy czym inspektorat ma obowiązek zbadać sprawę w ciągu 30 dni.</w:t>
      </w:r>
    </w:p>
    <w:p w:rsidR="00D90A18" w:rsidP="00750824" w:rsidRDefault="00D90A18" w14:paraId="56E1DC1B" w14:textId="77777777">
      <w:pPr>
        <w:jc w:val="both"/>
      </w:pPr>
    </w:p>
    <w:p w:rsidR="00D90A18" w:rsidP="00750824" w:rsidRDefault="00000000" w14:paraId="31C5C9DB" w14:textId="46D01427">
      <w:pPr>
        <w:pStyle w:val="Blokbesedila"/>
      </w:pPr>
      <w:r>
        <w:rPr>
          <w:b/>
          <w:bCs/>
        </w:rPr>
        <w:t xml:space="preserve">Kontekst: </w:t>
      </w:r>
      <w:r>
        <w:t xml:space="preserve">Grupa ekspertów KE wyraziła się jasno: </w:t>
      </w:r>
      <w:r w:rsidR="00583744">
        <w:t xml:space="preserve">czat grupowy </w:t>
      </w:r>
      <w:r>
        <w:t xml:space="preserve">na zewnętrznej platformie nie jest wystarczający, ponieważ nie zapewnia indywidualnego kontaktu między przedstawicielem związku zawodowego a każdym pracownikiem. Kanały komunikacji muszą być technicznie prywatne </w:t>
      </w:r>
      <w:r w:rsidR="00D7386B">
        <w:t xml:space="preserve">– </w:t>
      </w:r>
      <w:r>
        <w:t xml:space="preserve">platforma nie może mieć dostępu do treści komunikatów.</w:t>
      </w:r>
    </w:p>
    <w:p w:rsidR="00983F19" w:rsidP="00750824" w:rsidRDefault="00000000" w14:paraId="0BDDAC6E" w14:textId="77777777">
      <w:pPr>
        <w:pStyle w:val="Naslov3"/>
        <w:jc w:val="both"/>
      </w:pPr>
      <w:r>
        <w:lastRenderedPageBreak/>
      </w:r>
      <w:r>
        <w:t xml:space="preserve">Zalecenie 7.4 [DYREKTYWA]: Ujawnianie algorytmów jako obowiązek prawny w postępowaniach sądowych i inspekcyjnych</w:t>
      </w:r>
    </w:p>
    <w:p w:rsidR="00983F19" w:rsidP="00750824" w:rsidRDefault="00000000" w14:paraId="522CB194" w14:textId="68588E60">
      <w:pPr>
        <w:jc w:val="both"/>
      </w:pPr>
      <w:r>
        <w:t xml:space="preserve">Ministerstwa muszą jasno określić w przepisach, że sądy i inspektoraty pracy są uprawnione do żądania ujawnienia wszelkich istotnych dowodów algorytmicznych </w:t>
      </w:r>
      <w:r w:rsidR="00D7386B">
        <w:t xml:space="preserve">– </w:t>
      </w:r>
      <w:r>
        <w:t xml:space="preserve">w tym parametrów, historii decyzji i danych nadzorczych </w:t>
      </w:r>
      <w:r w:rsidR="00D7386B">
        <w:t xml:space="preserve">– </w:t>
      </w:r>
      <w:r>
        <w:t xml:space="preserve">będących w posiadaniu platformy. Powołanie się na tajemnicę handlową nie może stanowić podstawy do bezwzględnej odmowy ujawnienia</w:t>
      </w:r>
      <w:r w:rsidR="00583744">
        <w:t xml:space="preserve">. </w:t>
      </w:r>
      <w:r>
        <w:t xml:space="preserve">Sąd lub inspektorat musi dysponować mechanizmami ochrony poufności (rozpatrywanie sprawy w trybie niejawnym, </w:t>
      </w:r>
      <w:r>
        <w:t xml:space="preserve">anonimizacja </w:t>
      </w:r>
      <w:r>
        <w:t xml:space="preserve">w części publicznej orzeczenia). Zalecamy, aby ustawa stanowiła, że odmowa ujawnienia istotnych danych bez uzasadnionej przyczyny jest traktowana przez sąd jako okoliczność obciążająca przy rozstrzyganiu sporu.</w:t>
      </w:r>
    </w:p>
    <w:p w:rsidR="00583744" w:rsidP="00750824" w:rsidRDefault="00583744" w14:paraId="3D9F7CFD" w14:textId="77777777">
      <w:pPr>
        <w:jc w:val="both"/>
      </w:pPr>
    </w:p>
    <w:p w:rsidR="00583744" w:rsidP="00750824" w:rsidRDefault="00000000" w14:paraId="4148CC07" w14:textId="3CA8D641">
      <w:pPr>
        <w:pStyle w:val="Blokbesedila"/>
      </w:pPr>
      <w:r>
        <w:rPr>
          <w:b/>
          <w:bCs/>
        </w:rPr>
        <w:t xml:space="preserve">Kontekst: </w:t>
      </w:r>
      <w:r>
        <w:t xml:space="preserve">Artykuł 21 dyrektywy wymaga, aby sądy i właściwe organy były uprawnione do żądania ujawnienia dowodów </w:t>
      </w:r>
      <w:r w:rsidR="00D7386B">
        <w:t xml:space="preserve">– </w:t>
      </w:r>
      <w:r>
        <w:t xml:space="preserve">w tym informacji poufnych. Grupa ekspertów KE potwierdziła: powołanie się na tajemnicę handlową nie stanowi absolutnej przeszkody. Sąd Unii w sprawie C-634/21 wyjaśnił, że należy zapewnić co najmniej minimalną ilość informacji, niezależnie od wymogów dotyczących poufności handlowej.</w:t>
      </w:r>
    </w:p>
    <w:p w:rsidR="00983F19" w:rsidP="00750824" w:rsidRDefault="00000000" w14:paraId="4096C2D9" w14:textId="34BD8053">
      <w:pPr>
        <w:pStyle w:val="Naslov3"/>
        <w:jc w:val="both"/>
      </w:pPr>
      <w:r>
        <w:t xml:space="preserve">Zalecenie 7.5 [WYKRACZA POZA MINIMUM]: </w:t>
      </w:r>
      <w:r w:rsidR="00583744">
        <w:t xml:space="preserve">Odpowiedzialność karna </w:t>
      </w:r>
      <w:r>
        <w:t xml:space="preserve">dyrektorów w przypadku firm-przykrywek: odpowiedzialność musi wykraczać poza osobę prawną</w:t>
      </w:r>
    </w:p>
    <w:p w:rsidR="00983F19" w:rsidP="00750824" w:rsidRDefault="00000000" w14:paraId="72BDC569" w14:textId="216FC185">
      <w:pPr>
        <w:jc w:val="both"/>
      </w:pPr>
      <w:r>
        <w:t xml:space="preserve">Ministerstwa powinny wprowadzić do ustawy przepis ustanawiający osobistą odpowiedzialność dyrektorów lub właścicieli </w:t>
      </w:r>
      <w:r>
        <w:t xml:space="preserve">przedsiębiorstw </w:t>
      </w:r>
      <w:r>
        <w:t xml:space="preserve">podwykonawczych</w:t>
      </w:r>
      <w:r>
        <w:t xml:space="preserve">, jeżeli zostanie stwierdzone, że przedsiębiorstwa te działały wyłącznie lub głównie jako narzędzie służące uniknięciu zobowiązań platformy wynikających z prawa pracy oraz jeżeli w momencie zamknięcia były one zobowiązane do wypłaty pracownikom wynagrodzeń, składek lub odszkodowań</w:t>
      </w:r>
      <w:r>
        <w:t xml:space="preserve">. Odpowiedzialność </w:t>
      </w:r>
      <w:r w:rsidR="00A25A76">
        <w:t xml:space="preserve">solidarna </w:t>
      </w:r>
      <w:r>
        <w:t xml:space="preserve">platformy w takich przypadkach musi być bezwarunkowa. Zalecamy, aby ustawa wprowadziła domniemanie, że platforma wiedziała o działaniach firmy-słup, jeżeli </w:t>
      </w:r>
      <w:r w:rsidR="00583744">
        <w:t xml:space="preserve">pozostawała</w:t>
      </w:r>
      <w:r>
        <w:t xml:space="preserve"> z nią </w:t>
      </w:r>
      <w:r w:rsidR="00583744">
        <w:t xml:space="preserve">w stosunku umownym </w:t>
      </w:r>
      <w:r>
        <w:t xml:space="preserve">trwającym dłużej </w:t>
      </w:r>
      <w:r w:rsidR="00583744">
        <w:t xml:space="preserve">niż trzy miesiące</w:t>
      </w:r>
      <w:r>
        <w:t xml:space="preserve">.</w:t>
      </w:r>
    </w:p>
    <w:p w:rsidR="00583744" w:rsidP="00750824" w:rsidRDefault="00583744" w14:paraId="37A93A4C" w14:textId="77777777">
      <w:pPr>
        <w:jc w:val="both"/>
      </w:pPr>
    </w:p>
    <w:p w:rsidR="00583744" w:rsidP="00750824" w:rsidRDefault="00000000" w14:paraId="081FCAED" w14:textId="3430469E">
      <w:pPr>
        <w:pStyle w:val="Blokbesedila"/>
      </w:pPr>
      <w:r>
        <w:rPr>
          <w:b/>
          <w:bCs/>
        </w:rPr>
        <w:t xml:space="preserve">Kontekst: </w:t>
      </w:r>
      <w:r>
        <w:t xml:space="preserve">Doświadczenia hiszpańskie związane z ustawą o dostawcach z 2021 r. pokazują, jak po wprowadzeniu regulacji platformy zaczęły systematycznie zakładać firmy-przykrywki, które przejmowały rolę formalnego pracodawcy. Kiedy firmy te zamykają działalność, pracownicy pozostają bez wynagrodzenia i bez podmiotu odpowiedzialnego. W niektórych przypadkach hiszpańskie organy wszczęły postępowanie karne przeciwko dyrektorom takich firm. Analiza 91 platform wskazuje, że ten schemat występuje w co najmniej 41 przypadkach.</w:t>
      </w:r>
    </w:p>
    <w:p w:rsidR="00D90A18" w:rsidP="00750824" w:rsidRDefault="00000000" w14:paraId="360D6B61" w14:textId="3B11EE6B">
      <w:pPr>
        <w:pStyle w:val="Naslov3"/>
        <w:jc w:val="both"/>
      </w:pPr>
      <w:r>
        <w:t xml:space="preserve">Zalecenie 7.6 [WYKRACZA POZA MINIMUM]: Transgraniczne blokowanie aplikacji za pośrednictwem DSA i ELA w przypadku naruszeń systemowych</w:t>
      </w:r>
    </w:p>
    <w:p w:rsidR="00D90A18" w:rsidP="00750824" w:rsidRDefault="00000000" w14:paraId="3BDD30EC" w14:textId="462A1AE6">
      <w:pPr>
        <w:jc w:val="both"/>
      </w:pPr>
      <w:r>
        <w:t xml:space="preserve">Ministerstwa powinny ustanowić formalny protokół dotyczący transgranicznego powiadamiania za pośrednictwem Europejskiej Agencji Pracy (ELA) oraz systemu IMI (</w:t>
      </w:r>
      <w:r>
        <w:t xml:space="preserve">Internal </w:t>
      </w:r>
      <w:r>
        <w:t xml:space="preserve">Market </w:t>
      </w:r>
      <w:r>
        <w:t xml:space="preserve">Information </w:t>
      </w:r>
      <w:r>
        <w:t xml:space="preserve">System</w:t>
      </w:r>
      <w:r>
        <w:t xml:space="preserve">), w przypadku gdy właściwy organ krajowy stwierdzi poważne lub systemowe naruszenie dyrektywy przez platformę. Na podstawie tego protokołu ELA koordynuje wspólne kontrole inspekcyjne i proponuje skoordynowane działania. W przypadku naruszeń o charakterze systemowym</w:t>
      </w:r>
      <w:r w:rsidR="00B357A5">
        <w:t xml:space="preserve">, </w:t>
      </w:r>
      <w:r>
        <w:t xml:space="preserve">powtarzających się w wielu państwach członkowskich</w:t>
      </w:r>
      <w:r w:rsidR="00B357A5">
        <w:t xml:space="preserve">, </w:t>
      </w:r>
      <w:r>
        <w:t xml:space="preserve">ELA gromadzi dokumentację i składa sprawozdanie </w:t>
      </w:r>
      <w:r>
        <w:t xml:space="preserve">Komisji</w:t>
      </w:r>
      <w:r w:rsidR="00B357A5">
        <w:t xml:space="preserve"> Europejskiej</w:t>
      </w:r>
      <w:r>
        <w:t xml:space="preserve">, która może wszcząć postępowanie w sprawie stwierdzenia naruszenia prawa UE wobec państw członkowskich, które nie wdrażają dyrektywy. Platforma, w przypadku której stwierdzono naruszenia systemowe, zostaje wykluczona z zamówień publicznych w UE zgodnie z dyrektywą 2014/24/UE (art. 57). Odwołanie od sankcji pieniężnych nie ma skutku zawieszającego; odwołanie od zakazu prowadzenia działalności ma skutek zawieszający do czasu wydania decyzji przez organ odwoławczy.</w:t>
      </w:r>
    </w:p>
    <w:p w:rsidR="00B357A5" w:rsidP="00750824" w:rsidRDefault="00B357A5" w14:paraId="0F065822" w14:textId="77777777">
      <w:pPr>
        <w:jc w:val="both"/>
      </w:pPr>
    </w:p>
    <w:p w:rsidR="00D90A18" w:rsidP="00750824" w:rsidRDefault="00000000" w14:paraId="2FAA9F8F" w14:textId="33AF4758">
      <w:pPr>
        <w:pStyle w:val="Blokbesedila"/>
      </w:pPr>
      <w:r>
        <w:lastRenderedPageBreak/>
      </w:r>
      <w:r>
        <w:t xml:space="preserve">Kontekst: Protokół SDDP (I filar, w wersji zaktualizowanej) przewiduje koordynację za pośrednictwem ELA i IMI oraz wykluczenie z zamówień publicznych w przypadku naruszeń o charakterze systemowym. DSA (rozporządzenie w sprawie usług cyfrowych) reguluje kwestie nielegalnych treści internetowych </w:t>
      </w:r>
      <w:r w:rsidR="00D7386B">
        <w:t xml:space="preserve">– </w:t>
      </w:r>
      <w:r>
        <w:t xml:space="preserve">a nie sporów z zakresu prawa pracy </w:t>
      </w:r>
      <w:r w:rsidR="00D7386B">
        <w:t xml:space="preserve">– </w:t>
      </w:r>
      <w:r>
        <w:t xml:space="preserve">i nie stanowi podstawy prawnej do blokowania aplikacji z powodu naruszeń przepisów prawa pracy. Artykuł 24 ust. 4 dyrektywy ustanawia ramy współpracy transgranicznej; dyrektywa 2014/24/UE (art. 57) dopuszcza wykluczenie z zamówień publicznych w przypadku poważnych naruszeń przepisów. Jest to realistyczne i prawnie uzasadnione połączenie.</w:t>
      </w:r>
    </w:p>
    <w:p w:rsidR="00D90A18" w:rsidP="00750824" w:rsidRDefault="00D90A18" w14:paraId="3FB7F1EA" w14:textId="77777777">
      <w:pPr>
        <w:jc w:val="both"/>
        <w:rPr>
          <w:b/>
          <w:bCs/>
        </w:rPr>
      </w:pPr>
    </w:p>
    <w:p w:rsidR="00983F19" w:rsidP="00750824" w:rsidRDefault="00000000" w14:paraId="0EC863FF" w14:textId="77777777">
      <w:pPr>
        <w:jc w:val="both"/>
      </w:pPr>
      <w:r>
        <w:rPr>
          <w:b/>
          <w:bCs/>
        </w:rPr>
        <w:t xml:space="preserve">Uwaga dotycząca wdrożenia</w:t>
      </w:r>
    </w:p>
    <w:p w:rsidR="00983F19" w:rsidP="00750824" w:rsidRDefault="00000000" w14:paraId="38B0D3C7" w14:textId="14DDC68A">
      <w:pPr>
        <w:jc w:val="both"/>
      </w:pPr>
      <w:r>
        <w:rPr>
          <w:i/>
          <w:iCs/>
        </w:rPr>
        <w:t xml:space="preserve">Wdrażanie dyrektywy to łańcuch: dwa słabsze ogniwa. Postępowania zbiorowe bez sankcji odstraszających nie rozwiązują problemu </w:t>
      </w:r>
      <w:r w:rsidR="00D7386B">
        <w:rPr>
          <w:i/>
          <w:iCs/>
        </w:rPr>
        <w:t xml:space="preserve">– </w:t>
      </w:r>
      <w:r>
        <w:rPr>
          <w:i/>
          <w:iCs/>
        </w:rPr>
        <w:t xml:space="preserve">platformy przegrają pojedynczy spór, ale będą kontynuować systemową praktykę, dopóki będzie to finansowo korzystniejsze niż </w:t>
      </w:r>
      <w:r w:rsidR="00B357A5">
        <w:rPr>
          <w:i/>
          <w:iCs/>
        </w:rPr>
        <w:t xml:space="preserve">przestrzeganie przepisów</w:t>
      </w:r>
      <w:r>
        <w:rPr>
          <w:i/>
          <w:iCs/>
        </w:rPr>
        <w:t xml:space="preserve">. Kary odstraszające bez postępowań zbiorowych nie rozwiązują problemu </w:t>
      </w:r>
      <w:r w:rsidR="00D7386B">
        <w:rPr>
          <w:i/>
          <w:iCs/>
        </w:rPr>
        <w:t xml:space="preserve">– </w:t>
      </w:r>
      <w:r>
        <w:rPr>
          <w:i/>
          <w:iCs/>
        </w:rPr>
        <w:t xml:space="preserve">pracownicy nie będą wszczynać postępowań, których nie są w stanie sfinansować. Oba elementy są niezbędne jednocześnie. Trzecim niezbędnym warunkiem </w:t>
      </w:r>
      <w:r w:rsidR="00B357A5">
        <w:rPr>
          <w:i/>
          <w:iCs/>
        </w:rPr>
        <w:t xml:space="preserve">są </w:t>
      </w:r>
      <w:r w:rsidR="00B357A5">
        <w:rPr>
          <w:i/>
          <w:iCs/>
        </w:rPr>
        <w:t xml:space="preserve">odpowiednio </w:t>
      </w:r>
      <w:r>
        <w:rPr>
          <w:i/>
          <w:iCs/>
        </w:rPr>
        <w:t xml:space="preserve">finansowane i wykwalifikowane </w:t>
      </w:r>
      <w:r w:rsidR="00B357A5">
        <w:rPr>
          <w:i/>
          <w:iCs/>
        </w:rPr>
        <w:t xml:space="preserve">inspektoraty</w:t>
      </w:r>
      <w:r>
        <w:rPr>
          <w:i/>
          <w:iCs/>
        </w:rPr>
        <w:t xml:space="preserve">.</w:t>
      </w:r>
    </w:p>
    <w:p w:rsidR="00750824" w:rsidRDefault="00750824" w14:paraId="6F777EB7" w14:textId="77777777">
      <w:pPr>
        <w:rPr>
          <w:b/>
          <w:bCs/>
          <w:color w:val="1F3864"/>
          <w:sz w:val="36"/>
          <w:szCs w:val="36"/>
        </w:rPr>
      </w:pPr>
      <w:bookmarkStart w:name="X01c0a85e2beae09c886a0133721a09d77e9ac5a" w:id="67"/>
      <w:bookmarkEnd w:id="59"/>
      <w:bookmarkEnd w:id="66"/>
      <w:r>
        <w:br w:type="page"/>
      </w:r>
    </w:p>
    <w:p w:rsidR="00983F19" w:rsidP="00750824" w:rsidRDefault="00000000" w14:paraId="72B93E39" w14:textId="39F4629A">
      <w:pPr>
        <w:pStyle w:val="Naslov1"/>
        <w:jc w:val="both"/>
      </w:pPr>
      <w:bookmarkStart w:name="_Toc233699504" w:id="68"/>
      <w:r>
        <w:lastRenderedPageBreak/>
      </w:r>
      <w:r>
        <w:t xml:space="preserve">Rozdział 8: Szersze zastosowanie dyrektywy wykraczające poza </w:t>
      </w:r>
      <w:r>
        <w:t xml:space="preserve">pracę </w:t>
      </w:r>
      <w:r>
        <w:t xml:space="preserve">na platformach</w:t>
      </w:r>
      <w:bookmarkEnd w:id="68"/>
    </w:p>
    <w:p w:rsidR="00983F19" w:rsidP="00750824" w:rsidRDefault="00000000" w14:paraId="4795151B" w14:textId="602D88D5">
      <w:pPr>
        <w:jc w:val="both"/>
      </w:pPr>
      <w:r>
        <w:t xml:space="preserve">Dyrektywa UE 2024/2831 została przyjęta w odpowiedzi na </w:t>
      </w:r>
      <w:r>
        <w:t xml:space="preserve">gospodarkę </w:t>
      </w:r>
      <w:r>
        <w:t xml:space="preserve">platformową</w:t>
      </w:r>
      <w:r w:rsidR="00E923E8">
        <w:t xml:space="preserve">, </w:t>
      </w:r>
      <w:r>
        <w:t xml:space="preserve">jednak </w:t>
      </w:r>
      <w:r w:rsidR="00E923E8">
        <w:t xml:space="preserve">problemy</w:t>
      </w:r>
      <w:r>
        <w:t xml:space="preserve">, których dotyczy, nie są </w:t>
      </w:r>
      <w:r w:rsidR="00E923E8">
        <w:t xml:space="preserve">specyficzne </w:t>
      </w:r>
      <w:r>
        <w:t xml:space="preserve">dla </w:t>
      </w:r>
      <w:r>
        <w:t xml:space="preserve">Ubera </w:t>
      </w:r>
      <w:r>
        <w:t xml:space="preserve">czy </w:t>
      </w:r>
      <w:r>
        <w:t xml:space="preserve">Wolta</w:t>
      </w:r>
      <w:r>
        <w:t xml:space="preserve">. Fałszywa samozatrudnienie,</w:t>
      </w:r>
      <w:r>
        <w:t xml:space="preserve"> łańcuchy </w:t>
      </w:r>
      <w:r>
        <w:t xml:space="preserve">podwykonawców </w:t>
      </w:r>
      <w:r>
        <w:t xml:space="preserve">służące unikaniu zobowiązań wynikających z prawa pracy oraz zarządzanie algorytmiczne (AM) </w:t>
      </w:r>
      <w:r>
        <w:t xml:space="preserve">ujawniły</w:t>
      </w:r>
      <w:r>
        <w:t xml:space="preserve"> się w </w:t>
      </w:r>
      <w:r>
        <w:t xml:space="preserve">pracy </w:t>
      </w:r>
      <w:r>
        <w:t xml:space="preserve">platformowej </w:t>
      </w:r>
      <w:r w:rsidR="00E923E8">
        <w:t xml:space="preserve">jedynie </w:t>
      </w:r>
      <w:r>
        <w:t xml:space="preserve">w </w:t>
      </w:r>
      <w:r w:rsidR="00E923E8">
        <w:t xml:space="preserve">najbardziej oczywistej </w:t>
      </w:r>
      <w:r>
        <w:t xml:space="preserve">formie. W sektorach takich jak logistyka i dostawy </w:t>
      </w:r>
      <w:r>
        <w:t xml:space="preserve">występują</w:t>
      </w:r>
      <w:r>
        <w:t xml:space="preserve"> </w:t>
      </w:r>
      <w:r w:rsidR="00E923E8">
        <w:t xml:space="preserve">podobne </w:t>
      </w:r>
      <w:r>
        <w:t xml:space="preserve">wzorce, tyle że bez aplikacji na pierwszym planie. Dyrektywa nie jest zatem jedynie regulacją sektorową </w:t>
      </w:r>
      <w:r w:rsidR="00D7386B">
        <w:t xml:space="preserve">– </w:t>
      </w:r>
      <w:r>
        <w:t xml:space="preserve">stanowi prototyp szerszej reformy prawa pracy w erze cyfrowej.</w:t>
      </w:r>
    </w:p>
    <w:p w:rsidR="00983F19" w:rsidP="00750824" w:rsidRDefault="00000000" w14:paraId="3D578526" w14:textId="77777777">
      <w:pPr>
        <w:pStyle w:val="Naslov2"/>
        <w:jc w:val="both"/>
      </w:pPr>
      <w:bookmarkStart w:name="_Toc233699505" w:id="69"/>
      <w:bookmarkStart w:name="X09750c65b21f891164a18d50f383bfaf4ab216f" w:id="70"/>
      <w:r>
        <w:t xml:space="preserve">8.1 Co dyrektywa dopuszcza poza </w:t>
      </w:r>
      <w:r>
        <w:t xml:space="preserve">pracą </w:t>
      </w:r>
      <w:r>
        <w:t xml:space="preserve">na platformach</w:t>
      </w:r>
      <w:bookmarkEnd w:id="69"/>
    </w:p>
    <w:p w:rsidR="00983F19" w:rsidP="00750824" w:rsidRDefault="00000000" w14:paraId="619BE290" w14:textId="77777777">
      <w:pPr>
        <w:jc w:val="both"/>
      </w:pPr>
      <w:r>
        <w:t xml:space="preserve">Artykuł 26 ust. 2 dyrektywy stanowi wyraźne zaproszenie do bardziej ambitnego wdrożenia. Dyrektywa nie narusza prawa państw członkowskich do stosowania lub wprowadzania, zgodnie z jej celami</w:t>
      </w:r>
      <w:r>
        <w:t xml:space="preserve">,</w:t>
      </w:r>
      <w:r>
        <w:t xml:space="preserve"> przepisów </w:t>
      </w:r>
      <w:r>
        <w:t xml:space="preserve">bardziej korzystnych</w:t>
      </w:r>
      <w:r>
        <w:t xml:space="preserve"> dla </w:t>
      </w:r>
      <w:r>
        <w:t xml:space="preserve">pracowników </w:t>
      </w:r>
      <w:r>
        <w:t xml:space="preserve">platformowych </w:t>
      </w:r>
      <w:r>
        <w:t xml:space="preserve">lub do promowania układów zbiorowych wykraczających poza minimalne wymagania. Dyrektywa wyznacza minimum, a nie maksimum.</w:t>
      </w:r>
      <w:r>
        <w:rPr>
          <w:rStyle w:val="Sprotnaopomba-sklic"/>
        </w:rPr>
        <w:footnoteReference w:id="6"/>
      </w:r>
    </w:p>
    <w:p w:rsidR="00D90A18" w:rsidP="00750824" w:rsidRDefault="00D90A18" w14:paraId="344F8D66" w14:textId="77777777">
      <w:pPr>
        <w:jc w:val="both"/>
      </w:pPr>
    </w:p>
    <w:p w:rsidR="00983F19" w:rsidP="00750824" w:rsidRDefault="00000000" w14:paraId="6AF048C9" w14:textId="3A4CC47E">
      <w:pPr>
        <w:jc w:val="both"/>
      </w:pPr>
      <w:r>
        <w:t xml:space="preserve">Artykuł 25 wymaga od państw członkowskich aktywnego wspierania roli partnerów społecznych oraz egzekwowania prawa do negocjacji zbiorowych w zakresie </w:t>
      </w:r>
      <w:r>
        <w:t xml:space="preserve">pracy </w:t>
      </w:r>
      <w:r>
        <w:t xml:space="preserve">na platformach </w:t>
      </w:r>
      <w:r w:rsidR="00D7386B">
        <w:t xml:space="preserve">– </w:t>
      </w:r>
      <w:r>
        <w:t xml:space="preserve">w tym określania właściwego statusu zatrudnienia oraz egzekwowania praw związanych z zarządzaniem algorytmicznym (AM) oraz systemami sztucznej inteligencji (</w:t>
      </w:r>
      <w:r>
        <w:t xml:space="preserve">artificial </w:t>
      </w:r>
      <w:r>
        <w:t xml:space="preserve">intelligence</w:t>
      </w:r>
      <w:r>
        <w:t xml:space="preserve">, AI). Grupa ekspertów Komisji Europejskiej potwierdziła, że środki te nie </w:t>
      </w:r>
      <w:r w:rsidR="00D17094">
        <w:t xml:space="preserve">muszą </w:t>
      </w:r>
      <w:r>
        <w:t xml:space="preserve">być uregulowane w odrębnych aktach prawnych </w:t>
      </w:r>
      <w:r w:rsidR="00D7386B">
        <w:t xml:space="preserve">– </w:t>
      </w:r>
      <w:r>
        <w:t xml:space="preserve">wystarczy, że stanowią część szerszych polityk lub planów działania.</w:t>
      </w:r>
    </w:p>
    <w:p w:rsidR="00D17094" w:rsidP="00750824" w:rsidRDefault="00D17094" w14:paraId="35B312B6" w14:textId="77777777">
      <w:pPr>
        <w:jc w:val="both"/>
      </w:pPr>
    </w:p>
    <w:p w:rsidR="00983F19" w:rsidP="00750824" w:rsidRDefault="00000000" w14:paraId="1F2532D8" w14:textId="26D37833">
      <w:pPr>
        <w:jc w:val="both"/>
      </w:pPr>
      <w:r>
        <w:t xml:space="preserve">Kluczowy argument za rozszerzeniem zakresu dyrektywy poza </w:t>
      </w:r>
      <w:r>
        <w:t xml:space="preserve">pracę </w:t>
      </w:r>
      <w:r>
        <w:t xml:space="preserve">na platformach </w:t>
      </w:r>
      <w:r>
        <w:t xml:space="preserve">wynika z natury samego problemu: platformy stały się </w:t>
      </w:r>
      <w:r w:rsidR="00D17094">
        <w:t xml:space="preserve">jedynie </w:t>
      </w:r>
      <w:r>
        <w:t xml:space="preserve">najbardziej widocznym, ale nie jedynym przykładem</w:t>
      </w:r>
      <w:r>
        <w:t xml:space="preserve"> łańcuchów </w:t>
      </w:r>
      <w:r>
        <w:t xml:space="preserve">podwykonawczych</w:t>
      </w:r>
      <w:r>
        <w:t xml:space="preserve">, w których nie jest jasne, kto faktycznie jest pracodawcą i kto ponosi odpowiedzialność za </w:t>
      </w:r>
      <w:r w:rsidR="00D17094">
        <w:t xml:space="preserve">zapewnienie pracownikom praw pracowniczych i socjalnych</w:t>
      </w:r>
      <w:r>
        <w:t xml:space="preserve">. </w:t>
      </w:r>
      <w:r w:rsidR="00D17094">
        <w:t xml:space="preserve">Zarządzanie algorytmiczne nie jest stosowane wyłącznie przez platformy; </w:t>
      </w:r>
      <w:r>
        <w:t xml:space="preserve">funkcjonuje ono </w:t>
      </w:r>
      <w:r w:rsidR="00D17094">
        <w:t xml:space="preserve">również </w:t>
      </w:r>
      <w:r>
        <w:t xml:space="preserve">w magazynach</w:t>
      </w:r>
      <w:r w:rsidR="00D17094">
        <w:t xml:space="preserve">, </w:t>
      </w:r>
      <w:r>
        <w:t xml:space="preserve">centrach obsługi telefonicznej </w:t>
      </w:r>
      <w:r w:rsidR="00D17094">
        <w:t xml:space="preserve">i w innych miejscach</w:t>
      </w:r>
      <w:r>
        <w:t xml:space="preserve">.</w:t>
      </w:r>
    </w:p>
    <w:p w:rsidR="00983F19" w:rsidP="00750824" w:rsidRDefault="00000000" w14:paraId="711C4AA1" w14:textId="77777777">
      <w:pPr>
        <w:pStyle w:val="Naslov2"/>
        <w:jc w:val="both"/>
      </w:pPr>
      <w:bookmarkStart w:name="_Toc233699506" w:id="71"/>
      <w:bookmarkStart w:name="ugotovitve-iz-prakse-5" w:id="72"/>
      <w:bookmarkEnd w:id="70"/>
      <w:r>
        <w:t xml:space="preserve">8.2 Wnioski z praktyki</w:t>
      </w:r>
      <w:bookmarkEnd w:id="71"/>
    </w:p>
    <w:p w:rsidR="00983F19" w:rsidP="00750824" w:rsidRDefault="00000000" w14:paraId="6567EB3C" w14:textId="583FA04F">
      <w:pPr>
        <w:jc w:val="both"/>
      </w:pPr>
      <w:r>
        <w:rPr>
          <w:b/>
          <w:bCs/>
        </w:rPr>
        <w:t xml:space="preserve">Łańcuchy </w:t>
      </w:r>
      <w:r>
        <w:rPr>
          <w:b/>
          <w:bCs/>
        </w:rPr>
        <w:t xml:space="preserve">podwykonawców </w:t>
      </w:r>
      <w:r>
        <w:rPr>
          <w:b/>
          <w:bCs/>
        </w:rPr>
        <w:t xml:space="preserve">i zaciemnianie odpowiedzialności pracodawcy. </w:t>
      </w:r>
      <w:r>
        <w:t xml:space="preserve">Raport projektu SDDP dotyczący pośrednictwa w </w:t>
      </w:r>
      <w:r>
        <w:t xml:space="preserve">pracy </w:t>
      </w:r>
      <w:r>
        <w:t xml:space="preserve">platformowej </w:t>
      </w:r>
      <w:r>
        <w:t xml:space="preserve">dokumentuje, że w prawie połowie analizowanych platform (patrz rozdział 2)</w:t>
      </w:r>
      <w:r>
        <w:t xml:space="preserve"> łańcuchy </w:t>
      </w:r>
      <w:r>
        <w:t xml:space="preserve">podwykonawców </w:t>
      </w:r>
      <w:r>
        <w:t xml:space="preserve">nie są anomalią, lecz strukturalnym elementem </w:t>
      </w:r>
      <w:r w:rsidR="000F63BC">
        <w:t xml:space="preserve">ich </w:t>
      </w:r>
      <w:r>
        <w:t xml:space="preserve">modelu biznesowego. Problem ten nie ogranicza się do platform: w Niemczech łańcuchy pośrednictwa w przemyśle mięsnym były tak skomplikowane, że nie można było ustalić, kto faktycznie jest pracodawcą i kto ponosi odpowiedzialność prawną za </w:t>
      </w:r>
      <w:r>
        <w:t xml:space="preserve">prawa </w:t>
      </w:r>
      <w:r w:rsidR="000F63BC">
        <w:t xml:space="preserve">pracownicze </w:t>
      </w:r>
      <w:r>
        <w:t xml:space="preserve">pracowników. W 2021 roku Niemcy, </w:t>
      </w:r>
      <w:r w:rsidR="000F63BC">
        <w:t xml:space="preserve">w odpowiedzi na systematyczne zaciemnianie odpowiedzialności pracodawcy, </w:t>
      </w:r>
      <w:r>
        <w:t xml:space="preserve">wprowadziły wymóg bezpośredniego zatrudnienia w tym sektorze.</w:t>
      </w:r>
      <w:r>
        <w:rPr>
          <w:rStyle w:val="Sprotnaopomba-sklic"/>
        </w:rPr>
        <w:footnoteReference w:id="7"/>
      </w:r>
    </w:p>
    <w:p w:rsidR="00D90A18" w:rsidP="00750824" w:rsidRDefault="00D90A18" w14:paraId="5EB85A9A" w14:textId="77777777">
      <w:pPr>
        <w:jc w:val="both"/>
      </w:pPr>
    </w:p>
    <w:p w:rsidR="00983F19" w:rsidP="00750824" w:rsidRDefault="00000000" w14:paraId="61789ECF" w14:textId="385552FF">
      <w:pPr>
        <w:jc w:val="both"/>
      </w:pPr>
      <w:r>
        <w:rPr>
          <w:b/>
          <w:bCs/>
        </w:rPr>
        <w:lastRenderedPageBreak/>
      </w:r>
      <w:r>
        <w:rPr>
          <w:b/>
          <w:bCs/>
        </w:rPr>
        <w:t xml:space="preserve">Zarządzanie algorytmiczne w magazynach i centrach obsługi telefonicznej. </w:t>
      </w:r>
      <w:r>
        <w:t xml:space="preserve">Austriacki wkład w projekt SDDP dokumentuje, że zarządzanie algorytmiczne nie ogranicza się do platform: systemy pomiaru wydajności, algorytmiczne przydzielanie pracy oraz automatyczne sankcje za odstępstwa od normy funkcjonują </w:t>
      </w:r>
      <w:r w:rsidR="000F63BC">
        <w:t xml:space="preserve">również </w:t>
      </w:r>
      <w:r>
        <w:t xml:space="preserve">w magazynach i centrach obsługi telefonicznej. Dyrektywa reguluje te praktyki w odniesieniu do platform, ale nie w odniesieniu do wszystkich pozostałych pracodawców</w:t>
      </w:r>
      <w:r w:rsidR="000F63BC">
        <w:t xml:space="preserve">, </w:t>
      </w:r>
      <w:r>
        <w:t xml:space="preserve">co powoduje asymetrię między sektorami.</w:t>
      </w:r>
    </w:p>
    <w:p w:rsidR="00D90A18" w:rsidP="00750824" w:rsidRDefault="00D90A18" w14:paraId="6B71555F" w14:textId="77777777">
      <w:pPr>
        <w:jc w:val="both"/>
      </w:pPr>
    </w:p>
    <w:p w:rsidR="00983F19" w:rsidP="00750824" w:rsidRDefault="00000000" w14:paraId="75E5061C" w14:textId="4B833C24">
      <w:pPr>
        <w:jc w:val="both"/>
      </w:pPr>
      <w:r>
        <w:rPr>
          <w:b/>
          <w:bCs/>
        </w:rPr>
        <w:t xml:space="preserve">Fałszywa samozatrudnienie poza platformami. </w:t>
      </w:r>
      <w:r>
        <w:t xml:space="preserve">ZSSS w swoich wytycznych dotyczących wdrożenia dyrektywy (kwiecień 2025 r.) stwierdza, że fałszywa samozatrudnienie w Republice Słowenii jest powszechne daleko poza </w:t>
      </w:r>
      <w:r>
        <w:t xml:space="preserve">pracą </w:t>
      </w:r>
      <w:r>
        <w:t xml:space="preserve">na platformach</w:t>
      </w:r>
      <w:r>
        <w:t xml:space="preserve">. ZSSS proponuje, aby w Słowenii wprowadzono zasadę, zgodnie z którą każda praca jest uznawana za wykonywaną w ramach stosunku pracy </w:t>
      </w:r>
      <w:r w:rsidR="00615F18">
        <w:t xml:space="preserve">lub zatrudnienia</w:t>
      </w:r>
      <w:r>
        <w:t xml:space="preserve">, chyba że pracodawca z góry udowodni, że jest inaczej. W związku z tym ZSSS proponuje utworzenie rejestru, w którym będą odnotowywane wszystkie przypadki nietypowych form pracy wraz z uzasadnieniem ich stosowania.</w:t>
      </w:r>
    </w:p>
    <w:p w:rsidR="00D90A18" w:rsidP="00750824" w:rsidRDefault="00D90A18" w14:paraId="6E284FE3" w14:textId="77777777">
      <w:pPr>
        <w:jc w:val="both"/>
      </w:pPr>
    </w:p>
    <w:p w:rsidR="00D90A18" w:rsidP="00750824" w:rsidRDefault="00000000" w14:paraId="1B8DB113" w14:textId="7EA14F35">
      <w:pPr>
        <w:jc w:val="both"/>
      </w:pPr>
      <w:r>
        <w:rPr>
          <w:b/>
          <w:bCs/>
        </w:rPr>
        <w:t xml:space="preserve">Układ zbiorowy bez regulacji dotyczących AM nie zapewnia wystarczającej ochrony. </w:t>
      </w:r>
      <w:r>
        <w:t xml:space="preserve">Dwa przykłady z krajów partnerskich wyraźnie to potwierdzają. Austriacki układ zbiorowy dla dostawców (</w:t>
      </w:r>
      <w:r>
        <w:t xml:space="preserve">Gewerkschaft </w:t>
      </w:r>
      <w:r>
        <w:t xml:space="preserve">vida, obowiązujący w latach 2023–2025) uregulował </w:t>
      </w:r>
      <w:r w:rsidR="001E67F7">
        <w:t xml:space="preserve">kwestie wynagrodzenia</w:t>
      </w:r>
      <w:r>
        <w:t xml:space="preserve">, </w:t>
      </w:r>
      <w:r w:rsidR="001E67F7">
        <w:t xml:space="preserve">czasu</w:t>
      </w:r>
      <w:r w:rsidR="001E67F7">
        <w:t xml:space="preserve"> pracy </w:t>
      </w:r>
      <w:r>
        <w:t xml:space="preserve">i </w:t>
      </w:r>
      <w:r w:rsidR="001E67F7">
        <w:t xml:space="preserve">zwrotu kosztów, </w:t>
      </w:r>
      <w:r w:rsidR="001E67F7">
        <w:t xml:space="preserve">ale </w:t>
      </w:r>
      <w:r>
        <w:t xml:space="preserve">nie poruszył tematu </w:t>
      </w:r>
      <w:r>
        <w:t xml:space="preserve">zarządzania algorytmicznego</w:t>
      </w:r>
      <w:r>
        <w:t xml:space="preserve">. Związek zawodowy wypowiedział ten układ w czerwcu 2025 r. Włoska umowa dla kurierów Just </w:t>
      </w:r>
      <w:r>
        <w:t xml:space="preserve">Eat </w:t>
      </w:r>
      <w:r>
        <w:t xml:space="preserve">Takeaway </w:t>
      </w:r>
      <w:r>
        <w:t xml:space="preserve">/ </w:t>
      </w:r>
      <w:r>
        <w:t xml:space="preserve">Scoober </w:t>
      </w:r>
      <w:r>
        <w:t xml:space="preserve">(obowiązująca od stycznia 2025 r. do grudnia 2027 r.) idzie o krok dalej: kurierzy są </w:t>
      </w:r>
      <w:r w:rsidR="00615F18">
        <w:t xml:space="preserve">zatrudnieni </w:t>
      </w:r>
      <w:r>
        <w:t xml:space="preserve">na podstawie umowy</w:t>
      </w:r>
      <w:r w:rsidR="00615F18">
        <w:t xml:space="preserve">,</w:t>
      </w:r>
      <w:r>
        <w:t xml:space="preserve"> która odwołuje się do krajowego </w:t>
      </w:r>
      <w:r w:rsidR="001E67F7">
        <w:t xml:space="preserve">układu zbiorowego </w:t>
      </w:r>
      <w:r>
        <w:t xml:space="preserve">dla logistyki i transportu (CCNL </w:t>
      </w:r>
      <w:r>
        <w:t xml:space="preserve">Logistics</w:t>
      </w:r>
      <w:r>
        <w:t xml:space="preserve">). </w:t>
      </w:r>
    </w:p>
    <w:p w:rsidR="00D90A18" w:rsidP="00750824" w:rsidRDefault="00D90A18" w14:paraId="25CEF840" w14:textId="77777777">
      <w:pPr>
        <w:jc w:val="both"/>
      </w:pPr>
    </w:p>
    <w:p w:rsidR="00983F19" w:rsidP="00750824" w:rsidRDefault="00000000" w14:paraId="10167AA2" w14:textId="5AD59B41">
      <w:pPr>
        <w:jc w:val="both"/>
      </w:pPr>
      <w:r>
        <w:t xml:space="preserve">Mimo to umowa nie zawiera postanowień dotyczących przejrzystości parametrów algorytmicznych, chociaż </w:t>
      </w:r>
      <w:r w:rsidR="001E67F7">
        <w:t xml:space="preserve">premia za wyniki </w:t>
      </w:r>
      <w:r>
        <w:t xml:space="preserve">(PDR) zależy od kryteriów algorytmicznych </w:t>
      </w:r>
      <w:r w:rsidR="00D7386B">
        <w:t xml:space="preserve">– </w:t>
      </w:r>
      <w:r>
        <w:t xml:space="preserve">obecności powyżej 93% i wydajności powyżej 1,85 zlecenia na godzinę </w:t>
      </w:r>
      <w:r w:rsidR="00D7386B">
        <w:t xml:space="preserve">– </w:t>
      </w:r>
      <w:r>
        <w:t xml:space="preserve">bez żadnych postanowień dotyczących sposobu obliczania tych kryteriów i tego, kto może je zakwestionować</w:t>
      </w:r>
      <w:r>
        <w:t xml:space="preserve">.</w:t>
      </w:r>
      <w:r>
        <w:t xml:space="preserve"> Wspólna lekcja płynąca z obu przypadków: układ zbiorowy, który nie reguluje </w:t>
      </w:r>
      <w:r w:rsidR="001E67F7">
        <w:t xml:space="preserve">kwestii AM</w:t>
      </w:r>
      <w:r>
        <w:t xml:space="preserve">, nie zapewnia kompleksowej ochrony w </w:t>
      </w:r>
      <w:r>
        <w:t xml:space="preserve">gospodarce </w:t>
      </w:r>
      <w:r>
        <w:t xml:space="preserve">platformowej</w:t>
      </w:r>
      <w:r w:rsidR="00645F58">
        <w:t xml:space="preserve">.</w:t>
      </w:r>
      <w:r>
        <w:rPr>
          <w:rStyle w:val="Sprotnaopomba-sklic"/>
        </w:rPr>
        <w:footnoteReference w:id="8"/>
      </w:r>
      <w:r w:rsidR="00645F58">
        <w:t xml:space="preserve"> </w:t>
      </w:r>
      <w:r>
        <w:rPr>
          <w:rStyle w:val="Sprotnaopomba-sklic"/>
        </w:rPr>
        <w:footnoteReference w:id="9"/>
      </w:r>
    </w:p>
    <w:p w:rsidR="00D90A18" w:rsidP="00750824" w:rsidRDefault="00D90A18" w14:paraId="496B41FD" w14:textId="77777777">
      <w:pPr>
        <w:jc w:val="both"/>
      </w:pPr>
    </w:p>
    <w:p w:rsidR="00983F19" w:rsidP="00750824" w:rsidRDefault="00000000" w14:paraId="32CF5609" w14:textId="04E24715">
      <w:pPr>
        <w:jc w:val="both"/>
      </w:pPr>
      <w:r>
        <w:rPr>
          <w:b/>
          <w:bCs/>
        </w:rPr>
        <w:t xml:space="preserve">Umowy o zachowaniu poufności jako narzędzie wywierania presji</w:t>
      </w:r>
      <w:r w:rsidR="00645F58">
        <w:t xml:space="preserve">. </w:t>
      </w:r>
      <w:r>
        <w:t xml:space="preserve">Podczas negocjacji z </w:t>
      </w:r>
      <w:r>
        <w:t xml:space="preserve">korporacjami </w:t>
      </w:r>
      <w:r>
        <w:t xml:space="preserve">platformowymi </w:t>
      </w:r>
      <w:r>
        <w:t xml:space="preserve">w sprawie układów zbiorowych oraz w związku z żądaniami dotyczącymi danych na temat zarządzania algorytmicznego </w:t>
      </w:r>
      <w:r>
        <w:t xml:space="preserve">platformy wymagają od związków zawodowych podpisania umowy o zachowaniu poufności (</w:t>
      </w:r>
      <w:r w:rsidR="00645F58">
        <w:t xml:space="preserve">„</w:t>
      </w:r>
      <w:r>
        <w:t xml:space="preserve">non-disclosure </w:t>
      </w:r>
      <w:r>
        <w:t xml:space="preserve">agreement </w:t>
      </w:r>
      <w:r w:rsidR="00645F58">
        <w:t xml:space="preserve">(</w:t>
      </w:r>
      <w:r>
        <w:t xml:space="preserve">NDA</w:t>
      </w:r>
      <w:r w:rsidR="00645F58">
        <w:t xml:space="preserve">)”</w:t>
      </w:r>
      <w:r>
        <w:t xml:space="preserve">). W ten sposób nie tylko ograniczają związki zawodowe w publicznej debacie, ale także zastraszają je, aby nie składały skarg i nie dochodziły praw, które dyrektywa wyraźnie im gwarantuje. Artykuł 9 dyrektywy nakłada na platformy proaktywny obowiązek informowania przedstawicieli związków zawodowych o systemach AM/AI </w:t>
      </w:r>
      <w:r w:rsidR="00D7386B">
        <w:t xml:space="preserve">– </w:t>
      </w:r>
      <w:r>
        <w:t xml:space="preserve">obowiązek ten nie może być uzależniony od podpisania umowy. Artykuł 22 dyrektywy zakazuje wszelkich szkodliwych działań wobec osób i ich przedstawicieli, którzy dochodzą praw wynikających z dyrektywy.</w:t>
      </w:r>
    </w:p>
    <w:p w:rsidR="00D90A18" w:rsidP="00750824" w:rsidRDefault="00D90A18" w14:paraId="572469EA" w14:textId="77777777">
      <w:pPr>
        <w:jc w:val="both"/>
      </w:pPr>
    </w:p>
    <w:p w:rsidR="00983F19" w:rsidP="00750824" w:rsidRDefault="00000000" w14:paraId="2B001D43" w14:textId="74333029">
      <w:pPr>
        <w:jc w:val="both"/>
      </w:pPr>
      <w:r>
        <w:rPr>
          <w:b/>
          <w:bCs/>
        </w:rPr>
        <w:t xml:space="preserve">Korzyści z automatyzacji zarządzania (AM) dla pracowników, a nie tylko dla pracodawców. </w:t>
      </w:r>
      <w:r>
        <w:t xml:space="preserve">Związek ZSSS w swoich wytycznych zwraca uwagę, że wdrożenie automatyzacji zarządzania (AM) i systemów sztucznej inteligencji (AI) musi przynieść korzyści również pracownikom </w:t>
      </w:r>
      <w:r w:rsidR="00D7386B">
        <w:t xml:space="preserve">– </w:t>
      </w:r>
      <w:r>
        <w:t xml:space="preserve">poprzez lepszą organizację pracy, wyższe wynagrodzenia, ograniczenie powtarzalnych zadań oraz możliwość skrócenia</w:t>
      </w:r>
      <w:r>
        <w:lastRenderedPageBreak/>
      </w:r>
      <w:r>
        <w:t xml:space="preserve"> czasu pracy. Regulacja automatyzacji pracy wyłącznie jako regulacja nadzoru, bez wymogu sprawiedliwego podziału korzyści, nie jest wystarczająca.</w:t>
      </w:r>
    </w:p>
    <w:p w:rsidR="00983F19" w:rsidP="00750824" w:rsidRDefault="00000000" w14:paraId="3E6F525B" w14:textId="77777777">
      <w:pPr>
        <w:pStyle w:val="Naslov2"/>
        <w:jc w:val="both"/>
      </w:pPr>
      <w:bookmarkStart w:name="_Toc233699507" w:id="73"/>
      <w:bookmarkStart w:name="priporočila-5" w:id="74"/>
      <w:bookmarkEnd w:id="72"/>
      <w:r>
        <w:t xml:space="preserve">8.3 Zalecenia</w:t>
      </w:r>
      <w:bookmarkEnd w:id="73"/>
    </w:p>
    <w:p w:rsidRPr="00D90A18" w:rsidR="00983F19" w:rsidP="00750824" w:rsidRDefault="00000000" w14:paraId="4FB73DAE" w14:textId="77777777">
      <w:pPr>
        <w:jc w:val="both"/>
        <w:rPr>
          <w:i/>
          <w:iCs/>
        </w:rPr>
      </w:pPr>
      <w:r>
        <w:rPr>
          <w:rStyle w:val="Poudarek"/>
        </w:rPr>
        <w:t xml:space="preserve">Poniższe zalecenia skierowane są do ministerstw pracy i partnerów społecznych wszystkich państw członkowskich UE oraz do ETUC.</w:t>
      </w:r>
    </w:p>
    <w:p w:rsidRPr="00D90A18" w:rsidR="00983F19" w:rsidP="00750824" w:rsidRDefault="00000000" w14:paraId="44040075" w14:textId="77777777">
      <w:pPr>
        <w:pStyle w:val="Naslov3"/>
        <w:jc w:val="both"/>
      </w:pPr>
      <w:r>
        <w:t xml:space="preserve">Zalecenie 8.1 [WYKRACZA POZA MINIMUM]: Zakaz nadużywania umów o poufności w stosunku do przedstawicieli związków zawodowych</w:t>
      </w:r>
    </w:p>
    <w:p w:rsidR="00983F19" w:rsidP="00750824" w:rsidRDefault="00000000" w14:paraId="68926663" w14:textId="7D7DDDE1">
      <w:pPr>
        <w:jc w:val="both"/>
      </w:pPr>
      <w:r>
        <w:t xml:space="preserve">Wymóg podpisania umowy o poufności jako warunku dostępu do danych, do których przedstawiciele związków zawodowych mają już prawo na mocy dyrektywy, jest </w:t>
      </w:r>
      <w:r w:rsidR="00885168">
        <w:t xml:space="preserve">zabroniony </w:t>
      </w:r>
      <w:r>
        <w:t xml:space="preserve">zgodnie z art. 22 dyrektywy.</w:t>
      </w:r>
    </w:p>
    <w:p w:rsidRPr="00D90A18" w:rsidR="00D90A18" w:rsidP="00750824" w:rsidRDefault="00D90A18" w14:paraId="536ED4A8" w14:textId="77777777">
      <w:pPr>
        <w:jc w:val="both"/>
      </w:pPr>
    </w:p>
    <w:p w:rsidR="00983F19" w:rsidP="00750824" w:rsidRDefault="00000000" w14:paraId="5DE11210" w14:textId="1875A5AC">
      <w:pPr>
        <w:jc w:val="both"/>
      </w:pPr>
      <w:r>
        <w:t xml:space="preserve">Ministerstwa </w:t>
      </w:r>
      <w:r w:rsidR="00885168">
        <w:t xml:space="preserve">powinny </w:t>
      </w:r>
      <w:r>
        <w:t xml:space="preserve">wprowadzić ten zakaz w przepisach wykonawczych: umowa o zachowaniu poufności nie może uniemożliwiać związkowi zawodowemu wnoszenia skarg ani przedkładania informacji sądowi. Ponadto nieważne są wszelkie klauzule umowne, które zabraniają pracownikom ujawniania warunków pracy </w:t>
      </w:r>
      <w:r w:rsidR="00D7386B">
        <w:t xml:space="preserve">– </w:t>
      </w:r>
      <w:r>
        <w:t xml:space="preserve">zgodnie </w:t>
      </w:r>
      <w:r w:rsidR="00885168">
        <w:t xml:space="preserve">z </w:t>
      </w:r>
      <w:r>
        <w:t xml:space="preserve">III filarem Protokołu oraz art. 14 i 22 dyrektywy. Naruszenie ze strony korporacji platformowej uznaje się za naruszenie dyrektywy i podlega sankcjom zgodnie z art. 24.</w:t>
      </w:r>
    </w:p>
    <w:p w:rsidRPr="00D90A18" w:rsidR="00885168" w:rsidP="00750824" w:rsidRDefault="00885168" w14:paraId="07CA53AF" w14:textId="77777777">
      <w:pPr>
        <w:jc w:val="both"/>
      </w:pPr>
    </w:p>
    <w:p w:rsidRPr="00D90A18" w:rsidR="00983F19" w:rsidP="00750824" w:rsidRDefault="00000000" w14:paraId="1E7ED245" w14:textId="77777777">
      <w:pPr>
        <w:pStyle w:val="Blokbesedila"/>
      </w:pPr>
      <w:r>
        <w:t xml:space="preserve">Kontekst: Artykuł 9: proaktywny obowiązek informowania przedstawicieli związków zawodowych o AM/AI. Artykuł 22: zakaz szkodliwego traktowania osób korzystających z praw wynikających z dyrektywy.</w:t>
      </w:r>
    </w:p>
    <w:p w:rsidRPr="00D90A18" w:rsidR="00983F19" w:rsidP="00750824" w:rsidRDefault="00000000" w14:paraId="02556E79" w14:textId="77777777">
      <w:pPr>
        <w:jc w:val="both"/>
      </w:pPr>
      <w:r>
        <w:t xml:space="preserve"> </w:t>
      </w:r>
    </w:p>
    <w:p w:rsidRPr="00D90A18" w:rsidR="00983F19" w:rsidP="00750824" w:rsidRDefault="00000000" w14:paraId="227BBD6C" w14:textId="77777777">
      <w:pPr>
        <w:pStyle w:val="Naslov3"/>
        <w:jc w:val="both"/>
      </w:pPr>
      <w:r>
        <w:t xml:space="preserve">Zalecenie 8.2 [AMBICJOZNE]: Jednolite regulacje dotyczące łańcuchów podwykonawczych w sektorach o wysokim stopniu pośrednictwa</w:t>
      </w:r>
    </w:p>
    <w:p w:rsidR="00983F19" w:rsidP="00750824" w:rsidRDefault="00885168" w14:paraId="001EAB30" w14:textId="31B7457E">
      <w:pPr>
        <w:jc w:val="both"/>
      </w:pPr>
      <w:r>
        <w:t xml:space="preserve">Odpowiedzialność </w:t>
      </w:r>
      <w:r w:rsidR="00A25A76">
        <w:t xml:space="preserve">solidarna </w:t>
      </w:r>
      <w:r>
        <w:t xml:space="preserve">i rejestr łańcuchów podwykonawczych nie mogą ograniczać się do sektora platformowego.</w:t>
      </w:r>
    </w:p>
    <w:p w:rsidRPr="00D90A18" w:rsidR="00D90A18" w:rsidP="00750824" w:rsidRDefault="00D90A18" w14:paraId="3399F77A" w14:textId="77777777">
      <w:pPr>
        <w:jc w:val="both"/>
      </w:pPr>
    </w:p>
    <w:p w:rsidR="00983F19" w:rsidP="00750824" w:rsidRDefault="00000000" w14:paraId="34B7CF26" w14:textId="77777777">
      <w:pPr>
        <w:jc w:val="both"/>
      </w:pPr>
      <w:r>
        <w:t xml:space="preserve">Ministerstwa, we współpracy z inspektoratami, powinny zbadać zakres łańcuchów podwykonawczych w sektorach o udokumentowanym wysokim stopniu pośrednictwa oraz zaproponować środki legislacyjne w celu jasnego określenia odpowiedzialności pracodawców w całym łańcuchu. Wzywamy ETUC do poparcia własnego wniosku dotyczącego dyrektywy w sprawie podwykonawstwa i pośrednictwa z listopada 2025 r.</w:t>
      </w:r>
    </w:p>
    <w:p w:rsidRPr="00D90A18" w:rsidR="00885168" w:rsidP="00750824" w:rsidRDefault="00885168" w14:paraId="01947D24" w14:textId="77777777">
      <w:pPr>
        <w:jc w:val="both"/>
      </w:pPr>
    </w:p>
    <w:p w:rsidRPr="00D90A18" w:rsidR="00983F19" w:rsidP="00750824" w:rsidRDefault="00000000" w14:paraId="0A92C624" w14:textId="1F93BCCD">
      <w:pPr>
        <w:pStyle w:val="Blokbesedila"/>
      </w:pPr>
      <w:r>
        <w:t xml:space="preserve">Kontekst: Niemcy 2021: postulat bezpośredniego zatrudnienia w przemyśle mięsnym jako odpowiedź na systematyczne zaciemnianie odpowiedzialności pracodawcy. ETUC listopad 2025: </w:t>
      </w:r>
      <w:r w:rsidR="00A25A76">
        <w:t xml:space="preserve">solidarna </w:t>
      </w:r>
      <w:r>
        <w:t xml:space="preserve">odpowiedzialność za wynagrodzenia, składki i prawo do zrzeszania się.</w:t>
      </w:r>
    </w:p>
    <w:p w:rsidRPr="00D90A18" w:rsidR="00983F19" w:rsidP="00750824" w:rsidRDefault="00000000" w14:paraId="3BC804AE" w14:textId="77777777">
      <w:pPr>
        <w:jc w:val="both"/>
      </w:pPr>
      <w:r>
        <w:t xml:space="preserve"> </w:t>
      </w:r>
    </w:p>
    <w:p w:rsidRPr="00D90A18" w:rsidR="00983F19" w:rsidP="00750824" w:rsidRDefault="00000000" w14:paraId="03686A7F" w14:textId="77777777">
      <w:pPr>
        <w:pStyle w:val="Naslov3"/>
        <w:jc w:val="both"/>
      </w:pPr>
      <w:r>
        <w:t xml:space="preserve">Zalecenie 8.3 [WYKRACZA POZA MINIMUM]: Cyfrowe miejsce pracy jako standard prawny dla praw związkowych</w:t>
      </w:r>
    </w:p>
    <w:p w:rsidR="00983F19" w:rsidP="00750824" w:rsidRDefault="00000000" w14:paraId="57CA3119" w14:textId="77777777">
      <w:pPr>
        <w:jc w:val="both"/>
      </w:pPr>
      <w:r>
        <w:t xml:space="preserve">Ustawa o delegowaniu pracy definiuje cyfrowe środowisko pracy jako równoważne z fizycznym miejscem pracy dla celów realizacji praw związkowych.</w:t>
      </w:r>
    </w:p>
    <w:p w:rsidRPr="00D90A18" w:rsidR="00D90A18" w:rsidP="00750824" w:rsidRDefault="00D90A18" w14:paraId="02CA774F" w14:textId="77777777">
      <w:pPr>
        <w:jc w:val="both"/>
      </w:pPr>
    </w:p>
    <w:p w:rsidR="00983F19" w:rsidP="00750824" w:rsidRDefault="00000000" w14:paraId="2C4FC267" w14:textId="62D52123">
      <w:pPr>
        <w:jc w:val="both"/>
      </w:pPr>
      <w:r>
        <w:t xml:space="preserve">Przedstawiciel związkowy, któremu platforma dezaktywowała konto z powodu dochodzenia praw związkowych, korzysta z takiej samej ochrony jak pracownik, któremu pracodawca wypowiedział umowę </w:t>
      </w:r>
      <w:r w:rsidR="00885168">
        <w:t xml:space="preserve">o </w:t>
      </w:r>
      <w:r w:rsidR="00885168">
        <w:t xml:space="preserve">pracę</w:t>
      </w:r>
      <w:r w:rsidR="00885168">
        <w:lastRenderedPageBreak/>
      </w:r>
      <w:r w:rsidR="00885168">
        <w:t xml:space="preserve"> </w:t>
      </w:r>
      <w:r>
        <w:t xml:space="preserve">. Zakaz dyskryminacji ze względu na przynależność do związku zawodowego dotyczy wszystkich osób wykonujących pracę za pośrednictwem platformy cyfrowej, niezależnie od ich formalnego statusu.</w:t>
      </w:r>
    </w:p>
    <w:p w:rsidRPr="00D90A18" w:rsidR="00885168" w:rsidP="00750824" w:rsidRDefault="00885168" w14:paraId="3D85F254" w14:textId="77777777">
      <w:pPr>
        <w:jc w:val="both"/>
      </w:pPr>
    </w:p>
    <w:p w:rsidRPr="00D90A18" w:rsidR="00983F19" w:rsidP="00750824" w:rsidRDefault="00000000" w14:paraId="0AE1C5CF" w14:textId="77777777">
      <w:pPr>
        <w:pStyle w:val="Blokbesedila"/>
      </w:pPr>
      <w:r>
        <w:t xml:space="preserve">Kontekst: Projekt układu zbiorowego Wolt (ZSSS i Związek Mladi plus, 2025), art. 17: aplikacja uznaje się za cyfrowe miejsce pracy. Wytyczne ZSSS z 2025 r.</w:t>
      </w:r>
    </w:p>
    <w:p w:rsidRPr="00D90A18" w:rsidR="00983F19" w:rsidP="00750824" w:rsidRDefault="00000000" w14:paraId="126E5F42" w14:textId="77777777">
      <w:pPr>
        <w:pStyle w:val="Naslov3"/>
        <w:jc w:val="both"/>
      </w:pPr>
      <w:r>
        <w:t xml:space="preserve">Zalecenie 8.4 [WYKRACZA POZA MINIMUM]: Tablica ogłoszeń związkowych w aplikacji: prawo, a nie usługa</w:t>
      </w:r>
    </w:p>
    <w:p w:rsidR="00983F19" w:rsidP="00750824" w:rsidRDefault="00000000" w14:paraId="2F491E46" w14:textId="61A4F5E9">
      <w:pPr>
        <w:jc w:val="both"/>
      </w:pPr>
      <w:r>
        <w:t xml:space="preserve">Platforma </w:t>
      </w:r>
      <w:r w:rsidR="00885168">
        <w:t xml:space="preserve">w aplikacji </w:t>
      </w:r>
      <w:r>
        <w:t xml:space="preserve">udostępnia miejsce, w którym związek zawodowy może swobodnie publikować komunikaty skierowane do pracowników </w:t>
      </w:r>
      <w:r w:rsidR="00D7386B">
        <w:t xml:space="preserve">– </w:t>
      </w:r>
      <w:r>
        <w:t xml:space="preserve">bez konieczności uzyskania uprzedniej zgody platformy.</w:t>
      </w:r>
    </w:p>
    <w:p w:rsidRPr="00D90A18" w:rsidR="00D90A18" w:rsidP="00750824" w:rsidRDefault="00D90A18" w14:paraId="231B3F38" w14:textId="77777777">
      <w:pPr>
        <w:jc w:val="both"/>
      </w:pPr>
    </w:p>
    <w:p w:rsidR="00983F19" w:rsidP="00750824" w:rsidRDefault="00000000" w14:paraId="67550E60" w14:textId="41B328D0">
      <w:pPr>
        <w:jc w:val="both"/>
      </w:pPr>
      <w:r>
        <w:t xml:space="preserve">Związek zawodowy ma prawo co najmniej dwa razy w miesiącu bezpośrednio </w:t>
      </w:r>
      <w:r w:rsidR="00FA3434">
        <w:t xml:space="preserve">informować </w:t>
      </w:r>
      <w:r>
        <w:t xml:space="preserve">wszystkich pracowników za pośrednictwem aplikacji. Platforma nie może kontrolować treści tych komunikatów ani ograniczać pracownikom dostępu do nich. Artykuł 20 dyrektywy wymaga, aby platforma zapewniła cyfrowe kanały komunikacyjne, które umożliwiają pracownikom i ich przedstawicielom prywatną i bezpieczną komunikację, a platformy powstrzymują się od uzyskiwania dostępu do tej komunikacji lub jej monitorowania.</w:t>
      </w:r>
      <w:r w:rsidRPr="00016B3D">
        <w:rPr>
          <w:rStyle w:val="Sprotnaopomba-sklic"/>
          <w:sz w:val="16"/>
          <w:szCs w:val="16"/>
          <w:vertAlign w:val="baseline"/>
        </w:rPr>
        <w:footnoteReference w:id="10"/>
      </w:r>
    </w:p>
    <w:p w:rsidRPr="00D90A18" w:rsidR="00885168" w:rsidP="00750824" w:rsidRDefault="00885168" w14:paraId="0186C3AD" w14:textId="77777777">
      <w:pPr>
        <w:jc w:val="both"/>
      </w:pPr>
    </w:p>
    <w:p w:rsidRPr="00D90A18" w:rsidR="00983F19" w:rsidP="00750824" w:rsidRDefault="00000000" w14:paraId="45155A35" w14:textId="77777777">
      <w:pPr>
        <w:pStyle w:val="Blokbesedila"/>
      </w:pPr>
      <w:r>
        <w:t xml:space="preserve">Kontekst: Projekt układu zbiorowego firmy Wolt, art. 14: zakładka w aplikacji przeznaczona na komunikaty związkowe, powiadomienia push dwa razy w miesiącu, zakaz ukrytego nadzoru nad grupami związkowymi. Wytyczne ZSSS na rok 2025.</w:t>
      </w:r>
    </w:p>
    <w:p w:rsidR="00983F19" w:rsidP="00750824" w:rsidRDefault="00000000" w14:paraId="5F327B38" w14:textId="77777777">
      <w:pPr>
        <w:jc w:val="both"/>
      </w:pPr>
      <w:r>
        <w:t xml:space="preserve"> </w:t>
      </w:r>
    </w:p>
    <w:p w:rsidRPr="00D90A18" w:rsidR="00983F19" w:rsidP="00750824" w:rsidRDefault="00000000" w14:paraId="2EADF6A0" w14:textId="4B93A713">
      <w:pPr>
        <w:jc w:val="both"/>
        <w:rPr>
          <w:rStyle w:val="Poudarek"/>
        </w:rPr>
      </w:pPr>
      <w:r>
        <w:rPr>
          <w:rStyle w:val="Poudarek"/>
        </w:rPr>
        <w:t xml:space="preserve">Dyrektywa w sprawie pracy na platformach jest z prawnego punktu widzenia przepisem sektorowym. Z politycznego punktu widzenia stanowi prototyp. Nie chodzi </w:t>
      </w:r>
      <w:r w:rsidR="00FA3434">
        <w:rPr>
          <w:rStyle w:val="Poudarek"/>
        </w:rPr>
        <w:t xml:space="preserve">tylko </w:t>
      </w:r>
      <w:r>
        <w:rPr>
          <w:rStyle w:val="Poudarek"/>
        </w:rPr>
        <w:t xml:space="preserve">o ochronę </w:t>
      </w:r>
      <w:r w:rsidR="00FA3434">
        <w:rPr>
          <w:rStyle w:val="Poudarek"/>
        </w:rPr>
        <w:t xml:space="preserve">pracowników </w:t>
      </w:r>
      <w:r>
        <w:rPr>
          <w:rStyle w:val="Poudarek"/>
        </w:rPr>
        <w:t xml:space="preserve">przed </w:t>
      </w:r>
      <w:r w:rsidR="00FA3434">
        <w:rPr>
          <w:rStyle w:val="Poudarek"/>
        </w:rPr>
        <w:t xml:space="preserve">platformami</w:t>
      </w:r>
      <w:r>
        <w:rPr>
          <w:rStyle w:val="Poudarek"/>
        </w:rPr>
        <w:t xml:space="preserve">, ale o ustanowienie standardu, zgodnie z którym </w:t>
      </w:r>
      <w:r w:rsidR="00FA3434">
        <w:rPr>
          <w:rStyle w:val="Poudarek"/>
        </w:rPr>
        <w:t xml:space="preserve">pośrednicy</w:t>
      </w:r>
      <w:r>
        <w:rPr>
          <w:rStyle w:val="Poudarek"/>
        </w:rPr>
        <w:t xml:space="preserve">,</w:t>
      </w:r>
      <w:r>
        <w:rPr>
          <w:rStyle w:val="Poudarek"/>
        </w:rPr>
        <w:t xml:space="preserve"> łańcuchy </w:t>
      </w:r>
      <w:r>
        <w:rPr>
          <w:rStyle w:val="Poudarek"/>
        </w:rPr>
        <w:t xml:space="preserve">podwykonawców </w:t>
      </w:r>
      <w:r>
        <w:rPr>
          <w:rStyle w:val="Poudarek"/>
        </w:rPr>
        <w:t xml:space="preserve">i pozorne samozatrudnienie nie mogą być legalnym narzędziem unikania obowiązków wynikających z prawa pracy w żadnej </w:t>
      </w:r>
      <w:r w:rsidR="00FA3434">
        <w:rPr>
          <w:rStyle w:val="Poudarek"/>
        </w:rPr>
        <w:t xml:space="preserve">branży ani sektorze</w:t>
      </w:r>
      <w:r>
        <w:rPr>
          <w:rStyle w:val="Poudarek"/>
        </w:rPr>
        <w:t xml:space="preserve">. Artykuł 26 ust. 2 dyrektywy stanowi podstawę prawną dla tego kroku. To wola partnerów społecznych i rządów zadecyduje o tym, czy zostanie on zrealizowany, czy też nie.</w:t>
      </w:r>
    </w:p>
    <w:p w:rsidR="00983F19" w:rsidP="00750824" w:rsidRDefault="00000000" w14:paraId="62DB2573" w14:textId="77777777">
      <w:pPr>
        <w:jc w:val="both"/>
      </w:pPr>
      <w:r>
        <w:t xml:space="preserve"> </w:t>
      </w:r>
    </w:p>
    <w:p w:rsidR="00983F19" w:rsidP="00750824" w:rsidRDefault="00000000" w14:paraId="0C389801" w14:textId="77777777">
      <w:pPr>
        <w:jc w:val="both"/>
      </w:pPr>
      <w:r>
        <w:rPr>
          <w:rStyle w:val="Sprotnaopomba-sklic"/>
        </w:rPr>
        <w:footnoteReference w:id="11"/>
      </w:r>
      <w:r>
        <w:t xml:space="preserve"> Dyrektywa UE 2024/2831, art. 20, oryginalny tekst w języku słoweńskim (wersja skrócona): </w:t>
      </w:r>
      <w:r>
        <w:rPr>
          <w:i/>
          <w:iCs/>
        </w:rPr>
        <w:t xml:space="preserve">„Państwa członkowskie podejmują środki niezbędne do zapewnienia, aby platformy cyfrowe pracy umożliwiały osobom wykonującym pracę na platformie nawiązywanie kontaktów oraz prywatną i bezpieczną komunikację między sobą za pośrednictwem infrastruktury cyfrowej lub równie skutecznych środków, a także kontaktowanie się z przedstawicielami. Państwa członkowskie wymagają od cyfrowych platform pracy, aby powstrzymały się od uzyskiwania dostępu do tych kontaktów i komunikacji lub ich monitorowania</w:t>
      </w:r>
      <w:r>
        <w:t xml:space="preserve">.”</w:t>
      </w:r>
    </w:p>
    <w:p w:rsidR="00750824" w:rsidRDefault="00750824" w14:paraId="369C81FF" w14:textId="77777777">
      <w:pPr>
        <w:rPr>
          <w:b/>
          <w:bCs/>
          <w:color w:val="1F3864"/>
          <w:sz w:val="36"/>
          <w:szCs w:val="36"/>
        </w:rPr>
      </w:pPr>
      <w:bookmarkStart w:name="X76a8c6d7513e997c1970b7e156028d704c0f862" w:id="75"/>
      <w:bookmarkEnd w:id="67"/>
      <w:bookmarkEnd w:id="74"/>
      <w:r>
        <w:br w:type="page"/>
      </w:r>
    </w:p>
    <w:p w:rsidR="00983F19" w:rsidP="00750824" w:rsidRDefault="00000000" w14:paraId="722C0F10" w14:textId="56452B57">
      <w:pPr>
        <w:pStyle w:val="Naslov1"/>
        <w:jc w:val="both"/>
      </w:pPr>
      <w:bookmarkStart w:name="_Toc233699508" w:id="76"/>
      <w:r>
        <w:lastRenderedPageBreak/>
      </w:r>
      <w:r>
        <w:t xml:space="preserve">Rozdział 9: Wyzwania związane z wdrożeniem i strategie unikania przepisów</w:t>
      </w:r>
      <w:bookmarkEnd w:id="76"/>
    </w:p>
    <w:p w:rsidR="00983F19" w:rsidP="00750824" w:rsidRDefault="00000000" w14:paraId="1F4ADB91" w14:textId="1621F7E7">
      <w:pPr>
        <w:jc w:val="both"/>
      </w:pPr>
      <w:r>
        <w:t xml:space="preserve">Dyrektywa została przyjęta. Termin transpozycji upływa w grudniu 2026 r. Jednak przyjęcie dyrektywy a jej faktyczne wdrożenie to dwie odrębne kwestie. Doświadczenia z krajów partnerskich pokazują, że wyzwania związane z wdrożeniem są przewidywalne </w:t>
      </w:r>
      <w:r w:rsidR="00D7386B">
        <w:t xml:space="preserve">– </w:t>
      </w:r>
      <w:r>
        <w:t xml:space="preserve">korporacje </w:t>
      </w:r>
      <w:r>
        <w:t xml:space="preserve">platformowe </w:t>
      </w:r>
      <w:r>
        <w:t xml:space="preserve">intensywnie je analizują, a związki zawodowe i ministerstwa muszą się na nie przygotować, zanim </w:t>
      </w:r>
      <w:r>
        <w:t xml:space="preserve">się pojawią. </w:t>
      </w:r>
      <w:r>
        <w:t xml:space="preserve">Niniejszy rozdział porządkuje udokumentowane wyzwania i dla każdego z nich proponuje środek zapobiegawczy.</w:t>
      </w:r>
    </w:p>
    <w:p w:rsidR="00D90A18" w:rsidP="00750824" w:rsidRDefault="00D90A18" w14:paraId="15D5FBCE" w14:textId="77777777">
      <w:pPr>
        <w:jc w:val="both"/>
      </w:pPr>
    </w:p>
    <w:p w:rsidR="00983F19" w:rsidP="00750824" w:rsidRDefault="00000000" w14:paraId="4D29D52B" w14:textId="3A60F30B">
      <w:pPr>
        <w:jc w:val="both"/>
      </w:pPr>
      <w:r>
        <w:t xml:space="preserve">Wspólny motyw przewodni: </w:t>
      </w:r>
      <w:r>
        <w:rPr>
          <w:b/>
          <w:bCs/>
        </w:rPr>
        <w:t xml:space="preserve">wyzwania są przewidywalne. </w:t>
      </w:r>
      <w:r>
        <w:t xml:space="preserve">Strategie unikania przepisów </w:t>
      </w:r>
      <w:r w:rsidR="008C7863">
        <w:t xml:space="preserve">zaobserwowano </w:t>
      </w:r>
      <w:r>
        <w:t xml:space="preserve">w Hiszpanii po </w:t>
      </w:r>
      <w:r w:rsidR="008C7863">
        <w:t xml:space="preserve">wejściu</w:t>
      </w:r>
      <w:r>
        <w:t xml:space="preserve"> w życie </w:t>
      </w:r>
      <w:r w:rsidR="008C7863">
        <w:t xml:space="preserve">ustawy </w:t>
      </w:r>
      <w:r>
        <w:t xml:space="preserve">o dostawcach, a także w Niemczech, na Polsku i we Włoszech. Ministerstwa muszą zajmować się nimi prewencyjnie, a nie reaktywnie.</w:t>
      </w:r>
    </w:p>
    <w:p w:rsidR="00983F19" w:rsidP="00750824" w:rsidRDefault="00000000" w14:paraId="58E3A976" w14:textId="77777777">
      <w:pPr>
        <w:pStyle w:val="Naslov2"/>
        <w:jc w:val="both"/>
      </w:pPr>
      <w:bookmarkStart w:name="_Toc233699509" w:id="77"/>
      <w:bookmarkStart w:name="strukturni-izzivi-implementacije" w:id="78"/>
      <w:r>
        <w:t xml:space="preserve">9.1 Strukturalne wyzwania związane z wdrażaniem</w:t>
      </w:r>
      <w:bookmarkEnd w:id="77"/>
    </w:p>
    <w:p w:rsidR="00983F19" w:rsidP="00750824" w:rsidRDefault="00000000" w14:paraId="30E901B7" w14:textId="77777777">
      <w:pPr>
        <w:pStyle w:val="RedBlock"/>
      </w:pPr>
      <w:r>
        <w:rPr>
          <w:b/>
          <w:bCs/>
        </w:rPr>
        <w:t xml:space="preserve">Wyzwanie 9.1: Czas polityczny: wybory, rządy bez większego wpływu i zwlekanie</w:t>
      </w:r>
    </w:p>
    <w:p w:rsidR="00983F19" w:rsidP="00750824" w:rsidRDefault="00000000" w14:paraId="75F387E5" w14:textId="45EFB64B">
      <w:pPr>
        <w:pStyle w:val="RedBlock"/>
      </w:pPr>
      <w:r>
        <w:t xml:space="preserve">Transpozycja dyrektywy do prawa krajowego musi zostać zakończona do 2 grudnia 2026 r. W Republice Słowenii marcowe wybory w 2026 r. spowodują powstanie próżni politycznej właśnie w momencie, gdy </w:t>
      </w:r>
      <w:r w:rsidR="008C7863">
        <w:t xml:space="preserve">transpozycja dyrektywy </w:t>
      </w:r>
      <w:r>
        <w:t xml:space="preserve">powinna być </w:t>
      </w:r>
      <w:r>
        <w:t xml:space="preserve">w pełnym toku. Doświadczenie pokazuje, że Słowenia z transpozycją dyrektyw UE zazwyczaj czeka do ostatniej chwili. We Włoszech rząd do połowy 2025 r. </w:t>
      </w:r>
      <w:r w:rsidR="008C7863">
        <w:t xml:space="preserve">milczał</w:t>
      </w:r>
      <w:r>
        <w:t xml:space="preserve"> całkowicie </w:t>
      </w:r>
      <w:r>
        <w:t xml:space="preserve">na temat wdrożenia; opozycja jest przychylna, ale nie ma większości parlamentarnej. W Niemczech związki zawodowe pozostawały na marginesie debaty, ponieważ nie było jasne, który sektor lub który związek zawodowy jest właściwy dla pracowników platformowych.</w:t>
      </w:r>
    </w:p>
    <w:p w:rsidR="00983F19" w:rsidP="00750824" w:rsidRDefault="00000000" w14:paraId="1AB141CC" w14:textId="77777777">
      <w:pPr>
        <w:pStyle w:val="RedBlock"/>
      </w:pPr>
      <w:r>
        <w:rPr>
          <w:b/>
          <w:bCs/>
        </w:rPr>
        <w:t xml:space="preserve">Ryzyko: </w:t>
      </w:r>
      <w:r>
        <w:t xml:space="preserve">dyrektywa zostanie wdrożona w minimalnym zakresie, bez ambicji, pod presją platform.</w:t>
      </w:r>
    </w:p>
    <w:p w:rsidR="00983F19" w:rsidP="00750824" w:rsidRDefault="00000000" w14:paraId="1D35EE47" w14:textId="77777777">
      <w:pPr>
        <w:jc w:val="both"/>
      </w:pPr>
      <w:r>
        <w:t xml:space="preserve"> </w:t>
      </w:r>
    </w:p>
    <w:p w:rsidR="00983F19" w:rsidP="00750824" w:rsidRDefault="00000000" w14:paraId="3902D1FD" w14:textId="0C2DC1A9">
      <w:pPr>
        <w:pStyle w:val="RedBlock"/>
      </w:pPr>
      <w:r>
        <w:rPr>
          <w:b/>
          <w:bCs/>
        </w:rPr>
        <w:t xml:space="preserve">Wyzwanie 9.2: </w:t>
      </w:r>
      <w:r w:rsidR="008C7863">
        <w:rPr>
          <w:b/>
          <w:bCs/>
        </w:rPr>
        <w:t xml:space="preserve">Czas trwania postępowań sądowych </w:t>
      </w:r>
      <w:r>
        <w:rPr>
          <w:b/>
          <w:bCs/>
        </w:rPr>
        <w:t xml:space="preserve">i luka prawna w okresie kwestionowania </w:t>
      </w:r>
      <w:r w:rsidR="008C7863">
        <w:rPr>
          <w:b/>
          <w:bCs/>
        </w:rPr>
        <w:t xml:space="preserve">domniemania </w:t>
      </w:r>
      <w:r w:rsidR="00615F18">
        <w:rPr>
          <w:b/>
          <w:bCs/>
        </w:rPr>
        <w:t xml:space="preserve">zatrudnienia</w:t>
      </w:r>
    </w:p>
    <w:p w:rsidR="00983F19" w:rsidP="00750824" w:rsidRDefault="00000000" w14:paraId="3C3EB997" w14:textId="647BD448">
      <w:pPr>
        <w:pStyle w:val="RedBlock"/>
      </w:pPr>
      <w:r>
        <w:t xml:space="preserve">Po wdrożeniu dyrektywy nastąpi okres kwestionowania prawnego domniemania </w:t>
      </w:r>
      <w:r w:rsidR="00615F18">
        <w:t xml:space="preserve">zatrudnienia </w:t>
      </w:r>
      <w:r>
        <w:t xml:space="preserve">przed sądami. Sądy w krajach partnerskich potrzebują od jednego do pięciu lat na przeprowadzenie tego rodzaju postępowań. W tym okresie pracownicy nie mają zapewnionej ochrony </w:t>
      </w:r>
      <w:r w:rsidR="00D7386B">
        <w:t xml:space="preserve">– </w:t>
      </w:r>
      <w:r>
        <w:t xml:space="preserve">platformy będą kontynuować istniejące stosunki umowne i czekać na indywidualne orzeczenia sądowe.</w:t>
      </w:r>
    </w:p>
    <w:p w:rsidR="00983F19" w:rsidP="00750824" w:rsidRDefault="00000000" w14:paraId="4D62B829" w14:textId="3EFAB04B">
      <w:pPr>
        <w:pStyle w:val="RedBlock"/>
      </w:pPr>
      <w:r>
        <w:rPr>
          <w:b/>
          <w:bCs/>
        </w:rPr>
        <w:t xml:space="preserve">Ryzyko: </w:t>
      </w:r>
      <w:r>
        <w:t xml:space="preserve">luka prawna między przyjęciem dyrektywy a faktyczną ochroną trwa lata. Właśnie to stanowi argument za zaleceniem 6.5 niniejszego dokumentu </w:t>
      </w:r>
      <w:r w:rsidR="00D7386B">
        <w:t xml:space="preserve">– </w:t>
      </w:r>
      <w:r>
        <w:t xml:space="preserve">tymczasową ochroną zbiorową w trakcie kwestionowania domniemania </w:t>
      </w:r>
      <w:r w:rsidR="00615F18">
        <w:t xml:space="preserve">zatrudnienia</w:t>
      </w:r>
      <w:r>
        <w:t xml:space="preserve">.</w:t>
      </w:r>
    </w:p>
    <w:p w:rsidR="00983F19" w:rsidP="00750824" w:rsidRDefault="00000000" w14:paraId="5F3FE2B8" w14:textId="77777777">
      <w:pPr>
        <w:jc w:val="both"/>
      </w:pPr>
      <w:r>
        <w:t xml:space="preserve"> </w:t>
      </w:r>
    </w:p>
    <w:p w:rsidR="00983F19" w:rsidP="00750824" w:rsidRDefault="00000000" w14:paraId="30E9A747" w14:textId="09611D7A">
      <w:pPr>
        <w:pStyle w:val="RedBlock"/>
      </w:pPr>
      <w:r>
        <w:rPr>
          <w:b/>
          <w:bCs/>
        </w:rPr>
        <w:t xml:space="preserve">Wyzwanie 9.3: Niewystarczające finansowanie i </w:t>
      </w:r>
      <w:r w:rsidR="008C7863">
        <w:rPr>
          <w:b/>
          <w:bCs/>
        </w:rPr>
        <w:t xml:space="preserve">kwalifikacje </w:t>
      </w:r>
      <w:r>
        <w:rPr>
          <w:b/>
          <w:bCs/>
        </w:rPr>
        <w:t xml:space="preserve">inspektoratów</w:t>
      </w:r>
    </w:p>
    <w:p w:rsidR="00983F19" w:rsidP="00750824" w:rsidRDefault="00000000" w14:paraId="0EC320FE" w14:textId="64BFB4BA">
      <w:pPr>
        <w:pStyle w:val="RedBlock"/>
      </w:pPr>
      <w:r>
        <w:t xml:space="preserve">Inspektoraty pracy we wszystkich pięciu krajach partnerskich zostały zidentyfikowane podczas konferencji SDDP (Lublana, maj 2025 r.) jako kluczowy słaby punkt: zbyt mała liczba inspektorów, zbyt mała wiedza na temat zarządzania algorytmicznego, zbyt mało narzędzi do analizy danych platform. Austriacki inspektorat wykazał się zrozumieniem dyrektywy, ale sam zwraca uwagę na potrzebę wzmocnienia finansowego. </w:t>
      </w:r>
      <w:r w:rsidR="008C7863">
        <w:t xml:space="preserve">Słoweński </w:t>
      </w:r>
      <w:r>
        <w:t xml:space="preserve">Inspektorat Pracy Republiki Słowenii (IRSD) powinien otrzymać uprawnienia do stwierdzania stosunku pracy </w:t>
      </w:r>
      <w:r w:rsidR="00615F18">
        <w:t xml:space="preserve">lub zatrudnienia </w:t>
      </w:r>
      <w:r>
        <w:t xml:space="preserve">w drodze decyzji </w:t>
      </w:r>
      <w:r w:rsidR="00D7386B">
        <w:t xml:space="preserve">– </w:t>
      </w:r>
      <w:r>
        <w:t xml:space="preserve">obecnie formalnie nie posiada tej kompetencji.</w:t>
      </w:r>
    </w:p>
    <w:p w:rsidR="00983F19" w:rsidP="00750824" w:rsidRDefault="00000000" w14:paraId="6ED56DB6" w14:textId="77777777">
      <w:pPr>
        <w:pStyle w:val="RedBlock"/>
      </w:pPr>
      <w:r>
        <w:rPr>
          <w:b/>
          <w:bCs/>
        </w:rPr>
        <w:t xml:space="preserve">Ryzyko: </w:t>
      </w:r>
      <w:r>
        <w:t xml:space="preserve">dyrektywa istnieje na papierze, ale nie ma możliwości jej egzekwowania przez inspektoraty w praktyce.</w:t>
      </w:r>
    </w:p>
    <w:p w:rsidR="00983F19" w:rsidP="00750824" w:rsidRDefault="00000000" w14:paraId="0CDEDD3A" w14:textId="77777777">
      <w:pPr>
        <w:pStyle w:val="Naslov2"/>
        <w:jc w:val="both"/>
      </w:pPr>
      <w:bookmarkStart w:name="_Toc233699510" w:id="79"/>
      <w:bookmarkStart w:name="strategije-izogibanja-platform" w:id="80"/>
      <w:bookmarkEnd w:id="78"/>
      <w:r>
        <w:t xml:space="preserve">9.2 Strategie unikania platform</w:t>
      </w:r>
      <w:bookmarkEnd w:id="79"/>
    </w:p>
    <w:p w:rsidR="00983F19" w:rsidP="00750824" w:rsidRDefault="00000000" w14:paraId="5CD9A228" w14:textId="77777777">
      <w:pPr>
        <w:pStyle w:val="RedBlock"/>
      </w:pPr>
      <w:r>
        <w:rPr>
          <w:b/>
          <w:bCs/>
        </w:rPr>
        <w:lastRenderedPageBreak/>
      </w:r>
      <w:r>
        <w:rPr>
          <w:b/>
          <w:bCs/>
        </w:rPr>
        <w:t xml:space="preserve">Wyzwanie 9.4: System flotowy jako podstawowy mechanizm unikania regulacji</w:t>
      </w:r>
    </w:p>
    <w:p w:rsidR="00983F19" w:rsidP="00750824" w:rsidRDefault="006E6A4A" w14:paraId="242EB931" w14:textId="245E7E57">
      <w:pPr>
        <w:pStyle w:val="RedBlock"/>
      </w:pPr>
      <w:r>
        <w:t xml:space="preserve">Doświadczenia partnerów projektu SDDP wyraźnie pokazały, że jednym z najczęstszych sposobów reagowania platform na regulacje jest wprowadzenie systemu flotowego. W Polsce </w:t>
      </w:r>
      <w:r w:rsidR="00D7386B">
        <w:t xml:space="preserve">– </w:t>
      </w:r>
      <w:r>
        <w:t xml:space="preserve">największym rynku UE, gdzie sektor dostawczy jest niemal w całości zorganizowany poprzez struktury pośredniczące </w:t>
      </w:r>
      <w:r w:rsidR="00D7386B">
        <w:t xml:space="preserve">– </w:t>
      </w:r>
      <w:r>
        <w:t xml:space="preserve">system flotowy powstał bezpośrednio w odpowiedzi na regulacje z 2016 roku: kiedy Uber musiał formalnie zapewnić zgodność z wymogami, uczynił to za pośrednictwem podmiotów pośredniczących, które przejęły ryzyko prawne. Obecnie wszyscy więksi </w:t>
      </w:r>
      <w:r>
        <w:t xml:space="preserve">gracze </w:t>
      </w:r>
      <w:r>
        <w:t xml:space="preserve">platformowi </w:t>
      </w:r>
      <w:r>
        <w:t xml:space="preserve">w Polsce działają zgodnie z tym modelem.</w:t>
      </w:r>
      <w:r>
        <w:rPr>
          <w:rStyle w:val="Sprotnaopomba-sklic"/>
        </w:rPr>
        <w:footnoteReference w:id="12"/>
      </w:r>
    </w:p>
    <w:p w:rsidR="00983F19" w:rsidP="00750824" w:rsidRDefault="00000000" w14:paraId="2F834C6B" w14:textId="37916122">
      <w:pPr>
        <w:pStyle w:val="RedBlock"/>
      </w:pPr>
      <w:r>
        <w:t xml:space="preserve">Przykład hiszpański po uchwaleniu </w:t>
      </w:r>
      <w:r w:rsidR="006E6A4A">
        <w:t xml:space="preserve">ustawy </w:t>
      </w:r>
      <w:r>
        <w:t xml:space="preserve">o dostawcach wykazuje tę samą dynamikę: </w:t>
      </w:r>
      <w:r>
        <w:t xml:space="preserve">korporacje </w:t>
      </w:r>
      <w:r>
        <w:t xml:space="preserve">platformowe </w:t>
      </w:r>
      <w:r>
        <w:t xml:space="preserve">formalnie spełniły wymóg zatrudnienia, ale zachowały łańcuchy podwykonawcze, co umożliwiło dalsze negocjacje z organami regulacyjnymi. Uber Eats poprzez partnerów pośredniczących utrzymuje kontrolę ekonomiczną nad dostawcami, nie przyjmując bezpośrednio odpowiedzialności pracodawcy.</w:t>
      </w:r>
      <w:r>
        <w:rPr>
          <w:rStyle w:val="Sprotnaopomba-sklic"/>
        </w:rPr>
        <w:footnoteReference w:id="13"/>
      </w:r>
    </w:p>
    <w:p w:rsidR="00983F19" w:rsidP="00750824" w:rsidRDefault="00000000" w14:paraId="5B176083" w14:textId="5AE16788">
      <w:pPr>
        <w:pStyle w:val="RedBlock"/>
      </w:pPr>
      <w:r>
        <w:rPr>
          <w:b/>
          <w:bCs/>
        </w:rPr>
        <w:t xml:space="preserve">Przewidywana </w:t>
      </w:r>
      <w:r w:rsidR="006E6A4A">
        <w:rPr>
          <w:b/>
          <w:bCs/>
        </w:rPr>
        <w:t xml:space="preserve">reakcja </w:t>
      </w:r>
      <w:r>
        <w:rPr>
          <w:b/>
          <w:bCs/>
        </w:rPr>
        <w:t xml:space="preserve">po wdrożeniu dyrektywy: </w:t>
      </w:r>
      <w:r>
        <w:t xml:space="preserve">platformy przeniosą wymóg domniemania prawnego na partnerów flotowych </w:t>
      </w:r>
      <w:r w:rsidR="00D7386B">
        <w:t xml:space="preserve">– </w:t>
      </w:r>
      <w:r>
        <w:t xml:space="preserve">pośrednicy będą formalnie pracodawcami, a platformy zachowają kontrolę ekonomiczną za pośrednictwem algorytmów. Dyrektywa zostanie formalnie spełniona, ale jej cel nie zostanie osiągnięty.</w:t>
      </w:r>
    </w:p>
    <w:p w:rsidR="00983F19" w:rsidP="00750824" w:rsidRDefault="00000000" w14:paraId="2ADE71E9" w14:textId="77777777">
      <w:pPr>
        <w:jc w:val="both"/>
      </w:pPr>
      <w:r>
        <w:t xml:space="preserve"> </w:t>
      </w:r>
    </w:p>
    <w:p w:rsidR="00983F19" w:rsidP="00750824" w:rsidRDefault="00000000" w14:paraId="32C4B5D6" w14:textId="77777777">
      <w:pPr>
        <w:pStyle w:val="RedBlock"/>
      </w:pPr>
      <w:r>
        <w:rPr>
          <w:b/>
          <w:bCs/>
        </w:rPr>
        <w:t xml:space="preserve">Wyzwanie 9.5: Model biznesowy typu „kameleon”: formalna zgodność bez zmian merytorycznych</w:t>
      </w:r>
    </w:p>
    <w:p w:rsidR="00983F19" w:rsidP="00750824" w:rsidRDefault="00000000" w14:paraId="3F80A371" w14:textId="715DC4C4">
      <w:pPr>
        <w:pStyle w:val="RedBlock"/>
      </w:pPr>
      <w:r>
        <w:t xml:space="preserve">Literatura naukowa opisuje platformy jako podmioty kameleonowe </w:t>
      </w:r>
      <w:r w:rsidR="00D7386B">
        <w:t xml:space="preserve">– </w:t>
      </w:r>
      <w:r>
        <w:t xml:space="preserve">organizacje, które dostosowują się do otoczenia regulacyjnego w taki sposób, że formalnie spełniają wymogi, a jednocześnie odtwarzają warunki, które regulacja ma na celu wyeliminować. Doświadczenia hiszpańskie wyraźnie to potwierdzają</w:t>
      </w:r>
      <w:r w:rsidR="006E6A4A">
        <w:t xml:space="preserve">: </w:t>
      </w:r>
      <w:r>
        <w:t xml:space="preserve">Uber </w:t>
      </w:r>
      <w:r>
        <w:t xml:space="preserve">Eats </w:t>
      </w:r>
      <w:r>
        <w:t xml:space="preserve">zachował strukturę pośredniczącą, </w:t>
      </w:r>
      <w:r>
        <w:t xml:space="preserve">a</w:t>
      </w:r>
      <w:r w:rsidR="006E6A4A">
        <w:t xml:space="preserve"> dostawcy </w:t>
      </w:r>
      <w:r>
        <w:t xml:space="preserve">zostali w rzeczywistości pozbawieni praw, które formalnie gwarantuje im prawo.</w:t>
      </w:r>
      <w:r>
        <w:rPr>
          <w:rStyle w:val="Sprotnaopomba-sklic"/>
        </w:rPr>
        <w:footnoteReference w:id="14"/>
      </w:r>
    </w:p>
    <w:p w:rsidR="00983F19" w:rsidP="00750824" w:rsidRDefault="00000000" w14:paraId="450AF194" w14:textId="732C8627">
      <w:pPr>
        <w:pStyle w:val="RedBlock"/>
      </w:pPr>
      <w:r>
        <w:rPr>
          <w:b/>
          <w:bCs/>
        </w:rPr>
        <w:t xml:space="preserve">Przewidywana reakcja na dyrektywę: </w:t>
      </w:r>
      <w:r>
        <w:t xml:space="preserve">platformy dostosują treść umów i </w:t>
      </w:r>
      <w:r>
        <w:t xml:space="preserve">infrastrukturę</w:t>
      </w:r>
      <w:r w:rsidR="006E6A4A">
        <w:t xml:space="preserve"> cyfrową </w:t>
      </w:r>
      <w:r>
        <w:t xml:space="preserve">tak, aby formalnie nie wykazywały już „instrukcji i nadzoru”, zachowując jednocześnie wpływ ekonomiczny poprzez systemy ocen i przydzielania zleceń. Nadzór algorytmiczny będzie ukryty, a nie wyeliminowany.</w:t>
      </w:r>
    </w:p>
    <w:p w:rsidR="00983F19" w:rsidP="00750824" w:rsidRDefault="00000000" w14:paraId="4FE29833" w14:textId="77777777">
      <w:pPr>
        <w:jc w:val="both"/>
      </w:pPr>
      <w:r>
        <w:t xml:space="preserve"> </w:t>
      </w:r>
    </w:p>
    <w:p w:rsidR="00983F19" w:rsidP="00750824" w:rsidRDefault="00000000" w14:paraId="42F5C9C6" w14:textId="3F1B2DB2">
      <w:pPr>
        <w:pStyle w:val="RedBlock"/>
      </w:pPr>
      <w:r>
        <w:rPr>
          <w:b/>
          <w:bCs/>
        </w:rPr>
        <w:t xml:space="preserve">Wyzwanie 9.6: Firmy-przykrywki: ucieczka przed odpowiedzialnością karną po </w:t>
      </w:r>
      <w:r>
        <w:rPr>
          <w:b/>
          <w:bCs/>
        </w:rPr>
        <w:t xml:space="preserve">wydaniu decyzji</w:t>
      </w:r>
      <w:r w:rsidR="006E6A4A">
        <w:rPr>
          <w:b/>
          <w:bCs/>
        </w:rPr>
        <w:t xml:space="preserve"> inspekcyjnej</w:t>
      </w:r>
    </w:p>
    <w:p w:rsidR="00983F19" w:rsidP="00750824" w:rsidRDefault="006E6A4A" w14:paraId="6A4A8453" w14:textId="5DFFA6E3">
      <w:pPr>
        <w:pStyle w:val="RedBlock"/>
      </w:pPr>
      <w:r>
        <w:t xml:space="preserve">W Chorwacji i Serbii odnotowano praktykę, w ramach której firmy pośredniczące </w:t>
      </w:r>
      <w:r w:rsidR="00D7386B">
        <w:t xml:space="preserve">– </w:t>
      </w:r>
      <w:r>
        <w:t xml:space="preserve">w większości zarejestrowane jako osoby prowadzące działalność gospodarczą lub proste </w:t>
      </w:r>
      <w:r>
        <w:t xml:space="preserve">spółki z ograniczoną odpowiedzial</w:t>
      </w:r>
      <w:r>
        <w:t xml:space="preserve">nością </w:t>
      </w:r>
      <w:r w:rsidR="00D7386B">
        <w:t xml:space="preserve">– </w:t>
      </w:r>
      <w:r>
        <w:t xml:space="preserve">po wydaniu decyzji inspekcyjnej lub wniesieniu pozwu po prostu zamykają firmę i otwierają nową, a pracownicy pozostają bez wynagrodzeń, składek i środków prawnych. Pracownicy w Chorwacji i Serbii prowadzili nawet tzw. czarne listy na Facebooku, na których gromadzili informacje z imieniami i nazwiskami o niedostępnych podwykonawcach.</w:t>
      </w:r>
      <w:r>
        <w:rPr>
          <w:rStyle w:val="Sprotnaopomba-sklic"/>
        </w:rPr>
        <w:footnoteReference w:id="15"/>
      </w:r>
    </w:p>
    <w:p w:rsidR="00983F19" w:rsidP="00750824" w:rsidRDefault="00000000" w14:paraId="47C3445C" w14:textId="2C5DA71D">
      <w:pPr>
        <w:pStyle w:val="RedBlock"/>
      </w:pPr>
      <w:r>
        <w:rPr>
          <w:b/>
          <w:bCs/>
        </w:rPr>
        <w:t xml:space="preserve">Przewidywana reakcja na dyrektywę: </w:t>
      </w:r>
      <w:r>
        <w:t xml:space="preserve">odpowiedzialność </w:t>
      </w:r>
      <w:r w:rsidR="00A25A76">
        <w:t xml:space="preserve">solidarna </w:t>
      </w:r>
      <w:r>
        <w:t xml:space="preserve">platform będzie kluczowym środkiem odstraszającym </w:t>
      </w:r>
      <w:r w:rsidR="00D7386B">
        <w:t xml:space="preserve">– </w:t>
      </w:r>
      <w:r>
        <w:t xml:space="preserve">ale tylko wtedy, gdy w ustawie transpozycyjnej zostanie określona jako obowiązkowa, a nie jedynie jako opcja.</w:t>
      </w:r>
    </w:p>
    <w:p w:rsidR="00983F19" w:rsidP="00750824" w:rsidRDefault="00000000" w14:paraId="29225FF4" w14:textId="77777777">
      <w:pPr>
        <w:jc w:val="both"/>
      </w:pPr>
      <w:r>
        <w:t xml:space="preserve"> </w:t>
      </w:r>
    </w:p>
    <w:p w:rsidR="00983F19" w:rsidP="00750824" w:rsidRDefault="00000000" w14:paraId="26C7E803" w14:textId="77777777">
      <w:pPr>
        <w:pStyle w:val="RedBlock"/>
      </w:pPr>
      <w:r>
        <w:rPr>
          <w:b/>
          <w:bCs/>
        </w:rPr>
        <w:t xml:space="preserve">Wyzwanie 9.7: Trzeci status: legitymizacja pozycji pośredniej</w:t>
      </w:r>
    </w:p>
    <w:p w:rsidR="00983F19" w:rsidP="00750824" w:rsidRDefault="00000000" w14:paraId="5E1C82CB" w14:textId="5D883196">
      <w:pPr>
        <w:pStyle w:val="RedBlock"/>
      </w:pPr>
      <w:r>
        <w:lastRenderedPageBreak/>
      </w:r>
      <w:r>
        <w:t xml:space="preserve">We Włoszech, w Polsce i w Austrii istnieją lub są proponowane statusy pośrednie pomiędzy pracownikiem a osobą samozatrudnioną (we Włoszech pracownicy parasubordynowani, w Polsce </w:t>
      </w:r>
      <w:r>
        <w:t xml:space="preserve">„umowa </w:t>
      </w:r>
      <w:r w:rsidR="006E6A4A">
        <w:t xml:space="preserve">zlecenie”</w:t>
      </w:r>
      <w:r>
        <w:t xml:space="preserve">). Konferencja SDDP (Lublana, maj 2025 r.) zidentyfikowała presję </w:t>
      </w:r>
      <w:r w:rsidR="006E6A4A">
        <w:t xml:space="preserve">platform </w:t>
      </w:r>
      <w:r>
        <w:t xml:space="preserve">na wprowadzenie trzeciego statusu jako potencjalną reakcję na dyrektywę. Propozycja wdrożenia przedstawiona przez NIdiL-CGIL Firenze wyraźnie zwraca uwagę: statusy pośrednie nie rozwiązują </w:t>
      </w:r>
      <w:r>
        <w:t xml:space="preserve">problemu prekaryzacji </w:t>
      </w:r>
      <w:r w:rsidR="00D7386B">
        <w:t xml:space="preserve">– </w:t>
      </w:r>
      <w:r>
        <w:t xml:space="preserve">wręcz ją utrwalają. Zapewniają one niektóre prawa, ale nie wszystkie, tworząc w ten sposób regulowaną </w:t>
      </w:r>
      <w:r>
        <w:t xml:space="preserve">niepewność zatrudnienia </w:t>
      </w:r>
      <w:r>
        <w:t xml:space="preserve">zamiast </w:t>
      </w:r>
      <w:r w:rsidR="006E6A4A">
        <w:t xml:space="preserve">bezpiecznego </w:t>
      </w:r>
      <w:r w:rsidR="00615F18">
        <w:t xml:space="preserve">zatrudnienia</w:t>
      </w:r>
      <w:r>
        <w:t xml:space="preserve">.</w:t>
      </w:r>
      <w:r>
        <w:rPr>
          <w:rStyle w:val="Sprotnaopomba-sklic"/>
        </w:rPr>
        <w:footnoteReference w:id="16"/>
      </w:r>
    </w:p>
    <w:p w:rsidR="00D90A18" w:rsidP="00750824" w:rsidRDefault="00000000" w14:paraId="06D29F6F" w14:textId="04DD21FF">
      <w:pPr>
        <w:pStyle w:val="RedBlock"/>
      </w:pPr>
      <w:r>
        <w:rPr>
          <w:b/>
          <w:bCs/>
        </w:rPr>
        <w:t xml:space="preserve">Ryzyko związane z dyrektywą: </w:t>
      </w:r>
      <w:r>
        <w:t xml:space="preserve">trzeci status będzie dla platform rozwiązaniem, które formalnie spełnia wymóg dyrektywy dotyczący „poprawy warunków pracy”, ale w rzeczywistości </w:t>
      </w:r>
      <w:r w:rsidR="006E6A4A">
        <w:t xml:space="preserve">utrzymuje </w:t>
      </w:r>
      <w:r>
        <w:t xml:space="preserve">niepewną </w:t>
      </w:r>
      <w:r>
        <w:t xml:space="preserve">sytuację </w:t>
      </w:r>
      <w:r w:rsidR="006E6A4A">
        <w:t xml:space="preserve">pracowników</w:t>
      </w:r>
      <w:r>
        <w:t xml:space="preserve">.</w:t>
      </w:r>
    </w:p>
    <w:p w:rsidRPr="00D90A18" w:rsidR="00D90A18" w:rsidP="00750824" w:rsidRDefault="00000000" w14:paraId="593B1833" w14:textId="77777777">
      <w:pPr>
        <w:jc w:val="both"/>
      </w:pPr>
      <w:r>
        <w:t xml:space="preserve"> </w:t>
      </w:r>
    </w:p>
    <w:p w:rsidR="00983F19" w:rsidP="00750824" w:rsidRDefault="00000000" w14:paraId="4B1C432E" w14:textId="77777777">
      <w:pPr>
        <w:pStyle w:val="RedBlock"/>
      </w:pPr>
      <w:r>
        <w:rPr>
          <w:b/>
          <w:bCs/>
        </w:rPr>
        <w:t xml:space="preserve">Wyzwanie 9.8: Platformy świadomie czekają na wdrożenie</w:t>
      </w:r>
    </w:p>
    <w:p w:rsidR="00983F19" w:rsidP="00750824" w:rsidRDefault="00000000" w14:paraId="164A0FB5" w14:textId="6D5BC8FB">
      <w:pPr>
        <w:pStyle w:val="RedBlock"/>
      </w:pPr>
      <w:r>
        <w:t xml:space="preserve">Wkład projektu SDDP z Włoch dokumentuje spostrzeżenie potwierdzone przez związki zawodowe we wszystkich krajach partnerskich: korporacje platformowe świadomie nie zmieniają swojego modelu przed terminem transpozycji dyrektywy, aby nie stworzyć precedensu wykraczającego poza minimalne wymagania. Logika jest jasna: każda dobrowolnie zawarta umowa zbiorowa lub </w:t>
      </w:r>
      <w:r>
        <w:t xml:space="preserve">zmiana </w:t>
      </w:r>
      <w:r w:rsidR="006E6A4A">
        <w:t xml:space="preserve">statusu </w:t>
      </w:r>
      <w:r>
        <w:t xml:space="preserve">przed grudniem 2026 r. stałaby się punktem odniesienia dla negocjacji po transpozycji.</w:t>
      </w:r>
    </w:p>
    <w:p w:rsidR="00983F19" w:rsidP="00750824" w:rsidRDefault="00000000" w14:paraId="32495DFC" w14:textId="3CED9928">
      <w:pPr>
        <w:pStyle w:val="RedBlock"/>
      </w:pPr>
      <w:r>
        <w:rPr>
          <w:b/>
          <w:bCs/>
        </w:rPr>
        <w:t xml:space="preserve">Konsekwencja: </w:t>
      </w:r>
      <w:r>
        <w:t xml:space="preserve">negocjacje w sprawie układów zbiorowych przed upływem terminu są z jednej strony możliwe </w:t>
      </w:r>
      <w:r w:rsidR="00D7386B">
        <w:t xml:space="preserve">– </w:t>
      </w:r>
      <w:r>
        <w:t xml:space="preserve">platformy są gotowe je zawrzeć na określonych warunkach </w:t>
      </w:r>
      <w:r w:rsidR="00D7386B">
        <w:t xml:space="preserve">– </w:t>
      </w:r>
      <w:r>
        <w:t xml:space="preserve">a z drugiej strony strategicznie utrudniane przez platformy, które wymagają od nich zamrożenia treści do czasu zakończenia wdrażania.</w:t>
      </w:r>
    </w:p>
    <w:p w:rsidR="00983F19" w:rsidP="00750824" w:rsidRDefault="00000000" w14:paraId="43A74E1C" w14:textId="77777777">
      <w:pPr>
        <w:jc w:val="both"/>
      </w:pPr>
      <w:r>
        <w:t xml:space="preserve"> </w:t>
      </w:r>
    </w:p>
    <w:p w:rsidR="00983F19" w:rsidP="00750824" w:rsidRDefault="00000000" w14:paraId="046C5F8B" w14:textId="77777777">
      <w:pPr>
        <w:pStyle w:val="RedBlock"/>
      </w:pPr>
      <w:r>
        <w:rPr>
          <w:b/>
          <w:bCs/>
        </w:rPr>
        <w:t xml:space="preserve">Wyzwanie 9.9: Pracownicy migrujący: szczególna wrażliwość</w:t>
      </w:r>
    </w:p>
    <w:p w:rsidR="00983F19" w:rsidP="00750824" w:rsidRDefault="00000000" w14:paraId="4C9A0307" w14:textId="0FC600DE">
      <w:pPr>
        <w:pStyle w:val="RedBlock"/>
      </w:pPr>
      <w:r>
        <w:t xml:space="preserve">W wszystkich pięciu krajach partnerskich sektor dostawczy charakteryzuje się ponadprzeciętnym udziałem pracowników migrujących. Ich specyficzna podatność na zagrożenia ma trzy wymiary: bariera językowa uniemożliwia zrozumienie przysługujących im praw; niepewny status prawny </w:t>
      </w:r>
      <w:r w:rsidR="006E6A4A">
        <w:t xml:space="preserve">zniechęca </w:t>
      </w:r>
      <w:r>
        <w:t xml:space="preserve">do zgłaszania naruszeń; zależność ekonomiczna od dochodów z pracy na platformach utrudnia podejmowanie działań zbiorowych. Projekt Fairwork stwierdza, że to właśnie pracownicy migrujący często </w:t>
      </w:r>
      <w:r w:rsidR="006E6A4A">
        <w:t xml:space="preserve">najbardziej </w:t>
      </w:r>
      <w:r>
        <w:t xml:space="preserve">odczuwają skutki działania pośredników, którzy nie wypłacają wynagrodzeń lub nie odprowadzają składek na ubezpieczenie społeczne.</w:t>
      </w:r>
      <w:r>
        <w:rPr>
          <w:rStyle w:val="Sprotnaopomba-sklic"/>
        </w:rPr>
        <w:footnoteReference w:id="17"/>
      </w:r>
    </w:p>
    <w:p w:rsidR="00983F19" w:rsidP="00750824" w:rsidRDefault="00000000" w14:paraId="4B7311D6" w14:textId="77777777">
      <w:pPr>
        <w:pStyle w:val="RedBlock"/>
      </w:pPr>
      <w:r>
        <w:rPr>
          <w:b/>
          <w:bCs/>
        </w:rPr>
        <w:t xml:space="preserve">Zagrożenie dla dyrektywy: </w:t>
      </w:r>
      <w:r>
        <w:t xml:space="preserve">bez specjalnych środków dotyczących pracowników migrujących dyrektywa będzie faktycznie dostępna tylko dla tych pracowników, którzy mają odwagę i potrafią dochodzić swoich praw.</w:t>
      </w:r>
    </w:p>
    <w:p w:rsidR="00983F19" w:rsidP="00750824" w:rsidRDefault="00000000" w14:paraId="188026F8" w14:textId="77777777">
      <w:pPr>
        <w:jc w:val="both"/>
      </w:pPr>
      <w:r>
        <w:t xml:space="preserve"> </w:t>
      </w:r>
    </w:p>
    <w:p w:rsidR="00983F19" w:rsidP="00750824" w:rsidRDefault="00000000" w14:paraId="0763C4F9" w14:textId="77777777">
      <w:pPr>
        <w:pStyle w:val="RedBlock"/>
      </w:pPr>
      <w:r>
        <w:rPr>
          <w:b/>
          <w:bCs/>
        </w:rPr>
        <w:t xml:space="preserve">Wyzwanie 9.10: Ewolucja algorytmiczna: systemy wymykające się regulacjom</w:t>
      </w:r>
    </w:p>
    <w:p w:rsidR="00983F19" w:rsidP="00750824" w:rsidRDefault="00000000" w14:paraId="198845DF" w14:textId="1AD7ACA1">
      <w:pPr>
        <w:pStyle w:val="RedBlock"/>
      </w:pPr>
      <w:r>
        <w:t xml:space="preserve">Dyrektywa opiera się na koncepcji „kierowania i nadzoru” za pośrednictwem zautomatyzowanych systemów. Platformy dostosują konstrukcję algorytmów w taki sposób, aby zakres i intensywność nadzoru były mniej widoczne. Zamiast </w:t>
      </w:r>
      <w:r w:rsidR="006E6A4A">
        <w:t xml:space="preserve">bezpośrednich sankcji </w:t>
      </w:r>
      <w:r>
        <w:t xml:space="preserve">wprowadzą „zalecenia”; zamiast progów dezaktywacji wprowadzą „premie za dostępność”. Formalny nadzór będzie mniej widoczny </w:t>
      </w:r>
      <w:r w:rsidR="00D7386B">
        <w:t xml:space="preserve">– </w:t>
      </w:r>
      <w:r>
        <w:t xml:space="preserve">faktyczny nadzór ekonomiczny pozostanie. Grupa ekspertów KE w swoim raporcie zwraca uwagę, że gospodarka platformowa podlega ciągłemu rozwojowi i że pojęcie „wytycznych i nadzoru” należy rozumieć dynamicznie, uwzględniając pośrednie formy nacisku poprzez negatywne działania lub dyskryminacyjne przydzielanie zadań.</w:t>
      </w:r>
      <w:r>
        <w:rPr>
          <w:rStyle w:val="Sprotnaopomba-sklic"/>
        </w:rPr>
        <w:footnoteReference w:id="18"/>
      </w:r>
    </w:p>
    <w:p w:rsidR="00983F19" w:rsidP="00750824" w:rsidRDefault="00000000" w14:paraId="1BED4572" w14:textId="77777777">
      <w:pPr>
        <w:pStyle w:val="RedBlock"/>
      </w:pPr>
      <w:r>
        <w:rPr>
          <w:b/>
          <w:bCs/>
        </w:rPr>
        <w:lastRenderedPageBreak/>
      </w:r>
      <w:r>
        <w:rPr>
          <w:b/>
          <w:bCs/>
        </w:rPr>
        <w:t xml:space="preserve">Ryzyko: </w:t>
      </w:r>
      <w:r>
        <w:t xml:space="preserve">kryteria prawne dotyczące „polecenia i nadzoru” stają się przestarzałe w obliczu ewolucji algorytmicznej platform.</w:t>
      </w:r>
    </w:p>
    <w:p w:rsidR="00983F19" w:rsidP="00750824" w:rsidRDefault="00000000" w14:paraId="788DDA30" w14:textId="77777777">
      <w:pPr>
        <w:jc w:val="both"/>
      </w:pPr>
      <w:r>
        <w:t xml:space="preserve"> </w:t>
      </w:r>
    </w:p>
    <w:p w:rsidR="00983F19" w:rsidP="00750824" w:rsidRDefault="00000000" w14:paraId="74F850FB" w14:textId="77777777">
      <w:pPr>
        <w:pStyle w:val="RedBlock"/>
      </w:pPr>
      <w:r>
        <w:rPr>
          <w:b/>
          <w:bCs/>
        </w:rPr>
        <w:t xml:space="preserve">Wyzwanie 9.11: Platformy transgraniczne i siedziba poza UE</w:t>
      </w:r>
    </w:p>
    <w:p w:rsidR="00983F19" w:rsidP="00750824" w:rsidRDefault="00000000" w14:paraId="75479C99" w14:textId="5357D298">
      <w:pPr>
        <w:pStyle w:val="RedBlock"/>
      </w:pPr>
      <w:r>
        <w:t xml:space="preserve">Dyrektywa ma zastosowanie do wszystkich cyfrowych platform pracy, które organizują pracę pracowników mających siedzibę w UE </w:t>
      </w:r>
      <w:r w:rsidR="00D7386B">
        <w:t xml:space="preserve">– </w:t>
      </w:r>
      <w:r>
        <w:t xml:space="preserve">niezależnie od tego, gdzie platforma ma swoją siedzibę. Artykuł 24 ust. 4 dyrektywy przewiduje transgraniczną współpracę między właściwymi organami. Jednak wdrożenie wymaga aktywnej koordynacji, którą zapewnia Europejska Agencja Pracy (ELA). W praktyce egzekwowanie praw pracowników w przypadku platform z siedzibą poza UE lub w krajach o minimalnych standardach wdrożeniowych będzie wymagało mechanizmów wykraczających poza możliwości poszczególnych krajowych inspektoratów.</w:t>
      </w:r>
      <w:r>
        <w:rPr>
          <w:rStyle w:val="Sprotnaopomba-sklic"/>
        </w:rPr>
        <w:footnoteReference w:id="19"/>
      </w:r>
    </w:p>
    <w:p w:rsidR="00983F19" w:rsidP="00750824" w:rsidRDefault="00000000" w14:paraId="574F9DAE" w14:textId="3C2D4A67">
      <w:pPr>
        <w:pStyle w:val="RedBlock"/>
      </w:pPr>
      <w:r>
        <w:rPr>
          <w:b/>
          <w:bCs/>
        </w:rPr>
        <w:t xml:space="preserve">Ryzyko: </w:t>
      </w:r>
      <w:r>
        <w:t xml:space="preserve">platformy będą podawać siedzibę poza UE lub w bardziej przychylnym państwie członkowskim jako pretekst do unikania </w:t>
      </w:r>
      <w:r w:rsidR="00E56EFA">
        <w:t xml:space="preserve">odpowiedzialności.</w:t>
      </w:r>
    </w:p>
    <w:p w:rsidR="00983F19" w:rsidP="00750824" w:rsidRDefault="00000000" w14:paraId="2460FF0B" w14:textId="77777777">
      <w:pPr>
        <w:pStyle w:val="Naslov2"/>
        <w:jc w:val="both"/>
      </w:pPr>
      <w:bookmarkStart w:name="_Toc233699511" w:id="81"/>
      <w:bookmarkStart w:name="priporočila-6" w:id="82"/>
      <w:bookmarkEnd w:id="80"/>
      <w:r>
        <w:t xml:space="preserve">9.3 Zalecenia</w:t>
      </w:r>
      <w:bookmarkEnd w:id="81"/>
    </w:p>
    <w:p w:rsidR="00983F19" w:rsidP="00750824" w:rsidRDefault="00000000" w14:paraId="382512E0" w14:textId="77777777">
      <w:pPr>
        <w:jc w:val="both"/>
      </w:pPr>
      <w:r>
        <w:t xml:space="preserve">Poniższe zalecenia stanowią bezpośrednią odpowiedź na zidentyfikowane wyzwania. Są one skierowane do ministerstw pracy oraz ETUC.</w:t>
      </w:r>
    </w:p>
    <w:p w:rsidR="00983F19" w:rsidP="00750824" w:rsidRDefault="00000000" w14:paraId="0151F8F7" w14:textId="77777777">
      <w:pPr>
        <w:jc w:val="both"/>
      </w:pPr>
      <w:r>
        <w:t xml:space="preserve"> </w:t>
      </w:r>
    </w:p>
    <w:p w:rsidR="00983F19" w:rsidP="00750824" w:rsidRDefault="00000000" w14:paraId="14ED26AD" w14:textId="6AE9AC4D">
      <w:pPr>
        <w:pStyle w:val="RedBlock"/>
      </w:pPr>
      <w:r>
        <w:rPr>
          <w:b/>
          <w:bCs/>
        </w:rPr>
        <w:t xml:space="preserve">Zalecenie 9.1 [WYKRACZA POZA MINIMUM]: Zapobieganie powstaniu trzeciego statusu: test binarny </w:t>
      </w:r>
      <w:r w:rsidR="00615F18">
        <w:rPr>
          <w:b/>
          <w:bCs/>
        </w:rPr>
        <w:t xml:space="preserve">zatrudnienia</w:t>
      </w:r>
    </w:p>
    <w:p w:rsidR="00983F19" w:rsidP="00750824" w:rsidRDefault="00000000" w14:paraId="68F179EF" w14:textId="77777777">
      <w:pPr>
        <w:pStyle w:val="RedBlock"/>
      </w:pPr>
      <w:r>
        <w:rPr>
          <w:b/>
          <w:bCs/>
        </w:rPr>
        <w:t xml:space="preserve">Ustawa o przeniesieniu nie może wprowadzać statusów pośrednich pomiędzy pracownikiem a osobą samozatrudnioną.</w:t>
      </w:r>
    </w:p>
    <w:p w:rsidR="00983F19" w:rsidP="00750824" w:rsidRDefault="00000000" w14:paraId="12DFC3C8" w14:textId="7525039A">
      <w:pPr>
        <w:pStyle w:val="RedBlock"/>
      </w:pPr>
      <w:r>
        <w:t xml:space="preserve">Dyrektywa opiera się na teście binarnym: albo </w:t>
      </w:r>
      <w:r w:rsidR="00615F18">
        <w:t xml:space="preserve">zatrudnienie, </w:t>
      </w:r>
      <w:r>
        <w:t xml:space="preserve">albo samozatrudnienie. Wszelkie statusy pośrednie </w:t>
      </w:r>
      <w:r w:rsidR="00D7386B">
        <w:t xml:space="preserve">– </w:t>
      </w:r>
      <w:r>
        <w:t xml:space="preserve">parasubordynacja</w:t>
      </w:r>
      <w:r>
        <w:t xml:space="preserve">, zależna samozatrudnienie, pracownicy ekonomicznie zależni z częściowymi uprawnieniami </w:t>
      </w:r>
      <w:r w:rsidR="00D7386B">
        <w:t xml:space="preserve">– </w:t>
      </w:r>
      <w:r>
        <w:t xml:space="preserve">które zostałyby wprowadzone zamiast kompleksowego domniemania prawnego </w:t>
      </w:r>
      <w:r w:rsidR="00615F18">
        <w:t xml:space="preserve">zatrudnienia</w:t>
      </w:r>
      <w:r>
        <w:t xml:space="preserve">, nie spełniają celu dyrektywy. </w:t>
      </w:r>
      <w:r>
        <w:rPr>
          <w:b/>
          <w:bCs/>
        </w:rPr>
        <w:t xml:space="preserve">Ministerstwa muszą zapewnić, aby ustawa transponująca nie oferowała trzeciego statusu jako „rozwiązania”. </w:t>
      </w:r>
      <w:r>
        <w:t xml:space="preserve">Pracownicy znajdujący się w jakimkolwiek statusie pośrednim muszą mieć taki sam dostęp do prawa do </w:t>
      </w:r>
      <w:r>
        <w:t xml:space="preserve">zrzeszania się i negocjacji zbiorowych, jak </w:t>
      </w:r>
      <w:r w:rsidR="00615F18">
        <w:t xml:space="preserve">pracownicy zatrudnieni na podstawie umowy o pracę</w:t>
      </w:r>
      <w:r>
        <w:t xml:space="preserve">.</w:t>
      </w:r>
    </w:p>
    <w:p w:rsidR="00983F19" w:rsidP="00750824" w:rsidRDefault="00000000" w14:paraId="2D669019" w14:textId="3D52C24E">
      <w:pPr>
        <w:pStyle w:val="RedBlock"/>
      </w:pPr>
      <w:r>
        <w:rPr>
          <w:b/>
          <w:bCs/>
        </w:rPr>
        <w:t xml:space="preserve">Źródło/działanie: </w:t>
      </w:r>
      <w:r>
        <w:t xml:space="preserve">Wkład NIdiL-CGIL Florencja (Proposal of Recommendations, 2025): ryzyko związane z trzecim statusem jako </w:t>
      </w:r>
      <w:r>
        <w:t xml:space="preserve">legitymizacją </w:t>
      </w:r>
      <w:r>
        <w:t xml:space="preserve">prekaryzacji </w:t>
      </w:r>
      <w:r w:rsidR="00D7386B">
        <w:t xml:space="preserve">– </w:t>
      </w:r>
      <w:r>
        <w:t xml:space="preserve">Włochy, Chorwacja. </w:t>
      </w:r>
    </w:p>
    <w:p w:rsidR="00983F19" w:rsidP="00750824" w:rsidRDefault="00000000" w14:paraId="52B2CAA6" w14:textId="77777777">
      <w:pPr>
        <w:jc w:val="both"/>
      </w:pPr>
      <w:r>
        <w:t xml:space="preserve"> </w:t>
      </w:r>
    </w:p>
    <w:p w:rsidR="00983F19" w:rsidP="00750824" w:rsidRDefault="00000000" w14:paraId="726848E4" w14:textId="1FE45EEF">
      <w:pPr>
        <w:pStyle w:val="RedBlock"/>
      </w:pPr>
      <w:r>
        <w:rPr>
          <w:b/>
          <w:bCs/>
        </w:rPr>
        <w:t xml:space="preserve">Zalecenie 9.2 [AMBICJOZNE]: Dynamiczna interpretacja wytycznych i nadzoru </w:t>
      </w:r>
      <w:r w:rsidR="00D7386B">
        <w:rPr>
          <w:b/>
          <w:bCs/>
        </w:rPr>
        <w:t xml:space="preserve">– </w:t>
      </w:r>
      <w:r>
        <w:rPr>
          <w:b/>
          <w:bCs/>
        </w:rPr>
        <w:t xml:space="preserve">odporność na ewolucję algorytmów</w:t>
      </w:r>
    </w:p>
    <w:p w:rsidR="00983F19" w:rsidP="00750824" w:rsidRDefault="00000000" w14:paraId="25C137D5" w14:textId="77777777">
      <w:pPr>
        <w:pStyle w:val="RedBlock"/>
      </w:pPr>
      <w:r>
        <w:rPr>
          <w:b/>
          <w:bCs/>
        </w:rPr>
        <w:t xml:space="preserve">Ustawa o delegowaniu nie może zawierać statycznego wykazu kryteriów dotyczących instrukcji i nadzoru, który stałby się nieaktualny wraz z ewolucją algorytmów.</w:t>
      </w:r>
    </w:p>
    <w:p w:rsidR="00983F19" w:rsidP="00750824" w:rsidRDefault="00000000" w14:paraId="0087BA87" w14:textId="3C43930E">
      <w:pPr>
        <w:pStyle w:val="RedBlock"/>
      </w:pPr>
      <w:r>
        <w:t xml:space="preserve">Dyrektywa opiera się na faktach, a nie na kryteriach formalnych </w:t>
      </w:r>
      <w:r w:rsidR="00D7386B">
        <w:t xml:space="preserve">– </w:t>
      </w:r>
      <w:r w:rsidR="00E56EFA">
        <w:t xml:space="preserve">kluczowe </w:t>
      </w:r>
      <w:r>
        <w:t xml:space="preserve">znaczenie ma to, czy występują faktyczne wskaźniki wydawania poleceń i sprawowania nadzoru, a nie to, czy obecne są ściśle określone elementy formalne. Ustawa transponująca musi zachować tę dynamikę: </w:t>
      </w:r>
      <w:r w:rsidR="00E56EFA">
        <w:t xml:space="preserve">wykaz </w:t>
      </w:r>
      <w:r>
        <w:t xml:space="preserve">kryteriów orientacyjnych powinien mieć </w:t>
      </w:r>
      <w:r>
        <w:rPr>
          <w:b/>
          <w:bCs/>
        </w:rPr>
        <w:t xml:space="preserve">charakter przykładowy, a nie </w:t>
      </w:r>
      <w:r w:rsidR="00E56EFA">
        <w:rPr>
          <w:b/>
          <w:bCs/>
        </w:rPr>
        <w:t xml:space="preserve">wyczerpujący</w:t>
      </w:r>
      <w:r>
        <w:t xml:space="preserve">. Organy kontrolne i sądy muszą mieć uprawnienia do uwzględniania nowych form nadzoru algorytmicznego, których nie przewidziano w momencie uchwalenia ustawy. Właśnie w tym celu organy kontrolne muszą mieć dostęp do danych algorytmicznych platform.</w:t>
      </w:r>
    </w:p>
    <w:p w:rsidR="00983F19" w:rsidP="00750824" w:rsidRDefault="00000000" w14:paraId="720B7FD7" w14:textId="2C2DA4D1">
      <w:pPr>
        <w:pStyle w:val="RedBlock"/>
      </w:pPr>
      <w:r>
        <w:rPr>
          <w:b/>
          <w:bCs/>
        </w:rPr>
        <w:t xml:space="preserve">Źródło/działanie: </w:t>
      </w:r>
      <w:r>
        <w:t xml:space="preserve">Grupa ekspertów KE: dyrektywa nie wymaga kryteriów</w:t>
      </w:r>
      <w:r w:rsidR="00E56EFA">
        <w:t xml:space="preserve">, </w:t>
      </w:r>
      <w:r>
        <w:t xml:space="preserve">wystarcza </w:t>
      </w:r>
      <w:r>
        <w:t xml:space="preserve">standard </w:t>
      </w:r>
      <w:r>
        <w:t xml:space="preserve">prima </w:t>
      </w:r>
      <w:r>
        <w:t xml:space="preserve">facie</w:t>
      </w:r>
      <w:r>
        <w:t xml:space="preserve">, faktyczne wskaźniki wytycznych i nadzoru. Artykuł 5 ust. 1 dyrektywy</w:t>
      </w:r>
      <w:r w:rsidR="00E56EFA">
        <w:t xml:space="preserve">: </w:t>
      </w:r>
      <w:r>
        <w:t xml:space="preserve">pośrednictwo </w:t>
      </w:r>
      <w:r>
        <w:t xml:space="preserve">w zakresie pracy </w:t>
      </w:r>
      <w:r>
        <w:t xml:space="preserve">(</w:t>
      </w:r>
      <w:r>
        <w:lastRenderedPageBreak/>
      </w:r>
      <w:r>
        <w:t xml:space="preserve"> </w:t>
      </w:r>
      <w:r w:rsidR="00E56EFA">
        <w:t xml:space="preserve">); </w:t>
      </w:r>
      <w:r>
        <w:t xml:space="preserve">platformy są podmiotami kameleonicznymi, które dostosowują się do otoczenia regulacyjnego.</w:t>
      </w:r>
    </w:p>
    <w:p w:rsidR="00983F19" w:rsidP="00750824" w:rsidRDefault="00000000" w14:paraId="3E346127" w14:textId="77777777">
      <w:pPr>
        <w:jc w:val="both"/>
      </w:pPr>
      <w:r>
        <w:t xml:space="preserve"> </w:t>
      </w:r>
    </w:p>
    <w:p w:rsidR="00983F19" w:rsidP="00750824" w:rsidRDefault="00000000" w14:paraId="0A00D1FE" w14:textId="77777777">
      <w:pPr>
        <w:jc w:val="both"/>
      </w:pPr>
      <w:r>
        <w:t xml:space="preserve"> </w:t>
      </w:r>
    </w:p>
    <w:p w:rsidR="00983F19" w:rsidP="00750824" w:rsidRDefault="00000000" w14:paraId="377E7C66" w14:textId="47DDC2DB">
      <w:pPr>
        <w:jc w:val="both"/>
      </w:pPr>
      <w:r>
        <w:rPr>
          <w:i/>
          <w:iCs/>
        </w:rPr>
        <w:t xml:space="preserve">Wyzwania związane z wdrożeniem nie są zaskoczeniem </w:t>
      </w:r>
      <w:r w:rsidR="00D7386B">
        <w:rPr>
          <w:i/>
          <w:iCs/>
        </w:rPr>
        <w:t xml:space="preserve">– </w:t>
      </w:r>
      <w:r>
        <w:rPr>
          <w:i/>
          <w:iCs/>
        </w:rPr>
        <w:t xml:space="preserve">są one przewidywalnym skutkiem modeli biznesowych, które zostały stworzone z wyraźnym zamiarem uniknięcia </w:t>
      </w:r>
      <w:r w:rsidR="00E56EFA">
        <w:rPr>
          <w:i/>
          <w:iCs/>
        </w:rPr>
        <w:t xml:space="preserve">odpowiedzialności platform </w:t>
      </w:r>
      <w:r>
        <w:rPr>
          <w:i/>
          <w:iCs/>
        </w:rPr>
        <w:t xml:space="preserve">w zakresie prawa pracy</w:t>
      </w:r>
      <w:r>
        <w:rPr>
          <w:i/>
          <w:iCs/>
        </w:rPr>
        <w:t xml:space="preserve">. Ministerstwa mają przed sobą okazję legislacyjną, która pojawia się raz na pokolenie: dyrektywa daje im mandat, zasoby i termin. Nie chodzi o to, czy </w:t>
      </w:r>
      <w:r>
        <w:rPr>
          <w:i/>
          <w:iCs/>
        </w:rPr>
        <w:t xml:space="preserve">platformy będą próbowały obejść dyrektywę. Chodzi o to, czy ustawa transpozycyjna i </w:t>
      </w:r>
      <w:r w:rsidR="00E56EFA">
        <w:rPr>
          <w:i/>
          <w:iCs/>
        </w:rPr>
        <w:t xml:space="preserve">nadzór nad jej wdrażaniem </w:t>
      </w:r>
      <w:r>
        <w:rPr>
          <w:i/>
          <w:iCs/>
        </w:rPr>
        <w:t xml:space="preserve">będą </w:t>
      </w:r>
      <w:r>
        <w:rPr>
          <w:i/>
          <w:iCs/>
        </w:rPr>
        <w:t xml:space="preserve">wystarczająco solidne, aby temu zapobiec.</w:t>
      </w:r>
    </w:p>
    <w:p w:rsidR="00750824" w:rsidRDefault="00750824" w14:paraId="3A6CA70A" w14:textId="77777777">
      <w:pPr>
        <w:rPr>
          <w:b/>
          <w:bCs/>
          <w:color w:val="1F3864"/>
          <w:sz w:val="36"/>
          <w:szCs w:val="36"/>
        </w:rPr>
      </w:pPr>
      <w:bookmarkStart w:name="poglavje-11-zaključek" w:id="83"/>
      <w:bookmarkEnd w:id="75"/>
      <w:bookmarkEnd w:id="82"/>
      <w:r>
        <w:br w:type="page"/>
      </w:r>
    </w:p>
    <w:p w:rsidR="00983F19" w:rsidP="00750824" w:rsidRDefault="00000000" w14:paraId="0A7728D4" w14:textId="2D33E1DD">
      <w:pPr>
        <w:pStyle w:val="Naslov1"/>
        <w:jc w:val="both"/>
      </w:pPr>
      <w:bookmarkStart w:name="_Toc233699512" w:id="84"/>
      <w:r>
        <w:lastRenderedPageBreak/>
      </w:r>
      <w:r>
        <w:t xml:space="preserve">Rozdział 10: Podsumowanie</w:t>
      </w:r>
      <w:bookmarkEnd w:id="84"/>
    </w:p>
    <w:p w:rsidR="00983F19" w:rsidP="00750824" w:rsidRDefault="00000000" w14:paraId="18660357" w14:textId="7822C9AE">
      <w:pPr>
        <w:jc w:val="both"/>
      </w:pPr>
      <w:r>
        <w:t xml:space="preserve">Dyrektywa (UE) 2024/2831 w sprawie poprawy warunków pracy w sektorze platformowym to nie tylko kolejny akt prawny, który należy transponować do prawa krajowego. Jest to pierwsza systemowa odpowiedź Unii Europejskiej na model biznesowy, który w ciągu piętnastu lat stworzył nową formę pracy </w:t>
      </w:r>
      <w:r w:rsidR="00D7386B">
        <w:t xml:space="preserve">– </w:t>
      </w:r>
      <w:r>
        <w:t xml:space="preserve">pracę pozbawioną podstawowych zabezpieczeń, organizowaną za pośrednictwem platform cyfrowych dla wielu milionów osób, z zarządzaniem algorytmicznym zamiast ludzkiego kierownictwa oraz z nadzorem pozbawionym odpowiedzialności. Kwestia, której dotyczy niniejszy dokument, nie polega na tym, czy dyrektywa zostanie wdrożona </w:t>
      </w:r>
      <w:r w:rsidR="00D7386B">
        <w:t xml:space="preserve">– </w:t>
      </w:r>
      <w:r>
        <w:t xml:space="preserve">jest to obowiązek prawny, który należy wypełnić do 2 grudnia 2026 r. Pytanie brzmi, czy zostanie ona wdrożona w sposób, który faktycznie zmieni i poprawi warunki pracy </w:t>
      </w:r>
      <w:r w:rsidR="00BD4E18">
        <w:t xml:space="preserve">coraz większej liczby pracowników w UE</w:t>
      </w:r>
      <w:r>
        <w:t xml:space="preserve">, czy też stanie się kolejnymi formalnymi ramami, które platformy obejdą szybciej, niż państwa członkowskie zdążą je wprowadzić.</w:t>
      </w:r>
    </w:p>
    <w:p w:rsidR="00D90A18" w:rsidP="00750824" w:rsidRDefault="00D90A18" w14:paraId="1C9AEE89" w14:textId="77777777">
      <w:pPr>
        <w:jc w:val="both"/>
      </w:pPr>
    </w:p>
    <w:p w:rsidRPr="009742D7" w:rsidR="009742D7" w:rsidP="00750824" w:rsidRDefault="00000000" w14:paraId="7EBDADA5" w14:textId="60D8CD34">
      <w:pPr>
        <w:jc w:val="both"/>
      </w:pPr>
      <w:r>
        <w:t xml:space="preserve">Analiza </w:t>
      </w:r>
      <w:r w:rsidR="00BD4E18">
        <w:t xml:space="preserve">sytuacji w </w:t>
      </w:r>
      <w:r>
        <w:t xml:space="preserve">pięciu </w:t>
      </w:r>
      <w:r w:rsidR="00BD4E18">
        <w:t xml:space="preserve">krajach</w:t>
      </w:r>
      <w:r>
        <w:t xml:space="preserve"> partnerskich </w:t>
      </w:r>
      <w:r w:rsidR="00BD4E18">
        <w:t xml:space="preserve">projektu</w:t>
      </w:r>
      <w:r>
        <w:t xml:space="preserve">, trzech układach zbiorowych oraz praktyk transgranicznego obchodzenia przepisów </w:t>
      </w:r>
      <w:r w:rsidR="00BD4E18">
        <w:t xml:space="preserve">uzasadnia </w:t>
      </w:r>
      <w:r>
        <w:t xml:space="preserve">główny punkt refleksji niniejszego dokumentu: doświadczenia z Hiszpanii po przyjęciu </w:t>
      </w:r>
      <w:r w:rsidR="00BD4E18">
        <w:t xml:space="preserve">ustawy </w:t>
      </w:r>
      <w:r>
        <w:t xml:space="preserve">o dostawcach</w:t>
      </w:r>
      <w:r w:rsidR="00BD4E18">
        <w:t xml:space="preserve">, </w:t>
      </w:r>
      <w:r>
        <w:t xml:space="preserve">z Belgii po wprowadzeniu domniemania prawnego w 2023 r. oraz z Austrii, gdzie firma Lieferando ogłosiła w marcu 2025 r. zwolnienie prawie tysiąca zatrudnionych dostawców i przejście na umowy z niezależnymi wykonawcami (</w:t>
      </w:r>
      <w:r w:rsidR="00BD4E18">
        <w:t xml:space="preserve">„</w:t>
      </w:r>
      <w:r>
        <w:rPr>
          <w:i/>
          <w:iCs/>
        </w:rPr>
        <w:t xml:space="preserve">Freier </w:t>
      </w:r>
      <w:r>
        <w:rPr>
          <w:i/>
          <w:iCs/>
        </w:rPr>
        <w:t xml:space="preserve">Dienstnehmer</w:t>
      </w:r>
      <w:r w:rsidR="00BD4E18">
        <w:t xml:space="preserve">”</w:t>
      </w:r>
      <w:r>
        <w:t xml:space="preserve">)</w:t>
      </w:r>
      <w:r w:rsidR="00BD4E18">
        <w:t xml:space="preserve">, </w:t>
      </w:r>
    </w:p>
    <w:p w:rsidR="00D90A18" w:rsidP="00750824" w:rsidRDefault="00000000" w14:paraId="4DBB95C4" w14:textId="47421CF2">
      <w:pPr>
        <w:jc w:val="both"/>
      </w:pPr>
      <w:r>
        <w:t xml:space="preserve">wskazują, że platformy reagują na każdą nową regulację restrukturyzacją, która niweczy jej cel.</w:t>
      </w:r>
    </w:p>
    <w:p w:rsidR="00D90A18" w:rsidP="00750824" w:rsidRDefault="00D90A18" w14:paraId="306D5FBD" w14:textId="77777777">
      <w:pPr>
        <w:jc w:val="both"/>
      </w:pPr>
    </w:p>
    <w:p w:rsidR="00983F19" w:rsidP="00750824" w:rsidRDefault="00000000" w14:paraId="6EFE9FD6" w14:textId="7BB7435B">
      <w:pPr>
        <w:jc w:val="both"/>
      </w:pPr>
      <w:r>
        <w:t xml:space="preserve">Istnieje uzasadnione ryzyko, że po transpozycji dyrektywy powtórzy się ten sam schemat: platformy będą kwestionować domniemanie </w:t>
      </w:r>
      <w:r w:rsidR="00615F18">
        <w:t xml:space="preserve">zatrudnienia</w:t>
      </w:r>
      <w:r>
        <w:t xml:space="preserve">, </w:t>
      </w:r>
      <w:r w:rsidR="00BD4E18">
        <w:t xml:space="preserve">postępowania sądowe będą trwały </w:t>
      </w:r>
      <w:r>
        <w:t xml:space="preserve">latami, a pracownicy w międzyczasie pozostaną bez ochrony. Dyrektywa dostrzega ten problem, ale sama go nie rozwiązuje. Rozwiązaniem proponowanym w niniejszym dokumencie jest dialog społeczny jako pomost: nie jako substytut prawa, ale jako mechanizm chroniący pracowników </w:t>
      </w:r>
      <w:r w:rsidR="00304218">
        <w:t xml:space="preserve">w czasie, gdy toczą się postępowania sądowe</w:t>
      </w:r>
      <w:r>
        <w:t xml:space="preserve">. Protokół SDDP, stanowiący załącznik do niniejszego dokumentu, oferuje konkretne ramy dla takiego dialogu.</w:t>
      </w:r>
    </w:p>
    <w:p w:rsidR="00D90A18" w:rsidP="00750824" w:rsidRDefault="00D90A18" w14:paraId="3946CE34" w14:textId="77777777">
      <w:pPr>
        <w:jc w:val="both"/>
      </w:pPr>
    </w:p>
    <w:p w:rsidRPr="00D90A18" w:rsidR="00983F19" w:rsidP="00750824" w:rsidRDefault="00000000" w14:paraId="6C61654C" w14:textId="77777777">
      <w:pPr>
        <w:jc w:val="both"/>
        <w:rPr>
          <w:b/>
          <w:bCs/>
        </w:rPr>
      </w:pPr>
      <w:r>
        <w:rPr>
          <w:b/>
          <w:bCs/>
        </w:rPr>
        <w:t xml:space="preserve">Z całego dokumentu wynika pięć zaleceń, które należy potraktować priorytetowo:</w:t>
      </w:r>
    </w:p>
    <w:p w:rsidR="00D90A18" w:rsidP="00750824" w:rsidRDefault="00D90A18" w14:paraId="6F780E97" w14:textId="77777777">
      <w:pPr>
        <w:jc w:val="both"/>
      </w:pPr>
    </w:p>
    <w:p w:rsidR="00983F19" w:rsidP="00750824" w:rsidRDefault="00304218" w14:paraId="6BD4ABF7" w14:textId="57B2A235">
      <w:pPr>
        <w:jc w:val="both"/>
      </w:pPr>
      <w:r>
        <w:t xml:space="preserve">Po pierwsze: państwa członkowskie nie powinny, przy transpozycji art. 5, dodawać własnych kryteriów dotyczących powstania domniemania prawnego </w:t>
      </w:r>
      <w:r w:rsidR="00615F18">
        <w:t xml:space="preserve">zatrudnienia</w:t>
      </w:r>
      <w:r>
        <w:t xml:space="preserve">. Dyrektywa ustanawia standard wstępnej wiarygodności: wystarczające są fakty wskazujące na wydawanie poleceń i sprawowanie nadzoru. Belgijska ustawa z 2023 r. określiła dwa zestawy kryteriów (dwa z pięciu lub trzy z ośmiu), co w praktyce okazało się nieskuteczne </w:t>
      </w:r>
      <w:r w:rsidR="00D7386B">
        <w:t xml:space="preserve">– </w:t>
      </w:r>
      <w:r>
        <w:t xml:space="preserve">coraz większe platformy oświadczyły, że nie spełniają tych kryteriów, a ustawa nie przewidywała mechanizmów wykonawczych, dzięki którym inspektorat pracy mógłby bezpośrednio egzekwować domniemanie. Związkowiec z ACV-CSC skierował do Ministerstwa Pracy pytanie, co zamierzają zrobić; odpowiedź brzmiała: czy związek sam zwróci się do sądu. Ustawa bez procedur wykonawczych pozostała martwą literą na papierze. Każde dodatkowe kryterium to dodatkowa wymówka dla platformy i kolejny miesiąc bez ochrony dla pracownika </w:t>
      </w:r>
      <w:r w:rsidR="00D7386B">
        <w:t xml:space="preserve">– </w:t>
      </w:r>
      <w:r>
        <w:t xml:space="preserve">a dodatkowy mechanizm wykonawczy jest warunkiem, bez którego nawet najbardziej ambitna ustawa niczego nie zmieni.</w:t>
      </w:r>
    </w:p>
    <w:p w:rsidR="00D90A18" w:rsidP="00750824" w:rsidRDefault="00D90A18" w14:paraId="58D61F56" w14:textId="77777777">
      <w:pPr>
        <w:jc w:val="both"/>
      </w:pPr>
    </w:p>
    <w:p w:rsidR="00983F19" w:rsidP="00750824" w:rsidRDefault="00304218" w14:paraId="297D02C8" w14:textId="7DD53D38">
      <w:pPr>
        <w:jc w:val="both"/>
      </w:pPr>
      <w:r>
        <w:t xml:space="preserve">Po drugie: procedury ustalania prawidłowego statusu zatrudnienia muszą być skuteczne i przede wszystkim administracyjne, a nie sądowe. Sprawy sądowe trwają latami </w:t>
      </w:r>
      <w:r w:rsidR="00D7386B">
        <w:t xml:space="preserve">– </w:t>
      </w:r>
      <w:r>
        <w:t xml:space="preserve">doświadczenia hiszpańskie</w:t>
      </w:r>
      <w:r>
        <w:lastRenderedPageBreak/>
      </w:r>
      <w:r>
        <w:t xml:space="preserve"> potwierdzają </w:t>
      </w:r>
      <w:r>
        <w:t xml:space="preserve">to</w:t>
      </w:r>
      <w:r>
        <w:t xml:space="preserve">, pokazując prawie cztery lata postępowań po uchwaleniu ustawy o dostawcach. Wzmocnione inspektoraty pracy muszą mieć uprawnienia i obowiązek ustalenia statusu zatrudnienia w drodze decyzji, bez oczekiwania na rozstrzygnięcie sądowe i bez zgody pracownika. Dyrektywa zawiera ten obowiązek w art. 5 ust. 5, ale jej skuteczne wdrożenie wymaga, aby uprawnienie to zostało wyraźnie uwzględnione w krajowych środkach transpozycji.</w:t>
      </w:r>
    </w:p>
    <w:p w:rsidR="00D90A18" w:rsidP="00750824" w:rsidRDefault="00D90A18" w14:paraId="3BE072A5" w14:textId="77777777">
      <w:pPr>
        <w:jc w:val="both"/>
      </w:pPr>
    </w:p>
    <w:p w:rsidR="00983F19" w:rsidP="00750824" w:rsidRDefault="00304218" w14:paraId="2C9B026D" w14:textId="47E904F8">
      <w:pPr>
        <w:jc w:val="both"/>
      </w:pPr>
      <w:r>
        <w:t xml:space="preserve">Po trzecie: tymczasowa ochrona zbiorowa w trakcie kwestionowania domniemania prawnego </w:t>
      </w:r>
      <w:r w:rsidR="00D7386B">
        <w:t xml:space="preserve">– </w:t>
      </w:r>
      <w:r>
        <w:t xml:space="preserve">zalecenie 6.5 niniejszego dokumentu </w:t>
      </w:r>
      <w:r w:rsidR="00D7386B">
        <w:t xml:space="preserve">– </w:t>
      </w:r>
      <w:r>
        <w:t xml:space="preserve">stanowi kluczową innowację wykraczającą poza wymogi dyrektywy. Gdy inspektorat pracy stwierdzi, że platforma jest pracodawcą, najpóźniej w ciągu piętnastu dni </w:t>
      </w:r>
      <w:r w:rsidR="00D7386B">
        <w:t xml:space="preserve">– </w:t>
      </w:r>
      <w:r>
        <w:t xml:space="preserve">lub w krótszym terminie dopuszczalnym przez krajowy porządek prawny </w:t>
      </w:r>
      <w:r w:rsidR="00D7386B">
        <w:t xml:space="preserve">– </w:t>
      </w:r>
      <w:r>
        <w:t xml:space="preserve">należy </w:t>
      </w:r>
      <w:r>
        <w:t xml:space="preserve">zainicjować obowiązkowy dialog trójstronny, który zapewni tymczasowe porozumienie zbiorowe w sprawie minimalnego wynagrodzenia, czasie pracy oraz składkach na ubezpieczenie społeczne. Wynagrodzenia za wykonaną pracę i wpłacone składki pozostają w posiadaniu pracowników niezależnie od wyniku postępowania sądowego; platforma ma prawo do ograniczonego </w:t>
      </w:r>
      <w:r>
        <w:t xml:space="preserve">roszczenia zwrotnego </w:t>
      </w:r>
      <w:r>
        <w:t xml:space="preserve">wyłącznie w zakresie różnicy w stosunku do wynagrodzenia dla osób samozatrudnionych </w:t>
      </w:r>
      <w:r w:rsidR="00D7386B">
        <w:t xml:space="preserve">– </w:t>
      </w:r>
      <w:r>
        <w:t xml:space="preserve">nie dotyczy to wynagrodzenia za wykonaną pracę. Ciężar niepewności prawnej ponosi platforma, która stworzyła sporny stosunek prawny, a nie pracownicy. Państwo przejmuje ryzyko błędnego rozstrzygnięcia: jeśli decyzja inspekcji okaże się błędna, ciężar zwrotu wypłat ponosi państwo </w:t>
      </w:r>
      <w:r w:rsidR="00D7386B">
        <w:t xml:space="preserve">– </w:t>
      </w:r>
      <w:r>
        <w:t xml:space="preserve">w ten sposób gwarantuje ono wiarygodność decyzji i stwarza zachętę do wysokiej jakości pracy inspektoratu. Żadne państwo członkowskie nie powinno transponować dyrektywy bez mechanizmu wypełniającego lukę prawną między decyzją inspektoratu a prawomocnym wyrokiem.</w:t>
      </w:r>
    </w:p>
    <w:p w:rsidR="00D90A18" w:rsidP="00750824" w:rsidRDefault="00D90A18" w14:paraId="51B8EB4F" w14:textId="77777777">
      <w:pPr>
        <w:jc w:val="both"/>
      </w:pPr>
    </w:p>
    <w:p w:rsidR="00983F19" w:rsidP="00750824" w:rsidRDefault="00492887" w14:paraId="3E281C20" w14:textId="70AA0B6E">
      <w:pPr>
        <w:jc w:val="both"/>
      </w:pPr>
      <w:r>
        <w:t xml:space="preserve">Po czwarte: obowiązkowa </w:t>
      </w:r>
      <w:r>
        <w:t xml:space="preserve">odpowiedzialność </w:t>
      </w:r>
      <w:r w:rsidR="00A25A76">
        <w:t xml:space="preserve">solidarna </w:t>
      </w:r>
      <w:r>
        <w:t xml:space="preserve">w całym łańcuchu pośredników. System flotowy </w:t>
      </w:r>
      <w:r w:rsidR="00D7386B">
        <w:t xml:space="preserve">– </w:t>
      </w:r>
      <w:r>
        <w:t xml:space="preserve">wykorzystywanie łańcuchów pośredników do przenoszenia ryzyka prawnego na firmy-przykrywki </w:t>
      </w:r>
      <w:r w:rsidR="00D7386B">
        <w:t xml:space="preserve">– </w:t>
      </w:r>
      <w:r>
        <w:t xml:space="preserve">jest strukturalnym elementem modelu biznesowego platform, a nie wyjątkiem: występuje on w przypadku prawie połowy analizowanych platform (zob. rozdział 2). Dyrektywa w art. 3 dopuszcza, ale nie wymaga odpowiedzialności solidarnej. Ta niejednoznaczność stanowi szansę dla ministerstw: obowiązkowa </w:t>
      </w:r>
      <w:r>
        <w:t xml:space="preserve">odpowiedzialność </w:t>
      </w:r>
      <w:r w:rsidR="00A25A76">
        <w:t xml:space="preserve">solidarna</w:t>
      </w:r>
      <w:r>
        <w:t xml:space="preserve">, zgodnie z którą platforma automatycznie przejmuje zobowiązania podwykonawcy wobec pracowników, jest jedynym skutecznym środkiem przeciwko modelowi, który został zaprojektowany właśnie w celu uniknięcia odpowiedzialności. ETUC wzywa do przyjęcia dyrektywy w sprawie podwykonawstwa i pośrednictwa pracy, która wprowadziłaby tę odpowiedzialność na szczeblu europejskim.</w:t>
      </w:r>
    </w:p>
    <w:p w:rsidR="00D90A18" w:rsidP="00750824" w:rsidRDefault="00D90A18" w14:paraId="23CBDD14" w14:textId="77777777">
      <w:pPr>
        <w:jc w:val="both"/>
      </w:pPr>
    </w:p>
    <w:p w:rsidR="00983F19" w:rsidP="00750824" w:rsidRDefault="00492887" w14:paraId="5EED1FDB" w14:textId="63369F4B">
      <w:pPr>
        <w:jc w:val="both"/>
      </w:pPr>
      <w:r>
        <w:t xml:space="preserve">Po piąte: dialog społeczny z proaktywną rolą państwa i instytucji jako warunek skutecznego wdrożenia. Dyrektywa ustanawia szeroki zakres praw </w:t>
      </w:r>
      <w:r w:rsidR="00D7386B">
        <w:t xml:space="preserve">– </w:t>
      </w:r>
      <w:r>
        <w:t xml:space="preserve">od przejrzystości algorytmów po zakaz działań odwetowych </w:t>
      </w:r>
      <w:r w:rsidR="00D7386B">
        <w:t xml:space="preserve">– </w:t>
      </w:r>
      <w:r>
        <w:t xml:space="preserve">jednak prawa bez mechanizmów umożliwiających ich egzekwowanie są bezprzedmiotowe. Państwo nie może być jedynie biernym obserwatorem negocjacji, lecz musi pełnić rolę aktywnego mediatora i gwaranta: poprzez wzmocniony i przeszkolony w zakresie systemów algorytmicznych inspektorat pracy, jasne sankcje za naruszenia zasad przejrzystości (w tym automatyczną nieważność nieuzasadnionej decyzji algorytmicznej), z możliwością wszczynania postępowań zbiorowych i grupowych, których </w:t>
      </w:r>
      <w:r>
        <w:t xml:space="preserve">przepisy prawne </w:t>
      </w:r>
      <w:r>
        <w:t xml:space="preserve">w wielu państwach członkowskich </w:t>
      </w:r>
      <w:r w:rsidR="00D7386B">
        <w:t xml:space="preserve">– </w:t>
      </w:r>
      <w:r>
        <w:t xml:space="preserve">w tym w Niemczech i Słowenii </w:t>
      </w:r>
      <w:r w:rsidR="00D7386B">
        <w:t xml:space="preserve">– </w:t>
      </w:r>
      <w:r>
        <w:t xml:space="preserve">obecnie nie dopuszczają, oraz z zachętami dla platform, które dobrowolnie przystępują do negocjacji.</w:t>
      </w:r>
    </w:p>
    <w:p w:rsidR="00D90A18" w:rsidP="00750824" w:rsidRDefault="00D90A18" w14:paraId="49EBFB5C" w14:textId="77777777">
      <w:pPr>
        <w:jc w:val="both"/>
      </w:pPr>
    </w:p>
    <w:p w:rsidRPr="00D90A18" w:rsidR="00983F19" w:rsidP="00750824" w:rsidRDefault="00000000" w14:paraId="7D16DA5A" w14:textId="7A673C1C">
      <w:pPr>
        <w:jc w:val="both"/>
        <w:rPr>
          <w:rStyle w:val="Poudarek"/>
        </w:rPr>
      </w:pPr>
      <w:r>
        <w:rPr>
          <w:rStyle w:val="Poudarek"/>
        </w:rPr>
        <w:t xml:space="preserve">Zalecenia te są wyczerpujące </w:t>
      </w:r>
      <w:r w:rsidR="00D7386B">
        <w:rPr>
          <w:rStyle w:val="Poudarek"/>
        </w:rPr>
        <w:t xml:space="preserve">– </w:t>
      </w:r>
      <w:r>
        <w:rPr>
          <w:rStyle w:val="Poudarek"/>
        </w:rPr>
        <w:t xml:space="preserve">dokument zawiera ich ponad czterdzieści. Są to jednak jednocześnie te, bez których transpozycja dyrektywy nie zmieni niczego dla pracownika, który o dziesiątej wieczorem w deszczu dostarcza jedzenie na rowerze i nie wie, czy algorytm zaoferuje mu dzisiaj jeszcze pracę</w:t>
      </w:r>
      <w:r w:rsidR="004F26A1">
        <w:rPr>
          <w:rStyle w:val="Poudarek"/>
        </w:rPr>
        <w:t xml:space="preserve">, a </w:t>
      </w:r>
      <w:r>
        <w:rPr>
          <w:rStyle w:val="Poudarek"/>
        </w:rPr>
        <w:t xml:space="preserve">jutro umożliwi dostęp do aplikacji.</w:t>
      </w:r>
    </w:p>
    <w:p w:rsidR="00D90A18" w:rsidP="00750824" w:rsidRDefault="00D90A18" w14:paraId="70C3980B" w14:textId="77777777">
      <w:pPr>
        <w:jc w:val="both"/>
      </w:pPr>
    </w:p>
    <w:p w:rsidR="00983F19" w:rsidP="00750824" w:rsidRDefault="00000000" w14:paraId="1AACC6D3" w14:textId="532213F9">
      <w:pPr>
        <w:jc w:val="both"/>
      </w:pPr>
      <w:r>
        <w:rPr>
          <w:rStyle w:val="Krepko"/>
        </w:rPr>
        <w:t xml:space="preserve">Dyrektywa nie rozwiązuje wszystkich problemów. </w:t>
      </w:r>
      <w:r>
        <w:t xml:space="preserve">Nie rozwiązuje kwestii szczególnej wrażliwości pracowników migrujących, którzy we wszystkich pięciu krajach partnerskich stanowią znaczną część siły roboczej platformowej i</w:t>
      </w:r>
      <w:r>
        <w:lastRenderedPageBreak/>
      </w:r>
      <w:r>
        <w:t xml:space="preserve"> z powodu barier językowych, niepewnego statusu pobytu oraz zależności od platformy nie mają odwagi dochodzić swoich praw. Nie rozwiązuje też ryzyka, że niektóre państwa członkowskie wprowadzą pośredni </w:t>
      </w:r>
      <w:r>
        <w:t xml:space="preserve">„status </w:t>
      </w:r>
      <w:r w:rsidR="00016B3D">
        <w:t xml:space="preserve">trzeci” </w:t>
      </w:r>
      <w:r w:rsidR="00D7386B">
        <w:t xml:space="preserve">– </w:t>
      </w:r>
      <w:r>
        <w:t xml:space="preserve">na wzór włoskiego </w:t>
      </w:r>
      <w:r w:rsidRPr="00016B3D">
        <w:t xml:space="preserve">„współpracownika zorganizowanego w inny </w:t>
      </w:r>
      <w:r w:rsidRPr="00016B3D" w:rsidR="004F26A1">
        <w:t xml:space="preserve">sposób”</w:t>
      </w:r>
      <w:r w:rsidRPr="004F26A1">
        <w:t xml:space="preserve"> (</w:t>
      </w:r>
      <w:r w:rsidRPr="00016B3D" w:rsidR="004F26A1">
        <w:t xml:space="preserve">„</w:t>
      </w:r>
      <w:r w:rsidRPr="00016B3D">
        <w:t xml:space="preserve">collaboratore</w:t>
      </w:r>
      <w:r w:rsidRPr="004F26A1" w:rsidR="004F26A1">
        <w:t xml:space="preserve"> </w:t>
      </w:r>
      <w:r w:rsidRPr="00016B3D" w:rsidR="004F26A1">
        <w:t xml:space="preserve">etero-organizzato”</w:t>
      </w:r>
      <w:r w:rsidRPr="004F26A1">
        <w:t xml:space="preserve">) </w:t>
      </w:r>
      <w:r>
        <w:t xml:space="preserve">czy austriackiego „wolnego wykonawcy” (</w:t>
      </w:r>
      <w:r w:rsidRPr="00016B3D">
        <w:t xml:space="preserve">„Freier </w:t>
      </w:r>
      <w:r w:rsidRPr="00016B3D" w:rsidR="004F26A1">
        <w:t xml:space="preserve">Dienstnehmer”</w:t>
      </w:r>
      <w:r w:rsidRPr="004F26A1">
        <w:t xml:space="preserve">) </w:t>
      </w:r>
      <w:r w:rsidR="00D7386B">
        <w:t xml:space="preserve">– </w:t>
      </w:r>
      <w:r>
        <w:t xml:space="preserve">który nie będzie ani zatrudnieniem, ani samozatrudnieniem, lecz </w:t>
      </w:r>
      <w:r w:rsidR="004F26A1">
        <w:t xml:space="preserve">legalizacją </w:t>
      </w:r>
      <w:r>
        <w:t xml:space="preserve">istniejącego wyzysku pod nową nazwą. Są to zadania wymagające dalszego europejskiego dialogu społecznego, wzmocnionych inspektoratów oraz woli politycznej, która nie osłabnie po pierwszej rundzie lobbingu ze strony platform.</w:t>
      </w:r>
    </w:p>
    <w:p w:rsidR="00D90A18" w:rsidP="00750824" w:rsidRDefault="00D90A18" w14:paraId="7154449F" w14:textId="77777777">
      <w:pPr>
        <w:jc w:val="both"/>
      </w:pPr>
    </w:p>
    <w:p w:rsidRPr="009742D7" w:rsidR="009742D7" w:rsidP="00750824" w:rsidRDefault="009742D7" w14:paraId="48D97BE6" w14:textId="77777777">
      <w:pPr>
        <w:jc w:val="both"/>
      </w:pPr>
      <w:r>
        <w:t xml:space="preserve">Dyrektywa stanowi wyjątkową szansę, której nie możemy przegapić. Praca na platformach, jaką znamy dzisiaj, jest w swej istocie pracą niepewną, zarządzaną algorytmicznie: pracą bez zagwarantowanego minimalnego wynagrodzenia, bez zabezpieczenia społecznego, bez prawa do wyjaśnienia decyzji – oraz z algorytmem zamiast człowieka, który decyduje, kto dzisiaj pracuje, ile zarobi i czy jutro w ogóle będzie miał pracę. Jeśli nie uregulujemy tych mechanizmów teraz, wkrótce spotkamy je wszędzie: w logistyce, handlu detalicznym, gastronomii, służbie zdrowia i centrach obsługi telefonicznej. Platformy nie wymyśliły niepewności zatrudnienia – po prostu wykorzystały wszystkie istniejące luki w prawie pracy i jeszcze je pogłębiły poprzez nadzór algorytmiczny oraz działalność transgraniczną. Dlatego dyrektywa pozwala nam wyeliminować te luki nie tylko w odniesieniu do pracy platformowej, ale we wszystkich formach pracy, w których występują te same mechanizmy wyzysku.</w:t>
      </w:r>
    </w:p>
    <w:p w:rsidRPr="00D90A18" w:rsidR="00983F19" w:rsidP="00750824" w:rsidRDefault="00000000" w14:paraId="5A73155F" w14:textId="42529446">
      <w:pPr>
        <w:jc w:val="both"/>
        <w:rPr>
          <w:rStyle w:val="Krepko"/>
        </w:rPr>
      </w:pPr>
      <w:r>
        <w:rPr>
          <w:rStyle w:val="Krepko"/>
        </w:rPr>
        <w:t xml:space="preserve">Przegapienie tej okazji oznacza nie tylko, że </w:t>
      </w:r>
      <w:r>
        <w:rPr>
          <w:rStyle w:val="Krepko"/>
        </w:rPr>
        <w:t xml:space="preserve">pracownicy </w:t>
      </w:r>
      <w:r>
        <w:rPr>
          <w:rStyle w:val="Krepko"/>
        </w:rPr>
        <w:t xml:space="preserve">platformowi</w:t>
      </w:r>
      <w:r>
        <w:rPr>
          <w:rStyle w:val="Krepko"/>
        </w:rPr>
        <w:t xml:space="preserve"> pozostaną </w:t>
      </w:r>
      <w:r>
        <w:rPr>
          <w:rStyle w:val="Krepko"/>
        </w:rPr>
        <w:t xml:space="preserve">bez ochrony</w:t>
      </w:r>
      <w:r w:rsidR="00BB1A2F">
        <w:rPr>
          <w:rStyle w:val="Krepko"/>
        </w:rPr>
        <w:t xml:space="preserve">, </w:t>
      </w:r>
      <w:r>
        <w:rPr>
          <w:rStyle w:val="Krepko"/>
        </w:rPr>
        <w:t xml:space="preserve">ale także, że ich model </w:t>
      </w:r>
      <w:r w:rsidR="00BB1A2F">
        <w:rPr>
          <w:rStyle w:val="Krepko"/>
        </w:rPr>
        <w:t xml:space="preserve">pracy </w:t>
      </w:r>
      <w:r>
        <w:rPr>
          <w:rStyle w:val="Krepko"/>
        </w:rPr>
        <w:t xml:space="preserve">stanie się nową normą </w:t>
      </w:r>
      <w:r w:rsidR="00BB1A2F">
        <w:rPr>
          <w:rStyle w:val="Krepko"/>
        </w:rPr>
        <w:t xml:space="preserve">dla wszystkich</w:t>
      </w:r>
      <w:r>
        <w:rPr>
          <w:rStyle w:val="Krepko"/>
        </w:rPr>
        <w:t xml:space="preserve">.</w:t>
      </w:r>
    </w:p>
    <w:p w:rsidR="00D90A18" w:rsidP="00750824" w:rsidRDefault="00D90A18" w14:paraId="0C07D028" w14:textId="77777777">
      <w:pPr>
        <w:jc w:val="both"/>
      </w:pPr>
    </w:p>
    <w:p w:rsidR="00983F19" w:rsidP="00750824" w:rsidRDefault="00000000" w14:paraId="22C93E90" w14:textId="0D97D13C">
      <w:pPr>
        <w:jc w:val="both"/>
      </w:pPr>
      <w:r>
        <w:rPr>
          <w:rStyle w:val="Krepko"/>
        </w:rPr>
        <w:t xml:space="preserve">Termin jest jasny: 2 grudnia 2026 r.</w:t>
      </w:r>
      <w:r>
        <w:t xml:space="preserve"> Po analizie pięciu krajów, trzech układów zbiorowych i udokumentowanych strategii unikania przepisów niniejszy dokument kończy się stwierdzeniem, które jest jednocześnie ostrzeżeniem: wyzwania związane z wdrożeniem nie są nieprzewidywalne </w:t>
      </w:r>
      <w:r w:rsidR="00D7386B">
        <w:t xml:space="preserve">– </w:t>
      </w:r>
      <w:r>
        <w:t xml:space="preserve">stanowią powtarzalny wzorzec, który platformy przetestowały już w Hiszpanii, Niemczech i innych krajach. Ministerstwa, które podejmą działania zapobiegawcze, skutecznie wdrożą dyrektywę. Ministerstwa, które będą czekać na pierwszy spór, powtórzą doświadczenia z Belgii: prawo na papierze, prekaryzacja w praktyce.</w:t>
      </w:r>
    </w:p>
    <w:p w:rsidR="00D90A18" w:rsidP="00750824" w:rsidRDefault="00D90A18" w14:paraId="1D71DE5A" w14:textId="77777777">
      <w:pPr>
        <w:jc w:val="both"/>
      </w:pPr>
    </w:p>
    <w:p w:rsidR="00983F19" w:rsidP="00750824" w:rsidRDefault="00000000" w14:paraId="346BD37A" w14:textId="48F70648">
      <w:pPr>
        <w:jc w:val="both"/>
      </w:pPr>
      <w:r>
        <w:t xml:space="preserve">Projekt SDDP </w:t>
      </w:r>
      <w:r w:rsidR="00D7386B">
        <w:t xml:space="preserve">– </w:t>
      </w:r>
      <w:r>
        <w:t xml:space="preserve">pięć krajów, ETUC i partnerskie konfederacje związkowe, dwa lata pracy w terenie </w:t>
      </w:r>
      <w:r w:rsidR="00D7386B">
        <w:t xml:space="preserve">– </w:t>
      </w:r>
      <w:r>
        <w:t xml:space="preserve">przedstawił w niniejszym dokumencie konkretne, weryfikowalne zalecenia. Konsorcjum pozostaje do dyspozycji każdego państwa członkowskiego i każdego partnera społecznego, który pragnie wdrożyć dyrektywę w sposób faktycznie chroniący osoby, do których </w:t>
      </w:r>
      <w:r>
        <w:t xml:space="preserve">jest ona skierowana.</w:t>
      </w:r>
      <w:bookmarkEnd w:id="83"/>
    </w:p>
    <w:sectPr w:rsidR="00983F19">
      <w:footerReference w:type="default" r:id="rId8"/>
      <w:pgSz w:w="11906" w:h="16838"/>
      <w:pgMar w:top="144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A779E" w:rsidRDefault="00AA779E" w14:paraId="14AEC7F3" w14:textId="77777777">
      <w:r>
        <w:separator/>
      </w:r>
    </w:p>
  </w:endnote>
  <w:endnote w:type="continuationSeparator" w:id="0">
    <w:p w:rsidR="00AA779E" w:rsidRDefault="00AA779E" w14:paraId="045AD27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D30D3" w:rsidRDefault="007D30D3" w14:paraId="27F72AFB" w14:textId="517F802B">
    <w:pPr>
      <w:pStyle w:val="Noga"/>
    </w:pPr>
    <w:r>
      <w:rPr>
        <w:noProof/>
      </w:rPr>
      <w:drawing>
        <wp:inline distT="0" distB="0" distL="0" distR="0" wp14:anchorId="69CF034E" wp14:editId="0EAC88DC">
          <wp:extent cx="2513607" cy="525780"/>
          <wp:effectExtent l="0" t="0" r="0" b="7620"/>
          <wp:docPr id="141020949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209493" name="Slika 1410209493"/>
                  <pic:cNvPicPr/>
                </pic:nvPicPr>
                <pic:blipFill>
                  <a:blip r:embed="rId1">
                    <a:extLst>
                      <a:ext uri="{28A0092B-C50C-407E-A947-70E740481C1C}">
                        <a14:useLocalDpi xmlns:a14="http://schemas.microsoft.com/office/drawing/2010/main" val="0"/>
                      </a:ext>
                    </a:extLst>
                  </a:blip>
                  <a:stretch>
                    <a:fillRect/>
                  </a:stretch>
                </pic:blipFill>
                <pic:spPr>
                  <a:xfrm>
                    <a:off x="0" y="0"/>
                    <a:ext cx="2524927" cy="528148"/>
                  </a:xfrm>
                  <a:prstGeom prst="rect">
                    <a:avLst/>
                  </a:prstGeom>
                </pic:spPr>
              </pic:pic>
            </a:graphicData>
          </a:graphic>
        </wp:inline>
      </w:drawing>
    </w:r>
    <w:r>
      <w:tab/>
    </w:r>
    <w:r>
      <w:tab/>
    </w:r>
    <w:r>
      <w:rPr>
        <w:noProof/>
      </w:rPr>
      <w:drawing>
        <wp:inline distT="0" distB="0" distL="0" distR="0" wp14:anchorId="66E248D6" wp14:editId="24D34EB0">
          <wp:extent cx="1318260" cy="643872"/>
          <wp:effectExtent l="0" t="0" r="0" b="4445"/>
          <wp:docPr id="107895670"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95670" name="Slika 107895670"/>
                  <pic:cNvPicPr/>
                </pic:nvPicPr>
                <pic:blipFill>
                  <a:blip r:embed="rId2">
                    <a:extLst>
                      <a:ext uri="{28A0092B-C50C-407E-A947-70E740481C1C}">
                        <a14:useLocalDpi xmlns:a14="http://schemas.microsoft.com/office/drawing/2010/main" val="0"/>
                      </a:ext>
                    </a:extLst>
                  </a:blip>
                  <a:stretch>
                    <a:fillRect/>
                  </a:stretch>
                </pic:blipFill>
                <pic:spPr>
                  <a:xfrm>
                    <a:off x="0" y="0"/>
                    <a:ext cx="1333079" cy="65111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A779E" w:rsidRDefault="00AA779E" w14:paraId="3F50196E" w14:textId="77777777">
      <w:r>
        <w:separator/>
      </w:r>
    </w:p>
  </w:footnote>
  <w:footnote w:type="continuationSeparator" w:id="0">
    <w:p w:rsidR="00AA779E" w:rsidRDefault="00AA779E" w14:paraId="4F9902D5" w14:textId="77777777">
      <w:r>
        <w:continuationSeparator/>
      </w:r>
    </w:p>
  </w:footnote>
  <w:footnote w:id="1">
    <w:p w:rsidR="00983F19" w:rsidRDefault="00000000" w14:paraId="593AD28F" w14:textId="77777777">
      <w:pPr>
        <w:pStyle w:val="Sprotnaopomba-besedilo"/>
      </w:pPr>
      <w:r>
        <w:rPr>
          <w:rStyle w:val="Sprotnaopomba-sklic"/>
        </w:rPr>
        <w:footnoteRef/>
      </w:r>
      <w:r>
        <w:t xml:space="preserve"> Rozporządzenie (UE) 2016/679 (RODO), w szczególności art. 5 (zasady przetwarzania) oraz art. 25 (wbudowana i domyślna ochrona danych). Anonimizacja i agregacja danych stanowią warunek zgodności rejestru z RODO.</w:t>
      </w:r>
    </w:p>
  </w:footnote>
  <w:footnote w:id="2">
    <w:p w:rsidR="00983F19" w:rsidRDefault="00000000" w14:paraId="40ACB082" w14:textId="77777777">
      <w:pPr>
        <w:pStyle w:val="Sprotnaopomba-besedilo"/>
      </w:pPr>
      <w:r>
        <w:rPr>
          <w:rStyle w:val="Sprotnaopomba-sklic"/>
        </w:rPr>
        <w:footnoteRef/>
      </w:r>
      <w:r>
        <w:t xml:space="preserve"> Rozporządzenie (UE) 2022/2065 w sprawie usług cyfrowych (DSA), art. 13: dostawcy usług pośrednictwa, którzy nie mają siedziby w UE, muszą wyznaczyć przedstawiciela prawnego w Unii.</w:t>
      </w:r>
    </w:p>
  </w:footnote>
  <w:footnote w:id="3">
    <w:p w:rsidR="00983F19" w:rsidRDefault="00000000" w14:paraId="3BFC4F08" w14:textId="77777777">
      <w:pPr>
        <w:pStyle w:val="Sprotnaopomba-besedilo"/>
      </w:pPr>
      <w:r>
        <w:rPr>
          <w:rStyle w:val="Sprotnaopomba-sklic"/>
        </w:rPr>
        <w:footnoteRef/>
      </w:r>
      <w:r>
        <w:t xml:space="preserve"> Rozporządzenie (WE) nr 593/2008 w sprawie prawa właściwego dla zobowiązań umownych (Rzym I), art. 8: postanowienie umowne dotyczące wyboru prawa obcego nie może pozbawiać pracownika ochrony zapewnianej mu przez bezwzględnie obowiązujące przepisy prawa państwa, w którym lub z którego pracownik zwykle wykonuje pracę.</w:t>
      </w:r>
    </w:p>
  </w:footnote>
  <w:footnote w:id="4">
    <w:p w:rsidR="00983F19" w:rsidRDefault="00000000" w14:paraId="5970BDA5" w14:textId="77777777">
      <w:pPr>
        <w:pStyle w:val="Sprotnaopomba-besedilo"/>
      </w:pPr>
      <w:r>
        <w:rPr>
          <w:rStyle w:val="Sprotnaopomba-sklic"/>
        </w:rPr>
        <w:footnoteRef/>
      </w:r>
      <w:r>
        <w:t xml:space="preserve"> Rozporządzenie (UE) 2016/679 Parlamentu Europejskiego i Rady z dnia 27 kwietnia 2016 r. w sprawie ochrony osób fizycznych w związku z przetwarzaniem danych osobowych i swobodnym przepływem takich danych (RODO). Dyrektywa UE 2024/2831 w zakresie pracy na platformach wprowadza bardziej rygorystyczne przepisy szczególne.</w:t>
      </w:r>
    </w:p>
  </w:footnote>
  <w:footnote w:id="5">
    <w:p w:rsidR="00983F19" w:rsidRDefault="00000000" w14:paraId="552857AE" w14:textId="77777777">
      <w:pPr>
        <w:pStyle w:val="Sprotnaopomba-besedilo"/>
      </w:pPr>
      <w:r>
        <w:rPr>
          <w:rStyle w:val="Sprotnaopomba-sklic"/>
        </w:rPr>
        <w:footnoteRef/>
      </w:r>
      <w:r>
        <w:t xml:space="preserve"> RODO, art. 35 ust. 1: ocena skutków jest obowiązkowa, jeżeli przetwarzanie może stwarzać wysokie ryzyko. Dyrektywa uznaje to ryzyko za oczywiste w przypadku każdego przetwarzania za pośrednictwem AMDMS w ramach pracy platformowej.</w:t>
      </w:r>
    </w:p>
  </w:footnote>
  <w:footnote w:id="6">
    <w:p w:rsidR="00983F19" w:rsidRDefault="00000000" w14:paraId="07B887E7" w14:textId="77777777">
      <w:pPr>
        <w:pStyle w:val="Sprotnaopomba-besedilo"/>
      </w:pPr>
      <w:r>
        <w:rPr>
          <w:rStyle w:val="Sprotnaopomba-sklic"/>
        </w:rPr>
        <w:footnoteRef/>
      </w:r>
      <w:r>
        <w:t xml:space="preserve"> Dyrektywa UE 2024/2831, art. 26 ust. 2: dyrektywa nie narusza prawa państw członkowskich do wprowadzania korzystniejszych przepisów lub promowania korzystniejszych układów zbiorowych.</w:t>
      </w:r>
    </w:p>
  </w:footnote>
  <w:footnote w:id="7">
    <w:p w:rsidR="00983F19" w:rsidRDefault="00000000" w14:paraId="4D426CA7" w14:textId="77777777">
      <w:pPr>
        <w:pStyle w:val="Sprotnaopomba-besedilo"/>
      </w:pPr>
      <w:r>
        <w:rPr>
          <w:rStyle w:val="Sprotnaopomba-sklic"/>
        </w:rPr>
        <w:footnoteRef/>
      </w:r>
      <w:r>
        <w:t xml:space="preserve"> Ametowobla, D. i Kirchner, S. (2025). Varieties of platform capitalism? Socio-Economic Review, 23(2). System flotowy odnotowano w przypadku 41 z 91 platform.</w:t>
      </w:r>
    </w:p>
  </w:footnote>
  <w:footnote w:id="8">
    <w:p w:rsidR="00983F19" w:rsidRDefault="00000000" w14:paraId="084F244E" w14:textId="77777777">
      <w:pPr>
        <w:pStyle w:val="Sprotnaopomba-besedilo"/>
      </w:pPr>
      <w:r>
        <w:rPr>
          <w:rStyle w:val="Sprotnaopomba-sklic"/>
        </w:rPr>
        <w:footnoteRef/>
      </w:r>
      <w:r>
        <w:t xml:space="preserve"> Odnowiona umowa uzupełniająca, Takeaway.com Express Italy S.r.l. / FILT-CGIL, FIT-CISL, UILTRASPORTI. Podpisana w dniach 11–12 lutego 2026 r.</w:t>
      </w:r>
    </w:p>
  </w:footnote>
  <w:footnote w:id="9">
    <w:p w:rsidR="00983F19" w:rsidRDefault="00000000" w14:paraId="5F306B72" w14:textId="77777777">
      <w:pPr>
        <w:pStyle w:val="Sprotnaopomba-besedilo"/>
      </w:pPr>
      <w:r>
        <w:rPr>
          <w:rStyle w:val="Sprotnaopomba-sklic"/>
        </w:rPr>
        <w:footnoteRef/>
      </w:r>
      <w:r>
        <w:t xml:space="preserve"> Układ zbiorowy dla kurierów rowerowych, związek zawodowy vida. Okres obowiązywania: 1 stycznia 2023 r. – 30 września 2025 r. Wypowiedzenie: czerwiec 2025 r.</w:t>
      </w:r>
    </w:p>
  </w:footnote>
  <w:footnote w:id="10">
    <w:p w:rsidR="00983F19" w:rsidRDefault="00000000" w14:paraId="5F96ED92" w14:textId="77777777">
      <w:pPr>
        <w:pStyle w:val="Sprotnaopomba-besedilo"/>
      </w:pPr>
      <w:r>
        <w:rPr>
          <w:rStyle w:val="Sprotnaopomba-sklic"/>
        </w:rPr>
        <w:footnoteRef/>
      </w:r>
      <w:r>
        <w:t xml:space="preserve"> Dyrektywa UE 2024/2831, art. 20: cyfrowe kanały komunikacji dla pracowników i ich przedstawicieli.</w:t>
      </w:r>
    </w:p>
  </w:footnote>
  <w:footnote w:id="11">
    <w:p w:rsidRPr="00016B3D" w:rsidR="00FC19E2" w:rsidRDefault="00000000" w14:paraId="3C24EF3A" w14:textId="77777777">
      <w:pPr>
        <w:rPr>
          <w:sz w:val="20"/>
          <w:szCs w:val="20"/>
        </w:rPr>
      </w:pPr>
      <w:r w:rsidRPr="00016B3D">
        <w:rPr>
          <w:sz w:val="16"/>
          <w:szCs w:val="16"/>
        </w:rPr>
        <w:footnoteRef/>
      </w:r>
      <w:r w:rsidRPr="00016B3D">
        <w:rPr>
          <w:sz w:val="20"/>
          <w:szCs w:val="20"/>
        </w:rPr>
        <w:t xml:space="preserve"> Dyrektywa (UE) 2024/2831, art. 20: państwa członkowskie zapewniają, aby cyfrowe platformy pracy umożliwiały osobom wykonującym pracę na platformie wzajemną komunikację za pośrednictwem infrastruktury cyfrowej lub równie skutecznych środków oraz kontakt z przedstawicielami. Platformy powstrzymują się od uzyskiwania dostępu do tej komunikacji lub jej monitorowania.</w:t>
      </w:r>
    </w:p>
  </w:footnote>
  <w:footnote w:id="12">
    <w:p w:rsidR="00983F19" w:rsidRDefault="00000000" w14:paraId="6FFA6134" w14:textId="70429696">
      <w:pPr>
        <w:pStyle w:val="Sprotnaopomba-besedilo"/>
      </w:pPr>
      <w:r>
        <w:rPr>
          <w:rStyle w:val="Sprotnaopomba-sklic"/>
        </w:rPr>
        <w:footnoteRef/>
      </w:r>
      <w:r>
        <w:t xml:space="preserve"> Pośrednictwo pracy w dyrektywie w sprawie pracy na platformach. Mika, B. i Polkowska, D. (2022). Praca na żądanie w kapitalizmie patchworkowym.</w:t>
      </w:r>
    </w:p>
  </w:footnote>
  <w:footnote w:id="13">
    <w:p w:rsidR="00983F19" w:rsidRDefault="00000000" w14:paraId="736FFFA0" w14:textId="77777777">
      <w:pPr>
        <w:pStyle w:val="Sprotnaopomba-besedilo"/>
      </w:pPr>
      <w:r>
        <w:rPr>
          <w:rStyle w:val="Sprotnaopomba-sklic"/>
        </w:rPr>
        <w:footnoteRef/>
      </w:r>
      <w:r>
        <w:t xml:space="preserve"> Vieira, T. i Mendonça, P. (2025). Czy czasy się zmieniają? Socio-Economic Review, 23(2).</w:t>
      </w:r>
    </w:p>
  </w:footnote>
  <w:footnote w:id="14">
    <w:p w:rsidR="00983F19" w:rsidRDefault="00000000" w14:paraId="2AAE8128" w14:textId="77777777">
      <w:pPr>
        <w:pStyle w:val="Sprotnaopomba-besedilo"/>
      </w:pPr>
      <w:r>
        <w:rPr>
          <w:rStyle w:val="Sprotnaopomba-sklic"/>
        </w:rPr>
        <w:footnoteRef/>
      </w:r>
      <w:r>
        <w:t xml:space="preserve"> Dyrektywa w sprawie pośrednictwa pracy i pracy na platformach, str. 1: platformy postrzegane jako podmioty kameleonowe.</w:t>
      </w:r>
    </w:p>
  </w:footnote>
  <w:footnote w:id="15">
    <w:p w:rsidR="00983F19" w:rsidRDefault="00000000" w14:paraId="039DA1E5" w14:textId="77777777">
      <w:pPr>
        <w:pStyle w:val="Sprotnaopomba-besedilo"/>
      </w:pPr>
      <w:r>
        <w:rPr>
          <w:rStyle w:val="Sprotnaopomba-sklic"/>
        </w:rPr>
        <w:footnoteRef/>
      </w:r>
      <w:r>
        <w:t xml:space="preserve"> Starčević, J. (2023). Praca platformowa w Chorwacji i Serbii. Str. 71: firmy-przykrywki i czarne listy Facebooka.</w:t>
      </w:r>
    </w:p>
  </w:footnote>
  <w:footnote w:id="16">
    <w:p w:rsidR="00983F19" w:rsidRDefault="00000000" w14:paraId="515870CF" w14:textId="77777777">
      <w:pPr>
        <w:pStyle w:val="Sprotnaopomba-besedilo"/>
      </w:pPr>
      <w:r>
        <w:rPr>
          <w:rStyle w:val="Sprotnaopomba-sklic"/>
        </w:rPr>
        <w:footnoteRef/>
      </w:r>
      <w:r>
        <w:t xml:space="preserve"> NIdiL-CGIL Firenze: Propozycja zaleceń dotyczących wdrożenia dyrektywy w sprawie pracy platformowej (2025). Punkt 8.4: ryzyko statusu osoby trzeciej.</w:t>
      </w:r>
    </w:p>
  </w:footnote>
  <w:footnote w:id="17">
    <w:p w:rsidR="00983F19" w:rsidRDefault="00000000" w14:paraId="48EC8BE4" w14:textId="77777777">
      <w:pPr>
        <w:pStyle w:val="Sprotnaopomba-besedilo"/>
      </w:pPr>
      <w:r>
        <w:rPr>
          <w:rStyle w:val="Sprotnaopomba-sklic"/>
        </w:rPr>
        <w:footnoteRef/>
      </w:r>
      <w:r>
        <w:t xml:space="preserve"> Fairwork (2025). Fairwork Germany Ratings 2025. Str. 30–31: podwykonawcy, którzy wstrzymują wypłatę wynagrodzeń pracownikom migrującym.</w:t>
      </w:r>
    </w:p>
  </w:footnote>
  <w:footnote w:id="18">
    <w:p w:rsidR="00983F19" w:rsidRDefault="00000000" w14:paraId="35BF89BD" w14:textId="77777777">
      <w:pPr>
        <w:pStyle w:val="Sprotnaopomba-besedilo"/>
      </w:pPr>
      <w:r>
        <w:rPr>
          <w:rStyle w:val="Sprotnaopomba-sklic"/>
        </w:rPr>
        <w:footnoteRef/>
      </w:r>
      <w:r>
        <w:t xml:space="preserve"> Grupa ekspertów KE: Raport grupy ekspertów dotyczący transpozycji dyrektywy (UE) 2024/2831, styczeń 2026 r. Motyw 30.</w:t>
      </w:r>
    </w:p>
  </w:footnote>
  <w:footnote w:id="19">
    <w:p w:rsidR="00983F19" w:rsidRDefault="00000000" w14:paraId="1013DE52" w14:textId="77777777">
      <w:pPr>
        <w:pStyle w:val="Sprotnaopomba-besedilo"/>
      </w:pPr>
      <w:r>
        <w:rPr>
          <w:rStyle w:val="Sprotnaopomba-sklic"/>
        </w:rPr>
        <w:footnoteRef/>
      </w:r>
      <w:r>
        <w:t xml:space="preserve"> Dyrektywa UE 2024/2831, art. 24 ust. 4: współpraca transgraniczna między właściwymi organami.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0354F0CC"/>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0390FD9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128A7BF6"/>
    <w:multiLevelType w:val="hybridMultilevel"/>
    <w:tmpl w:val="2160C404"/>
    <w:lvl w:ilvl="0" w:tplc="076896B4">
      <w:start w:val="8"/>
      <w:numFmt w:val="bullet"/>
      <w:lvlText w:val="-"/>
      <w:lvlJc w:val="left"/>
      <w:pPr>
        <w:ind w:left="720" w:hanging="36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F7A6A2E"/>
    <w:multiLevelType w:val="hybridMultilevel"/>
    <w:tmpl w:val="8F1220A6"/>
    <w:lvl w:ilvl="0" w:tplc="096CC94E">
      <w:start w:val="1"/>
      <w:numFmt w:val="bullet"/>
      <w:lvlText w:val="●"/>
      <w:lvlJc w:val="left"/>
      <w:pPr>
        <w:ind w:left="720" w:hanging="360"/>
      </w:pPr>
    </w:lvl>
    <w:lvl w:ilvl="1" w:tplc="3760EED0">
      <w:start w:val="1"/>
      <w:numFmt w:val="bullet"/>
      <w:lvlText w:val="○"/>
      <w:lvlJc w:val="left"/>
      <w:pPr>
        <w:ind w:left="1440" w:hanging="360"/>
      </w:pPr>
    </w:lvl>
    <w:lvl w:ilvl="2" w:tplc="2F80938E">
      <w:start w:val="1"/>
      <w:numFmt w:val="bullet"/>
      <w:lvlText w:val="■"/>
      <w:lvlJc w:val="left"/>
      <w:pPr>
        <w:ind w:left="2160" w:hanging="360"/>
      </w:pPr>
    </w:lvl>
    <w:lvl w:ilvl="3" w:tplc="142C3356">
      <w:start w:val="1"/>
      <w:numFmt w:val="bullet"/>
      <w:lvlText w:val="●"/>
      <w:lvlJc w:val="left"/>
      <w:pPr>
        <w:ind w:left="2880" w:hanging="360"/>
      </w:pPr>
    </w:lvl>
    <w:lvl w:ilvl="4" w:tplc="BE486E12">
      <w:start w:val="1"/>
      <w:numFmt w:val="bullet"/>
      <w:lvlText w:val="○"/>
      <w:lvlJc w:val="left"/>
      <w:pPr>
        <w:ind w:left="3600" w:hanging="360"/>
      </w:pPr>
    </w:lvl>
    <w:lvl w:ilvl="5" w:tplc="35FA1DAC">
      <w:start w:val="1"/>
      <w:numFmt w:val="bullet"/>
      <w:lvlText w:val="■"/>
      <w:lvlJc w:val="left"/>
      <w:pPr>
        <w:ind w:left="4320" w:hanging="360"/>
      </w:pPr>
    </w:lvl>
    <w:lvl w:ilvl="6" w:tplc="99B05B28">
      <w:start w:val="1"/>
      <w:numFmt w:val="bullet"/>
      <w:lvlText w:val="●"/>
      <w:lvlJc w:val="left"/>
      <w:pPr>
        <w:ind w:left="5040" w:hanging="360"/>
      </w:pPr>
    </w:lvl>
    <w:lvl w:ilvl="7" w:tplc="8A2AF95A">
      <w:start w:val="1"/>
      <w:numFmt w:val="bullet"/>
      <w:lvlText w:val="●"/>
      <w:lvlJc w:val="left"/>
      <w:pPr>
        <w:ind w:left="5760" w:hanging="360"/>
      </w:pPr>
    </w:lvl>
    <w:lvl w:ilvl="8" w:tplc="9C38A386">
      <w:start w:val="1"/>
      <w:numFmt w:val="bullet"/>
      <w:lvlText w:val="●"/>
      <w:lvlJc w:val="left"/>
      <w:pPr>
        <w:ind w:left="6480" w:hanging="360"/>
      </w:pPr>
    </w:lvl>
  </w:abstractNum>
  <w:abstractNum w:abstractNumId="4" w15:restartNumberingAfterBreak="0">
    <w:nsid w:val="693609F4"/>
    <w:multiLevelType w:val="hybridMultilevel"/>
    <w:tmpl w:val="FFBA1DBA"/>
    <w:lvl w:ilvl="0" w:tplc="18C8FE5E">
      <w:start w:val="8"/>
      <w:numFmt w:val="bullet"/>
      <w:lvlText w:val="-"/>
      <w:lvlJc w:val="left"/>
      <w:pPr>
        <w:ind w:left="720" w:hanging="36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434398708">
    <w:abstractNumId w:val="3"/>
    <w:lvlOverride w:ilvl="0">
      <w:startOverride w:val="1"/>
    </w:lvlOverride>
  </w:num>
  <w:num w:numId="2" w16cid:durableId="952592849">
    <w:abstractNumId w:val="0"/>
  </w:num>
  <w:num w:numId="3" w16cid:durableId="1977680526">
    <w:abstractNumId w:val="1"/>
  </w:num>
  <w:num w:numId="4" w16cid:durableId="1868640215">
    <w:abstractNumId w:val="1"/>
  </w:num>
  <w:num w:numId="5" w16cid:durableId="2032684937">
    <w:abstractNumId w:val="4"/>
  </w:num>
  <w:num w:numId="6" w16cid:durableId="10261009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F19"/>
    <w:rsid w:val="000052A5"/>
    <w:rsid w:val="00016B3D"/>
    <w:rsid w:val="000617C4"/>
    <w:rsid w:val="00061B6E"/>
    <w:rsid w:val="00084394"/>
    <w:rsid w:val="00096C72"/>
    <w:rsid w:val="000B201C"/>
    <w:rsid w:val="000D74B6"/>
    <w:rsid w:val="000F63BC"/>
    <w:rsid w:val="0013617B"/>
    <w:rsid w:val="001627FA"/>
    <w:rsid w:val="00191599"/>
    <w:rsid w:val="001B1A93"/>
    <w:rsid w:val="001E67F7"/>
    <w:rsid w:val="0021360E"/>
    <w:rsid w:val="00247A59"/>
    <w:rsid w:val="00297684"/>
    <w:rsid w:val="002A147E"/>
    <w:rsid w:val="0030041A"/>
    <w:rsid w:val="00304218"/>
    <w:rsid w:val="00304B8F"/>
    <w:rsid w:val="003134E5"/>
    <w:rsid w:val="00320506"/>
    <w:rsid w:val="00352350"/>
    <w:rsid w:val="0036704F"/>
    <w:rsid w:val="00370D81"/>
    <w:rsid w:val="003A5607"/>
    <w:rsid w:val="003D2CF3"/>
    <w:rsid w:val="003F2469"/>
    <w:rsid w:val="00471B0E"/>
    <w:rsid w:val="00492887"/>
    <w:rsid w:val="00494E86"/>
    <w:rsid w:val="004A4679"/>
    <w:rsid w:val="004F26A1"/>
    <w:rsid w:val="005418CA"/>
    <w:rsid w:val="00557445"/>
    <w:rsid w:val="00583744"/>
    <w:rsid w:val="005B4341"/>
    <w:rsid w:val="005C5C0F"/>
    <w:rsid w:val="005D1CAF"/>
    <w:rsid w:val="00615AD5"/>
    <w:rsid w:val="00615F18"/>
    <w:rsid w:val="00645F58"/>
    <w:rsid w:val="00677FF5"/>
    <w:rsid w:val="006928D1"/>
    <w:rsid w:val="0069475D"/>
    <w:rsid w:val="006B029C"/>
    <w:rsid w:val="006E6A4A"/>
    <w:rsid w:val="006F2B87"/>
    <w:rsid w:val="00750824"/>
    <w:rsid w:val="00775A45"/>
    <w:rsid w:val="0078378B"/>
    <w:rsid w:val="00792F1C"/>
    <w:rsid w:val="007D30D3"/>
    <w:rsid w:val="00827187"/>
    <w:rsid w:val="00844626"/>
    <w:rsid w:val="0086131C"/>
    <w:rsid w:val="00873676"/>
    <w:rsid w:val="00885168"/>
    <w:rsid w:val="008920C5"/>
    <w:rsid w:val="008A2B03"/>
    <w:rsid w:val="008A4BD4"/>
    <w:rsid w:val="008A7718"/>
    <w:rsid w:val="008C7863"/>
    <w:rsid w:val="008F0A64"/>
    <w:rsid w:val="008F1CB6"/>
    <w:rsid w:val="008F70CF"/>
    <w:rsid w:val="00902859"/>
    <w:rsid w:val="00944A43"/>
    <w:rsid w:val="00954281"/>
    <w:rsid w:val="009742D7"/>
    <w:rsid w:val="00983F19"/>
    <w:rsid w:val="009870EF"/>
    <w:rsid w:val="00987363"/>
    <w:rsid w:val="009B7FA3"/>
    <w:rsid w:val="009C0D64"/>
    <w:rsid w:val="009E2CF3"/>
    <w:rsid w:val="009F3F9C"/>
    <w:rsid w:val="00A14D12"/>
    <w:rsid w:val="00A16E80"/>
    <w:rsid w:val="00A25A76"/>
    <w:rsid w:val="00A275F6"/>
    <w:rsid w:val="00A55B3A"/>
    <w:rsid w:val="00A56C5B"/>
    <w:rsid w:val="00A60485"/>
    <w:rsid w:val="00A60CFC"/>
    <w:rsid w:val="00AA779E"/>
    <w:rsid w:val="00AC6992"/>
    <w:rsid w:val="00B11C0F"/>
    <w:rsid w:val="00B33E59"/>
    <w:rsid w:val="00B357A5"/>
    <w:rsid w:val="00B833F8"/>
    <w:rsid w:val="00BB1A2F"/>
    <w:rsid w:val="00BB574B"/>
    <w:rsid w:val="00BD3FB5"/>
    <w:rsid w:val="00BD4E18"/>
    <w:rsid w:val="00C60A82"/>
    <w:rsid w:val="00C91807"/>
    <w:rsid w:val="00CB6C6D"/>
    <w:rsid w:val="00CB75BF"/>
    <w:rsid w:val="00CE0CAD"/>
    <w:rsid w:val="00CF3B80"/>
    <w:rsid w:val="00D10C79"/>
    <w:rsid w:val="00D17094"/>
    <w:rsid w:val="00D21719"/>
    <w:rsid w:val="00D7386B"/>
    <w:rsid w:val="00D90A18"/>
    <w:rsid w:val="00DB0B6E"/>
    <w:rsid w:val="00DB7748"/>
    <w:rsid w:val="00DC4393"/>
    <w:rsid w:val="00DC6DE9"/>
    <w:rsid w:val="00DF6109"/>
    <w:rsid w:val="00E11794"/>
    <w:rsid w:val="00E11FBD"/>
    <w:rsid w:val="00E56EFA"/>
    <w:rsid w:val="00E57F82"/>
    <w:rsid w:val="00E872A3"/>
    <w:rsid w:val="00E923E8"/>
    <w:rsid w:val="00EA618C"/>
    <w:rsid w:val="00EB5A7D"/>
    <w:rsid w:val="00F067CA"/>
    <w:rsid w:val="00F16419"/>
    <w:rsid w:val="00F2296E"/>
    <w:rsid w:val="00F2754C"/>
    <w:rsid w:val="00FA3434"/>
    <w:rsid w:val="00FC19E2"/>
    <w:rsid w:val="00FD0595"/>
    <w:rsid w:val="00FF3A12"/>
    <w:rsid w:val="00FF4B88"/>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EF99BD"/>
  <w15:docId w15:val="{202E13D6-9D18-4B92-AC1C-FCB4ACE11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link w:val="Naslov1Znak"/>
    <w:uiPriority w:val="9"/>
    <w:qFormat/>
    <w:pPr>
      <w:spacing w:before="400" w:after="240"/>
      <w:outlineLvl w:val="0"/>
    </w:pPr>
    <w:rPr>
      <w:b/>
      <w:bCs/>
      <w:color w:val="1F3864"/>
      <w:sz w:val="36"/>
      <w:szCs w:val="36"/>
    </w:rPr>
  </w:style>
  <w:style w:type="paragraph" w:styleId="Naslov2">
    <w:name w:val="heading 2"/>
    <w:uiPriority w:val="9"/>
    <w:unhideWhenUsed/>
    <w:qFormat/>
    <w:pPr>
      <w:spacing w:before="300" w:after="160"/>
      <w:outlineLvl w:val="1"/>
    </w:pPr>
    <w:rPr>
      <w:b/>
      <w:bCs/>
      <w:color w:val="2E75B6"/>
      <w:sz w:val="28"/>
      <w:szCs w:val="28"/>
    </w:rPr>
  </w:style>
  <w:style w:type="paragraph" w:styleId="Naslov3">
    <w:name w:val="heading 3"/>
    <w:uiPriority w:val="9"/>
    <w:unhideWhenUsed/>
    <w:qFormat/>
    <w:pPr>
      <w:spacing w:before="200" w:after="120"/>
      <w:outlineLvl w:val="2"/>
    </w:pPr>
    <w:rPr>
      <w:b/>
      <w:bCs/>
      <w:color w:val="1F5C99"/>
    </w:rPr>
  </w:style>
  <w:style w:type="paragraph" w:styleId="Naslov4">
    <w:name w:val="heading 4"/>
    <w:uiPriority w:val="9"/>
    <w:semiHidden/>
    <w:unhideWhenUsed/>
    <w:qFormat/>
    <w:pPr>
      <w:outlineLvl w:val="3"/>
    </w:pPr>
    <w:rPr>
      <w:i/>
      <w:iCs/>
      <w:color w:val="2E74B5"/>
    </w:rPr>
  </w:style>
  <w:style w:type="paragraph" w:styleId="Naslov5">
    <w:name w:val="heading 5"/>
    <w:uiPriority w:val="9"/>
    <w:semiHidden/>
    <w:unhideWhenUsed/>
    <w:qFormat/>
    <w:pPr>
      <w:outlineLvl w:val="4"/>
    </w:pPr>
    <w:rPr>
      <w:color w:val="2E74B5"/>
    </w:rPr>
  </w:style>
  <w:style w:type="paragraph" w:styleId="Naslov6">
    <w:name w:val="heading 6"/>
    <w:uiPriority w:val="9"/>
    <w:semiHidden/>
    <w:unhideWhenUsed/>
    <w:qFormat/>
    <w:pPr>
      <w:outlineLvl w:val="5"/>
    </w:pPr>
    <w:rPr>
      <w:color w:val="1F4D7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link w:val="NaslovZnak"/>
    <w:qFormat/>
    <w:rPr>
      <w:sz w:val="56"/>
      <w:szCs w:val="56"/>
    </w:rPr>
  </w:style>
  <w:style w:type="paragraph" w:customStyle="1" w:styleId="Krepko1">
    <w:name w:val="Krepko1"/>
    <w:qFormat/>
    <w:rPr>
      <w:b/>
      <w:bCs/>
    </w:rPr>
  </w:style>
  <w:style w:type="paragraph" w:styleId="Odstavekseznama">
    <w:name w:val="List Paragraph"/>
    <w:qFormat/>
  </w:style>
  <w:style w:type="character" w:styleId="Hiperpovezava">
    <w:name w:val="Hyperlink"/>
    <w:uiPriority w:val="99"/>
    <w:unhideWhenUsed/>
    <w:rPr>
      <w:color w:val="0563C1"/>
      <w:u w:val="single"/>
    </w:rPr>
  </w:style>
  <w:style w:type="character" w:styleId="Sprotnaopomba-sklic">
    <w:name w:val="footnote reference"/>
    <w:uiPriority w:val="99"/>
    <w:semiHidden/>
    <w:unhideWhenUsed/>
    <w:rPr>
      <w:vertAlign w:val="superscript"/>
    </w:rPr>
  </w:style>
  <w:style w:type="paragraph" w:styleId="Sprotnaopomba-besedilo">
    <w:name w:val="footnote text"/>
    <w:link w:val="Sprotnaopomba-besediloZnak"/>
    <w:uiPriority w:val="99"/>
    <w:semiHidden/>
    <w:unhideWhenUsed/>
    <w:rPr>
      <w:sz w:val="20"/>
      <w:szCs w:val="20"/>
    </w:rPr>
  </w:style>
  <w:style w:type="character" w:customStyle="1" w:styleId="Sprotnaopomba-besediloZnak">
    <w:name w:val="Sprotna opomba - besedilo Znak"/>
    <w:link w:val="Sprotnaopomba-besedilo"/>
    <w:uiPriority w:val="99"/>
    <w:semiHidden/>
    <w:unhideWhenUsed/>
    <w:rPr>
      <w:sz w:val="20"/>
      <w:szCs w:val="20"/>
    </w:rPr>
  </w:style>
  <w:style w:type="paragraph" w:customStyle="1" w:styleId="SourceCode">
    <w:name w:val="Source Code"/>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rPr>
      <w:b/>
      <w:color w:val="008000"/>
    </w:rPr>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rPr>
      <w:color w:val="008000"/>
    </w:rPr>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paragraph" w:styleId="Blokbesedila">
    <w:name w:val="Block Text"/>
    <w:qFormat/>
    <w:pPr>
      <w:pBdr>
        <w:left w:val="thick" w:sz="18" w:space="10" w:color="1F5C99"/>
      </w:pBdr>
      <w:spacing w:before="60" w:after="60"/>
      <w:ind w:left="360" w:right="360"/>
      <w:jc w:val="both"/>
    </w:pPr>
    <w:rPr>
      <w:color w:val="666666"/>
      <w:sz w:val="22"/>
      <w:szCs w:val="22"/>
    </w:rPr>
  </w:style>
  <w:style w:type="paragraph" w:customStyle="1" w:styleId="RedBlock">
    <w:name w:val="Red Block"/>
    <w:qFormat/>
    <w:pPr>
      <w:pBdr>
        <w:left w:val="thick" w:sz="18" w:space="10" w:color="C00000"/>
      </w:pBdr>
      <w:spacing w:before="60" w:after="60"/>
      <w:ind w:left="360" w:right="360"/>
      <w:jc w:val="both"/>
    </w:pPr>
    <w:rPr>
      <w:color w:val="C00000"/>
      <w:sz w:val="22"/>
      <w:szCs w:val="22"/>
    </w:rPr>
  </w:style>
  <w:style w:type="paragraph" w:styleId="Kazalovsebine1">
    <w:name w:val="toc 1"/>
    <w:basedOn w:val="Navaden"/>
    <w:next w:val="Navaden"/>
    <w:autoRedefine/>
    <w:uiPriority w:val="39"/>
    <w:unhideWhenUsed/>
    <w:rsid w:val="00D90A18"/>
    <w:pPr>
      <w:spacing w:after="100"/>
    </w:pPr>
  </w:style>
  <w:style w:type="paragraph" w:styleId="Kazalovsebine2">
    <w:name w:val="toc 2"/>
    <w:basedOn w:val="Navaden"/>
    <w:next w:val="Navaden"/>
    <w:autoRedefine/>
    <w:uiPriority w:val="39"/>
    <w:unhideWhenUsed/>
    <w:rsid w:val="00D90A18"/>
    <w:pPr>
      <w:spacing w:after="100"/>
      <w:ind w:left="240"/>
    </w:pPr>
  </w:style>
  <w:style w:type="character" w:customStyle="1" w:styleId="NaslovZnak">
    <w:name w:val="Naslov Znak"/>
    <w:basedOn w:val="Privzetapisavaodstavka"/>
    <w:link w:val="Naslov"/>
    <w:rsid w:val="00D90A18"/>
    <w:rPr>
      <w:sz w:val="56"/>
      <w:szCs w:val="56"/>
    </w:rPr>
  </w:style>
  <w:style w:type="paragraph" w:customStyle="1" w:styleId="Author">
    <w:name w:val="Author"/>
    <w:next w:val="Telobesedila"/>
    <w:qFormat/>
    <w:rsid w:val="00D90A18"/>
    <w:pPr>
      <w:keepNext/>
      <w:keepLines/>
      <w:spacing w:after="200"/>
      <w:jc w:val="center"/>
    </w:pPr>
    <w:rPr>
      <w:rFonts w:asciiTheme="minorHAnsi" w:eastAsiaTheme="minorHAnsi" w:hAnsiTheme="minorHAnsi" w:cstheme="minorBidi"/>
      <w:lang w:val="sl" w:eastAsia="en-US"/>
    </w:rPr>
  </w:style>
  <w:style w:type="paragraph" w:styleId="Datum">
    <w:name w:val="Date"/>
    <w:next w:val="Telobesedila"/>
    <w:link w:val="DatumZnak"/>
    <w:qFormat/>
    <w:rsid w:val="00D90A18"/>
    <w:pPr>
      <w:keepNext/>
      <w:keepLines/>
      <w:spacing w:after="200"/>
      <w:jc w:val="center"/>
    </w:pPr>
    <w:rPr>
      <w:rFonts w:asciiTheme="minorHAnsi" w:eastAsiaTheme="minorHAnsi" w:hAnsiTheme="minorHAnsi" w:cstheme="minorBidi"/>
      <w:lang w:val="sl" w:eastAsia="en-US"/>
    </w:rPr>
  </w:style>
  <w:style w:type="character" w:customStyle="1" w:styleId="DatumZnak">
    <w:name w:val="Datum Znak"/>
    <w:basedOn w:val="Privzetapisavaodstavka"/>
    <w:link w:val="Datum"/>
    <w:rsid w:val="00D90A18"/>
    <w:rPr>
      <w:rFonts w:asciiTheme="minorHAnsi" w:eastAsiaTheme="minorHAnsi" w:hAnsiTheme="minorHAnsi" w:cstheme="minorBidi"/>
      <w:lang w:val="sl" w:eastAsia="en-US"/>
    </w:rPr>
  </w:style>
  <w:style w:type="paragraph" w:styleId="Telobesedila">
    <w:name w:val="Body Text"/>
    <w:basedOn w:val="Navaden"/>
    <w:link w:val="TelobesedilaZnak"/>
    <w:uiPriority w:val="99"/>
    <w:unhideWhenUsed/>
    <w:rsid w:val="00D90A18"/>
    <w:pPr>
      <w:spacing w:after="120"/>
    </w:pPr>
  </w:style>
  <w:style w:type="character" w:customStyle="1" w:styleId="TelobesedilaZnak">
    <w:name w:val="Telo besedila Znak"/>
    <w:basedOn w:val="Privzetapisavaodstavka"/>
    <w:link w:val="Telobesedila"/>
    <w:uiPriority w:val="99"/>
    <w:rsid w:val="00D90A18"/>
  </w:style>
  <w:style w:type="character" w:styleId="Intenzivensklic">
    <w:name w:val="Intense Reference"/>
    <w:basedOn w:val="Privzetapisavaodstavka"/>
    <w:uiPriority w:val="32"/>
    <w:qFormat/>
    <w:rsid w:val="00D90A18"/>
    <w:rPr>
      <w:b/>
      <w:bCs/>
      <w:smallCaps/>
      <w:color w:val="4F81BD" w:themeColor="accent1"/>
      <w:spacing w:val="5"/>
    </w:rPr>
  </w:style>
  <w:style w:type="character" w:customStyle="1" w:styleId="Naslov1Znak">
    <w:name w:val="Naslov 1 Znak"/>
    <w:basedOn w:val="Privzetapisavaodstavka"/>
    <w:link w:val="Naslov1"/>
    <w:uiPriority w:val="9"/>
    <w:rsid w:val="00D90A18"/>
    <w:rPr>
      <w:b/>
      <w:bCs/>
      <w:color w:val="1F3864"/>
      <w:sz w:val="36"/>
      <w:szCs w:val="36"/>
    </w:rPr>
  </w:style>
  <w:style w:type="character" w:styleId="Neenpoudarek">
    <w:name w:val="Subtle Emphasis"/>
    <w:basedOn w:val="Privzetapisavaodstavka"/>
    <w:uiPriority w:val="19"/>
    <w:qFormat/>
    <w:rsid w:val="00D90A18"/>
    <w:rPr>
      <w:i/>
      <w:iCs/>
      <w:color w:val="404040" w:themeColor="text1" w:themeTint="BF"/>
    </w:rPr>
  </w:style>
  <w:style w:type="character" w:styleId="Poudarek">
    <w:name w:val="Emphasis"/>
    <w:basedOn w:val="Privzetapisavaodstavka"/>
    <w:uiPriority w:val="20"/>
    <w:qFormat/>
    <w:rsid w:val="00D90A18"/>
    <w:rPr>
      <w:i/>
      <w:iCs/>
    </w:rPr>
  </w:style>
  <w:style w:type="character" w:styleId="Krepko">
    <w:name w:val="Strong"/>
    <w:basedOn w:val="Privzetapisavaodstavka"/>
    <w:uiPriority w:val="22"/>
    <w:qFormat/>
    <w:rsid w:val="00D90A18"/>
    <w:rPr>
      <w:b/>
      <w:bCs/>
    </w:rPr>
  </w:style>
  <w:style w:type="paragraph" w:styleId="Revizija">
    <w:name w:val="Revision"/>
    <w:hidden/>
    <w:uiPriority w:val="99"/>
    <w:semiHidden/>
    <w:rsid w:val="0013617B"/>
  </w:style>
  <w:style w:type="character" w:styleId="Pripombasklic">
    <w:name w:val="annotation reference"/>
    <w:basedOn w:val="Privzetapisavaodstavka"/>
    <w:uiPriority w:val="99"/>
    <w:semiHidden/>
    <w:unhideWhenUsed/>
    <w:rsid w:val="00EA618C"/>
    <w:rPr>
      <w:sz w:val="16"/>
      <w:szCs w:val="16"/>
    </w:rPr>
  </w:style>
  <w:style w:type="paragraph" w:styleId="Pripombabesedilo">
    <w:name w:val="annotation text"/>
    <w:basedOn w:val="Navaden"/>
    <w:link w:val="PripombabesediloZnak"/>
    <w:uiPriority w:val="99"/>
    <w:semiHidden/>
    <w:unhideWhenUsed/>
    <w:rsid w:val="00EA618C"/>
    <w:rPr>
      <w:sz w:val="20"/>
      <w:szCs w:val="20"/>
    </w:rPr>
  </w:style>
  <w:style w:type="character" w:customStyle="1" w:styleId="PripombabesediloZnak">
    <w:name w:val="Pripomba – besedilo Znak"/>
    <w:basedOn w:val="Privzetapisavaodstavka"/>
    <w:link w:val="Pripombabesedilo"/>
    <w:uiPriority w:val="99"/>
    <w:semiHidden/>
    <w:rsid w:val="00EA618C"/>
    <w:rPr>
      <w:sz w:val="20"/>
      <w:szCs w:val="20"/>
    </w:rPr>
  </w:style>
  <w:style w:type="paragraph" w:styleId="Zadevapripombe">
    <w:name w:val="annotation subject"/>
    <w:basedOn w:val="Pripombabesedilo"/>
    <w:next w:val="Pripombabesedilo"/>
    <w:link w:val="ZadevapripombeZnak"/>
    <w:uiPriority w:val="99"/>
    <w:semiHidden/>
    <w:unhideWhenUsed/>
    <w:rsid w:val="00EA618C"/>
    <w:rPr>
      <w:b/>
      <w:bCs/>
    </w:rPr>
  </w:style>
  <w:style w:type="character" w:customStyle="1" w:styleId="ZadevapripombeZnak">
    <w:name w:val="Zadeva pripombe Znak"/>
    <w:basedOn w:val="PripombabesediloZnak"/>
    <w:link w:val="Zadevapripombe"/>
    <w:uiPriority w:val="99"/>
    <w:semiHidden/>
    <w:rsid w:val="00EA618C"/>
    <w:rPr>
      <w:b/>
      <w:bCs/>
      <w:sz w:val="20"/>
      <w:szCs w:val="20"/>
    </w:rPr>
  </w:style>
  <w:style w:type="paragraph" w:styleId="Glava">
    <w:name w:val="header"/>
    <w:basedOn w:val="Navaden"/>
    <w:link w:val="GlavaZnak"/>
    <w:uiPriority w:val="99"/>
    <w:unhideWhenUsed/>
    <w:rsid w:val="007D30D3"/>
    <w:pPr>
      <w:tabs>
        <w:tab w:val="center" w:pos="4536"/>
        <w:tab w:val="right" w:pos="9072"/>
      </w:tabs>
    </w:pPr>
  </w:style>
  <w:style w:type="character" w:customStyle="1" w:styleId="GlavaZnak">
    <w:name w:val="Glava Znak"/>
    <w:basedOn w:val="Privzetapisavaodstavka"/>
    <w:link w:val="Glava"/>
    <w:uiPriority w:val="99"/>
    <w:rsid w:val="007D30D3"/>
  </w:style>
  <w:style w:type="paragraph" w:styleId="Noga">
    <w:name w:val="footer"/>
    <w:basedOn w:val="Navaden"/>
    <w:link w:val="NogaZnak"/>
    <w:uiPriority w:val="99"/>
    <w:unhideWhenUsed/>
    <w:rsid w:val="007D30D3"/>
    <w:pPr>
      <w:tabs>
        <w:tab w:val="center" w:pos="4536"/>
        <w:tab w:val="right" w:pos="9072"/>
      </w:tabs>
    </w:pPr>
  </w:style>
  <w:style w:type="character" w:customStyle="1" w:styleId="NogaZnak">
    <w:name w:val="Noga Znak"/>
    <w:basedOn w:val="Privzetapisavaodstavka"/>
    <w:link w:val="Noga"/>
    <w:uiPriority w:val="99"/>
    <w:rsid w:val="007D30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D50D2A4-60D7-4EFB-AFA4-727AB02BD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591</TotalTime>
  <Pages>57</Pages>
  <Words>22165</Words>
  <Characters>126344</Characters>
  <Application>Microsoft Office Word</Application>
  <DocSecurity>0</DocSecurity>
  <Lines>1052</Lines>
  <Paragraphs>296</Paragraphs>
  <ScaleCrop>false</ScaleCrop>
  <HeadingPairs>
    <vt:vector size="2" baseType="variant">
      <vt:variant>
        <vt:lpstr>Naslov</vt:lpstr>
      </vt:variant>
      <vt:variant>
        <vt:i4>1</vt:i4>
      </vt:variant>
    </vt:vector>
  </HeadingPairs>
  <TitlesOfParts>
    <vt:vector size="1" baseType="lpstr">
      <vt:lpstr>Priporočila za implementacijo Direktive (EU) 2024/2831 o izboljšanju delovnih pogojev v platformnem delu</vt:lpstr>
    </vt:vector>
  </TitlesOfParts>
  <Company/>
  <LinksUpToDate>false</LinksUpToDate>
  <CharactersWithSpaces>148213</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Priporočila za implementacijo Direktive (EU) 2024/2831 o izboljšanju delovnih pogojev v platformnem delu</dc:title>
  <dc:subject>Predajni dokument projekta SDDP (D3.1)</dc:subject>
  <dc:creator>SDDP konzorcij: ZSSS, ETUC, ÖGB, CGIL, UIL</dc:creator>
  <keywords>platformno delo, direktiva, socialni dialog, algoritmično upravljanje, docId:AB4A99AD98E43353B0714D2F36183384</keywords>
  <lastModifiedBy>Mladi Plus</lastModifiedBy>
  <revision>86</revision>
  <dcterms:created xsi:type="dcterms:W3CDTF">2026-02-25T00:00:00.0000000Z</dcterms:created>
  <dcterms:modified xsi:type="dcterms:W3CDTF">2026-09-09T10:14:00.0000000Z</dcterms:modified>
</coreProperties>
</file>